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60DE7" w14:textId="77777777" w:rsidR="0051378E" w:rsidRDefault="0051378E" w:rsidP="0051378E">
      <w:pPr>
        <w:pStyle w:val="Heading1"/>
      </w:pPr>
      <w:bookmarkStart w:id="0" w:name="_Toc113620798"/>
      <w:r>
        <w:t>Supplementary Note</w:t>
      </w:r>
      <w:bookmarkEnd w:id="0"/>
    </w:p>
    <w:p w14:paraId="35C05D57" w14:textId="77777777" w:rsidR="0051378E" w:rsidRDefault="0051378E" w:rsidP="0051378E">
      <w:pPr>
        <w:pStyle w:val="Heading2"/>
      </w:pPr>
      <w:bookmarkStart w:id="1" w:name="_Toc113620799"/>
      <w:bookmarkStart w:id="2" w:name="model-specification-and-priors"/>
      <w:r>
        <w:t>Model specification and priors</w:t>
      </w:r>
      <w:bookmarkEnd w:id="1"/>
    </w:p>
    <w:p w14:paraId="2FC9B2BD" w14:textId="77777777" w:rsidR="0051378E" w:rsidRDefault="0051378E" w:rsidP="0051378E">
      <w:pPr>
        <w:pStyle w:val="FirstParagraph"/>
      </w:pPr>
      <w:r>
        <w:t xml:space="preserve">We report model formulas in the common “Wilkensen” format, for clarity and similarity to the </w:t>
      </w:r>
      <w:r>
        <w:rPr>
          <w:b/>
          <w:bCs/>
        </w:rPr>
        <w:t>R</w:t>
      </w:r>
      <w:r>
        <w:t xml:space="preserve"> implementation (example: </w:t>
      </w:r>
      <w:r>
        <w:rPr>
          <w:rStyle w:val="VerbatimChar"/>
        </w:rPr>
        <w:t>driftRate ~ predictorA + (predictorB | groupingVariable)</w:t>
      </w:r>
      <w:r>
        <w:t xml:space="preserve">). In this syntax the predicted variable (here, the drift diffusion parameter) is to the left of a tilde. The predictors are to the right of the tilde. A </w:t>
      </w:r>
      <w:r>
        <w:rPr>
          <w:rStyle w:val="VerbatimChar"/>
        </w:rPr>
        <w:t>1</w:t>
      </w:r>
      <w:r>
        <w:t xml:space="preserve"> indicates an estimated intercept value. Components of the predictors in parentheses are random effects, with predictors to the left of the vertical bar and the grouping variable to the right of the vertical bar.</w:t>
      </w:r>
    </w:p>
    <w:p w14:paraId="67DAD838" w14:textId="77777777" w:rsidR="0051378E" w:rsidRDefault="0051378E" w:rsidP="0051378E">
      <w:pPr>
        <w:pStyle w:val="BodyText"/>
      </w:pPr>
    </w:p>
    <w:p w14:paraId="51A5DB32" w14:textId="77777777" w:rsidR="0051378E" w:rsidRDefault="0051378E" w:rsidP="0051378E">
      <w:pPr>
        <w:pStyle w:val="BodyText"/>
      </w:pPr>
      <w:r>
        <w:t>All models had the following shared features:</w:t>
      </w:r>
    </w:p>
    <w:p w14:paraId="62D6FADB" w14:textId="77777777" w:rsidR="0051378E" w:rsidRDefault="0051378E" w:rsidP="0051378E">
      <w:pPr>
        <w:pStyle w:val="BodyText"/>
      </w:pPr>
    </w:p>
    <w:p w14:paraId="6C62A0C3" w14:textId="77777777" w:rsidR="0051378E" w:rsidRDefault="0051378E" w:rsidP="0051378E">
      <w:pPr>
        <w:pStyle w:val="BodyText"/>
      </w:pPr>
      <w:r>
        <w:t xml:space="preserve">Both AVGP and NVGP were included, with main effects controlling for any inter-group differences on each parameter in any given model. (All parameters have participant-level estimated coefficients anyway). Trials with RTs below 0.16 or above 2.5 were excluded. Time-evolving components were estimated as binary log (i.e., base-2) of the time constant to 50% of change, and had priors of </w:t>
      </w:r>
      <w:r>
        <w:rPr>
          <w:rStyle w:val="VerbatimChar"/>
        </w:rPr>
        <w:t>normal(9,3)</w:t>
      </w:r>
      <w:r>
        <w:t>, i.e., centered on half of change occurring in 512 trials.</w:t>
      </w:r>
    </w:p>
    <w:p w14:paraId="1EBE46B0" w14:textId="77777777" w:rsidR="0051378E" w:rsidRDefault="0051378E" w:rsidP="0051378E">
      <w:pPr>
        <w:pStyle w:val="BodyText"/>
      </w:pPr>
    </w:p>
    <w:p w14:paraId="04AA8C82" w14:textId="77777777" w:rsidR="0051378E" w:rsidRDefault="0051378E" w:rsidP="0051378E">
      <w:pPr>
        <w:pStyle w:val="BodyText"/>
      </w:pPr>
      <w:r>
        <w:t xml:space="preserve">Drift rate was estimated with no link function. The prior was set to the default </w:t>
      </w:r>
      <w:r>
        <w:rPr>
          <w:b/>
          <w:bCs/>
        </w:rPr>
        <w:t>brms</w:t>
      </w:r>
      <w:r>
        <w:t xml:space="preserve"> prior for the drift rate (given our data), </w:t>
      </w:r>
      <w:r>
        <w:rPr>
          <w:rStyle w:val="VerbatimChar"/>
        </w:rPr>
        <w:t>student_t(3,1,10)</w:t>
      </w:r>
      <w:r>
        <w:t xml:space="preserve">. Across models, drift rate was always estimated with a fixed-effect intercept, a by-subject intercept, and a by-subject slope for coherence (i.e., drift rate varied linearly, by subject, as a function of stimulus coherence). Models were tested that included either “raw” coherence percentages or their log transforms, in order to test the assumption that the relation between coherence and drift rate would be linear. Example formulas: fixed drift rate: </w:t>
      </w:r>
      <w:r>
        <w:rPr>
          <w:rStyle w:val="VerbatimChar"/>
        </w:rPr>
        <w:t>drift_rate ~ 1 + VGPstatus + (coherence || subj)</w:t>
      </w:r>
      <w:r>
        <w:t xml:space="preserve">, asymptote of a time-evolving drift rate: </w:t>
      </w:r>
      <w:r>
        <w:rPr>
          <w:rStyle w:val="VerbatimChar"/>
        </w:rPr>
        <w:t>drAsym ~ 1 + VGPstatus + (coherence || subj)</w:t>
      </w:r>
      <w:r>
        <w:t>.</w:t>
      </w:r>
    </w:p>
    <w:p w14:paraId="1DDCFE0B" w14:textId="77777777" w:rsidR="0051378E" w:rsidRDefault="0051378E" w:rsidP="0051378E">
      <w:pPr>
        <w:pStyle w:val="BodyText"/>
      </w:pPr>
    </w:p>
    <w:p w14:paraId="420AA2EB" w14:textId="77777777" w:rsidR="0051378E" w:rsidRDefault="0051378E" w:rsidP="0051378E">
      <w:pPr>
        <w:pStyle w:val="BodyText"/>
      </w:pPr>
      <w:r>
        <w:t xml:space="preserve">Response boundary was estimated on a log scale. The prior for all models was set to the default </w:t>
      </w:r>
      <w:r>
        <w:rPr>
          <w:b/>
          <w:bCs/>
        </w:rPr>
        <w:t>brms</w:t>
      </w:r>
      <w:r>
        <w:t xml:space="preserve"> prior for the response boundary (given our data), </w:t>
      </w:r>
      <w:r>
        <w:rPr>
          <w:rStyle w:val="VerbatimChar"/>
        </w:rPr>
        <w:t>normal(-0.6, 1.3)</w:t>
      </w:r>
      <w:r>
        <w:t xml:space="preserve">. By-subject intercepts and fixed-effects intercepts were estimated. Example formulas: fixed response boundary: </w:t>
      </w:r>
      <w:r>
        <w:rPr>
          <w:rStyle w:val="VerbatimChar"/>
        </w:rPr>
        <w:t>response_boundary ~ 1 + VGPstatus + (1 || subj)</w:t>
      </w:r>
      <w:r>
        <w:t xml:space="preserve">, asymptote of a time-evolving response boundary: </w:t>
      </w:r>
      <w:r>
        <w:rPr>
          <w:rStyle w:val="VerbatimChar"/>
        </w:rPr>
        <w:t>rbAsym ~ 1 + VGPstatus + (1 || subj)</w:t>
      </w:r>
      <w:r>
        <w:t>.</w:t>
      </w:r>
    </w:p>
    <w:p w14:paraId="2D18F0AE" w14:textId="77777777" w:rsidR="0051378E" w:rsidRDefault="0051378E" w:rsidP="0051378E">
      <w:pPr>
        <w:pStyle w:val="BodyText"/>
      </w:pPr>
    </w:p>
    <w:p w14:paraId="30D61ED9" w14:textId="77777777" w:rsidR="0051378E" w:rsidRDefault="0051378E" w:rsidP="0051378E">
      <w:pPr>
        <w:pStyle w:val="BodyText"/>
      </w:pPr>
      <w:r>
        <w:t xml:space="preserve">Non-decision time was estimated using an exponential distribution with an offset of .001 and a mean of .15 . This offset approach constrained sampling to plausible values and and improved model efficiency. To the extent that all models use this approach, there should not be any bias introduced into any models or comparisons. Fixed-effect intercepts as well as by-subject intercepts were estimated. Example formula </w:t>
      </w:r>
      <w:r>
        <w:rPr>
          <w:rStyle w:val="VerbatimChar"/>
        </w:rPr>
        <w:t>ndt ~ .001 + ndtOffset</w:t>
      </w:r>
      <w:r>
        <w:t xml:space="preserve">; </w:t>
      </w:r>
      <w:r>
        <w:rPr>
          <w:rStyle w:val="VerbatimChar"/>
        </w:rPr>
        <w:lastRenderedPageBreak/>
        <w:t>ndtOffset ~ 1 + (1 || subj)</w:t>
      </w:r>
      <w:r>
        <w:t xml:space="preserve">. The bias term was estimated with a fixed-effect intercept and a by-subject intercept (i.e., </w:t>
      </w:r>
      <w:r>
        <w:rPr>
          <w:rStyle w:val="VerbatimChar"/>
        </w:rPr>
        <w:t>bias ~ 1 + VGPstatus + (1 || subj)</w:t>
      </w:r>
      <w:r>
        <w:t xml:space="preserve">). The bias was estimated on a logit scale, and its prior was </w:t>
      </w:r>
      <w:r>
        <w:rPr>
          <w:rStyle w:val="VerbatimChar"/>
        </w:rPr>
        <w:t>normal(0,1)</w:t>
      </w:r>
      <w:r>
        <w:t>.</w:t>
      </w:r>
    </w:p>
    <w:p w14:paraId="216A4A4B" w14:textId="77777777" w:rsidR="0051378E" w:rsidRDefault="0051378E" w:rsidP="0051378E">
      <w:pPr>
        <w:pStyle w:val="Heading2"/>
      </w:pPr>
      <w:r>
        <w:t>Best-fitting model code</w:t>
      </w:r>
    </w:p>
    <w:p w14:paraId="05B0E276" w14:textId="77777777" w:rsidR="0051378E" w:rsidRPr="00292601" w:rsidRDefault="0051378E" w:rsidP="0051378E">
      <w:pPr>
        <w:pStyle w:val="BodyText"/>
      </w:pPr>
    </w:p>
    <w:p w14:paraId="6DEC79B8" w14:textId="77777777" w:rsidR="0051378E" w:rsidRDefault="0051378E" w:rsidP="0051378E">
      <w:pPr>
        <w:pStyle w:val="BodyText"/>
        <w:rPr>
          <w:rStyle w:val="VerbatimChar"/>
        </w:rPr>
      </w:pPr>
      <w:r w:rsidRPr="002C539C">
        <w:rPr>
          <w:rStyle w:val="VerbatimChar"/>
        </w:rPr>
        <w:t>rt | dec(correct) ~ (drAsym + (drStart - drAsym) * (2^((1 - trial)/(2 +</w:t>
      </w:r>
      <w:r>
        <w:rPr>
          <w:rStyle w:val="VerbatimChar"/>
        </w:rPr>
        <w:t xml:space="preserve"> </w:t>
      </w:r>
      <w:r w:rsidRPr="002C539C">
        <w:rPr>
          <w:rStyle w:val="VerbatimChar"/>
        </w:rPr>
        <w:t xml:space="preserve">2^drRate)))) </w:t>
      </w:r>
    </w:p>
    <w:p w14:paraId="2406722B" w14:textId="77777777" w:rsidR="0051378E" w:rsidRPr="002C539C" w:rsidRDefault="0051378E" w:rsidP="0051378E">
      <w:pPr>
        <w:pStyle w:val="BodyText"/>
        <w:rPr>
          <w:rStyle w:val="VerbatimChar"/>
        </w:rPr>
      </w:pPr>
      <w:r w:rsidRPr="002C539C">
        <w:rPr>
          <w:rStyle w:val="VerbatimChar"/>
        </w:rPr>
        <w:t>bs ~ exp(</w:t>
      </w:r>
      <w:r>
        <w:rPr>
          <w:rStyle w:val="VerbatimChar"/>
        </w:rPr>
        <w:t>rb</w:t>
      </w:r>
      <w:r w:rsidRPr="002C539C">
        <w:rPr>
          <w:rStyle w:val="VerbatimChar"/>
        </w:rPr>
        <w:t>Asym) + (exp(</w:t>
      </w:r>
      <w:r>
        <w:rPr>
          <w:rStyle w:val="VerbatimChar"/>
        </w:rPr>
        <w:t>rb</w:t>
      </w:r>
      <w:r w:rsidRPr="002C539C">
        <w:rPr>
          <w:rStyle w:val="VerbatimChar"/>
        </w:rPr>
        <w:t>Start) - exp(</w:t>
      </w:r>
      <w:r>
        <w:rPr>
          <w:rStyle w:val="VerbatimChar"/>
        </w:rPr>
        <w:t>rb</w:t>
      </w:r>
      <w:r w:rsidRPr="002C539C">
        <w:rPr>
          <w:rStyle w:val="VerbatimChar"/>
        </w:rPr>
        <w:t>Asym)) * (2^((1 - dayTrials)/(2 +</w:t>
      </w:r>
      <w:r>
        <w:rPr>
          <w:rStyle w:val="VerbatimChar"/>
        </w:rPr>
        <w:t xml:space="preserve"> </w:t>
      </w:r>
      <w:r w:rsidRPr="002C539C">
        <w:rPr>
          <w:rStyle w:val="VerbatimChar"/>
        </w:rPr>
        <w:t>2^</w:t>
      </w:r>
      <w:r>
        <w:rPr>
          <w:rStyle w:val="VerbatimChar"/>
        </w:rPr>
        <w:t>rb</w:t>
      </w:r>
      <w:r w:rsidRPr="002C539C">
        <w:rPr>
          <w:rStyle w:val="VerbatimChar"/>
        </w:rPr>
        <w:t>Rate)))</w:t>
      </w:r>
    </w:p>
    <w:p w14:paraId="2656ABDF" w14:textId="77777777" w:rsidR="0051378E" w:rsidRDefault="0051378E" w:rsidP="0051378E">
      <w:pPr>
        <w:pStyle w:val="BodyText"/>
        <w:rPr>
          <w:rStyle w:val="VerbatimChar"/>
        </w:rPr>
      </w:pPr>
      <w:r w:rsidRPr="002C539C">
        <w:rPr>
          <w:rStyle w:val="VerbatimChar"/>
        </w:rPr>
        <w:t>ndt ~ 0.001 + ndtOffset</w:t>
      </w:r>
    </w:p>
    <w:p w14:paraId="660C5217" w14:textId="77777777" w:rsidR="0051378E" w:rsidRDefault="0051378E" w:rsidP="0051378E">
      <w:pPr>
        <w:pStyle w:val="BodyText"/>
        <w:rPr>
          <w:rStyle w:val="VerbatimChar"/>
        </w:rPr>
      </w:pPr>
    </w:p>
    <w:p w14:paraId="01B63286" w14:textId="77777777" w:rsidR="0051378E" w:rsidRPr="002C539C" w:rsidRDefault="0051378E" w:rsidP="0051378E">
      <w:pPr>
        <w:pStyle w:val="BodyText"/>
        <w:rPr>
          <w:rStyle w:val="VerbatimChar"/>
        </w:rPr>
      </w:pPr>
    </w:p>
    <w:p w14:paraId="45BCDCF3" w14:textId="77777777" w:rsidR="0051378E" w:rsidRPr="002C539C" w:rsidRDefault="0051378E" w:rsidP="0051378E">
      <w:pPr>
        <w:pStyle w:val="BodyText"/>
        <w:rPr>
          <w:rStyle w:val="VerbatimChar"/>
        </w:rPr>
      </w:pPr>
      <w:r w:rsidRPr="002C539C">
        <w:rPr>
          <w:rStyle w:val="VerbatimChar"/>
        </w:rPr>
        <w:t>drAsym ~ isVGP + (coherence || subID)</w:t>
      </w:r>
    </w:p>
    <w:p w14:paraId="79753ECD" w14:textId="77777777" w:rsidR="0051378E" w:rsidRPr="002C539C" w:rsidRDefault="0051378E" w:rsidP="0051378E">
      <w:pPr>
        <w:pStyle w:val="BodyText"/>
        <w:rPr>
          <w:rStyle w:val="VerbatimChar"/>
        </w:rPr>
      </w:pPr>
      <w:r w:rsidRPr="002C539C">
        <w:rPr>
          <w:rStyle w:val="VerbatimChar"/>
        </w:rPr>
        <w:t>drStart ~ isVGP + (coherence || subID)</w:t>
      </w:r>
    </w:p>
    <w:p w14:paraId="21F73E3A" w14:textId="77777777" w:rsidR="0051378E" w:rsidRPr="002C539C" w:rsidRDefault="0051378E" w:rsidP="0051378E">
      <w:pPr>
        <w:pStyle w:val="BodyText"/>
        <w:rPr>
          <w:rStyle w:val="VerbatimChar"/>
        </w:rPr>
      </w:pPr>
      <w:r w:rsidRPr="002C539C">
        <w:rPr>
          <w:rStyle w:val="VerbatimChar"/>
        </w:rPr>
        <w:t>drRate ~ isVGP + (1 || subID)</w:t>
      </w:r>
    </w:p>
    <w:p w14:paraId="251B055F" w14:textId="77777777" w:rsidR="0051378E" w:rsidRPr="002C539C" w:rsidRDefault="0051378E" w:rsidP="0051378E">
      <w:pPr>
        <w:pStyle w:val="BodyText"/>
        <w:rPr>
          <w:rStyle w:val="VerbatimChar"/>
        </w:rPr>
      </w:pPr>
      <w:r w:rsidRPr="002C539C">
        <w:rPr>
          <w:rStyle w:val="VerbatimChar"/>
        </w:rPr>
        <w:t>bias ~ isVGP + (1 || subID)</w:t>
      </w:r>
    </w:p>
    <w:p w14:paraId="18A9E03C" w14:textId="77777777" w:rsidR="0051378E" w:rsidRPr="002C539C" w:rsidRDefault="0051378E" w:rsidP="0051378E">
      <w:pPr>
        <w:pStyle w:val="BodyText"/>
        <w:rPr>
          <w:rStyle w:val="VerbatimChar"/>
        </w:rPr>
      </w:pPr>
      <w:r>
        <w:rPr>
          <w:rStyle w:val="VerbatimChar"/>
        </w:rPr>
        <w:t>rb</w:t>
      </w:r>
      <w:r w:rsidRPr="002C539C">
        <w:rPr>
          <w:rStyle w:val="VerbatimChar"/>
        </w:rPr>
        <w:t>Asym ~ isVGP + day + (day || subID)</w:t>
      </w:r>
    </w:p>
    <w:p w14:paraId="480C25A7" w14:textId="77777777" w:rsidR="0051378E" w:rsidRPr="002C539C" w:rsidRDefault="0051378E" w:rsidP="0051378E">
      <w:pPr>
        <w:pStyle w:val="BodyText"/>
        <w:rPr>
          <w:rStyle w:val="VerbatimChar"/>
        </w:rPr>
      </w:pPr>
      <w:r>
        <w:rPr>
          <w:rStyle w:val="VerbatimChar"/>
        </w:rPr>
        <w:t>rb</w:t>
      </w:r>
      <w:r w:rsidRPr="002C539C">
        <w:rPr>
          <w:rStyle w:val="VerbatimChar"/>
        </w:rPr>
        <w:t>Rate ~ isVGP + (1 || subID)</w:t>
      </w:r>
    </w:p>
    <w:p w14:paraId="150D58EE" w14:textId="77777777" w:rsidR="0051378E" w:rsidRPr="002C539C" w:rsidRDefault="0051378E" w:rsidP="0051378E">
      <w:pPr>
        <w:pStyle w:val="BodyText"/>
        <w:rPr>
          <w:rStyle w:val="VerbatimChar"/>
        </w:rPr>
      </w:pPr>
      <w:r>
        <w:rPr>
          <w:rStyle w:val="VerbatimChar"/>
        </w:rPr>
        <w:t>rb</w:t>
      </w:r>
      <w:r w:rsidRPr="002C539C">
        <w:rPr>
          <w:rStyle w:val="VerbatimChar"/>
        </w:rPr>
        <w:t>Start ~ isVGP + day + (day || subID)</w:t>
      </w:r>
    </w:p>
    <w:p w14:paraId="3C194D19" w14:textId="77777777" w:rsidR="0051378E" w:rsidRPr="002C539C" w:rsidRDefault="0051378E" w:rsidP="0051378E">
      <w:pPr>
        <w:pStyle w:val="BodyText"/>
        <w:rPr>
          <w:rStyle w:val="VerbatimChar"/>
        </w:rPr>
      </w:pPr>
      <w:r w:rsidRPr="002C539C">
        <w:rPr>
          <w:rStyle w:val="VerbatimChar"/>
        </w:rPr>
        <w:t>ndtOffset ~ isVGP + (1 || subID)</w:t>
      </w:r>
    </w:p>
    <w:p w14:paraId="31AF791F" w14:textId="77777777" w:rsidR="0051378E" w:rsidRDefault="0051378E" w:rsidP="0051378E">
      <w:pPr>
        <w:pStyle w:val="BodyText"/>
      </w:pPr>
    </w:p>
    <w:p w14:paraId="33C66737" w14:textId="77777777" w:rsidR="0051378E" w:rsidRPr="00F45D9A" w:rsidRDefault="0051378E" w:rsidP="0051378E">
      <w:pPr>
        <w:pStyle w:val="BodyText"/>
      </w:pPr>
      <w:r>
        <w:t xml:space="preserve">All parameters to the left of tildes are estimated using the predictors to the right of the tildes. In the top block, the first three formulas predict the DR, RB, and NDT, respectively; these three are direct equations. The second block contains symbolic formulas in Wilkinsen notation predicting each of the parameters defined in the top block. The Wiener response distribution in </w:t>
      </w:r>
      <w:r>
        <w:rPr>
          <w:b/>
          <w:bCs/>
        </w:rPr>
        <w:t>brms</w:t>
      </w:r>
      <w:r>
        <w:t>/</w:t>
      </w:r>
      <w:r>
        <w:rPr>
          <w:b/>
          <w:bCs/>
        </w:rPr>
        <w:t>rstan</w:t>
      </w:r>
      <w:r>
        <w:t xml:space="preserve"> was used, with model specifications being described in the Methods. The </w:t>
      </w:r>
      <w:r w:rsidRPr="002C539C">
        <w:rPr>
          <w:rStyle w:val="VerbatimChar"/>
        </w:rPr>
        <w:t>ndtOffset</w:t>
      </w:r>
      <w:r>
        <w:t xml:space="preserve"> parameter had a prior defined by an exponential distribution with a mean of .15 seconds. All start and asymptote priors were defined identically to the </w:t>
      </w:r>
      <w:r>
        <w:rPr>
          <w:b/>
          <w:bCs/>
        </w:rPr>
        <w:t>brms</w:t>
      </w:r>
      <w:r>
        <w:t xml:space="preserve"> defaults (taken from the constant model) which are by design minimally informative. </w:t>
      </w:r>
    </w:p>
    <w:p w14:paraId="5D72715C" w14:textId="77777777" w:rsidR="0051378E" w:rsidRPr="00C63205" w:rsidRDefault="0051378E" w:rsidP="0051378E">
      <w:pPr>
        <w:pStyle w:val="BodyText"/>
      </w:pPr>
    </w:p>
    <w:p w14:paraId="0A73C219" w14:textId="77777777" w:rsidR="0051378E" w:rsidRDefault="0051378E" w:rsidP="0051378E">
      <w:pPr>
        <w:pStyle w:val="Heading2"/>
      </w:pPr>
      <w:bookmarkStart w:id="3" w:name="_Toc113620800"/>
      <w:r>
        <w:t>By-participant model fits</w:t>
      </w:r>
      <w:bookmarkEnd w:id="3"/>
    </w:p>
    <w:p w14:paraId="15E9ED3C" w14:textId="77777777" w:rsidR="0051378E" w:rsidRDefault="0051378E" w:rsidP="0051378E">
      <w:pPr>
        <w:pStyle w:val="BodyText"/>
      </w:pPr>
      <w:r>
        <w:t>By-participant fits used the same set of models (formulas and priors, as relevant to single participants) as the mixed-effects models fit to all participants simultaneously. Likewise, comparisons used LOOIC comparisons and Bayes Factors using bridge sampling. All indices indicated convergence.</w:t>
      </w:r>
    </w:p>
    <w:p w14:paraId="4A3EDA75" w14:textId="77777777" w:rsidR="0051378E" w:rsidRDefault="0051378E" w:rsidP="0051378E">
      <w:pPr>
        <w:pStyle w:val="Heading2"/>
      </w:pPr>
      <w:bookmarkStart w:id="4" w:name="_Toc113620801"/>
      <w:r>
        <w:lastRenderedPageBreak/>
        <w:t>Logistic model fits</w:t>
      </w:r>
      <w:bookmarkEnd w:id="4"/>
    </w:p>
    <w:p w14:paraId="684F952A" w14:textId="77777777" w:rsidR="0051378E" w:rsidRDefault="0051378E" w:rsidP="0051378E">
      <w:pPr>
        <w:pStyle w:val="BodyText"/>
      </w:pPr>
      <w:r>
        <w:t xml:space="preserve">Logistic models utilized an approach that conforms more closely to classical analyses of psychophysics, that is, fitting a logistic psychometric function linking coherence to the probability of a participant responding that motion was in the rightward direction. A lapse rate of 1% was used. Like in the main results, performance (here, threshold) was modeled as a continuous exponential function of time, with “time” corresponding to within-session trial number, overall trial number, or a combination of the two. Response times were z-scored and by-participant random slopes of response times were estimated for each of the starting and asymptotic threshold parameters, as an rough method of including all of the information in the logistic models that had also been included in the DDM models </w:t>
      </w:r>
      <w:bookmarkEnd w:id="2"/>
    </w:p>
    <w:p w14:paraId="501A6438" w14:textId="77777777" w:rsidR="0051378E" w:rsidRDefault="0051378E" w:rsidP="0051378E">
      <w:pPr>
        <w:spacing w:after="200" w:line="240" w:lineRule="auto"/>
      </w:pPr>
      <w:r>
        <w:br w:type="page"/>
      </w:r>
    </w:p>
    <w:p w14:paraId="1F838AC4" w14:textId="77777777" w:rsidR="0051378E" w:rsidRDefault="0051378E" w:rsidP="0051378E">
      <w:pPr>
        <w:pStyle w:val="Heading5"/>
      </w:pPr>
      <w:bookmarkStart w:id="5" w:name="X365d41efd3de6b886c01e82eaafcd1400693bc3"/>
      <w:r>
        <w:rPr>
          <w:i/>
        </w:rPr>
        <w:lastRenderedPageBreak/>
        <w:t>Table 1. Bayes Factor (base-3 log) comparisons of models using 15 runs of bridge sampling, with the most equivocal being reported. Positive numbers indicate that the row model fit better, while negative numbers indicate that the column model fit better. Inf indicates that the bridge sampling procedure could not effectively estimate the relative evidence between models, with the row model being preferred.</w:t>
      </w:r>
    </w:p>
    <w:tbl>
      <w:tblPr>
        <w:tblStyle w:val="Table"/>
        <w:tblW w:w="3973" w:type="pct"/>
        <w:tblLayout w:type="fixed"/>
        <w:tblLook w:val="0020" w:firstRow="1" w:lastRow="0" w:firstColumn="0" w:lastColumn="0" w:noHBand="0" w:noVBand="0"/>
      </w:tblPr>
      <w:tblGrid>
        <w:gridCol w:w="3600"/>
        <w:gridCol w:w="720"/>
        <w:gridCol w:w="900"/>
        <w:gridCol w:w="810"/>
        <w:gridCol w:w="900"/>
        <w:gridCol w:w="1080"/>
      </w:tblGrid>
      <w:tr w:rsidR="0051378E" w14:paraId="214AACD2" w14:textId="77777777" w:rsidTr="00636D90">
        <w:trPr>
          <w:cnfStyle w:val="100000000000" w:firstRow="1" w:lastRow="0" w:firstColumn="0" w:lastColumn="0" w:oddVBand="0" w:evenVBand="0" w:oddHBand="0" w:evenHBand="0" w:firstRowFirstColumn="0" w:firstRowLastColumn="0" w:lastRowFirstColumn="0" w:lastRowLastColumn="0"/>
        </w:trPr>
        <w:tc>
          <w:tcPr>
            <w:tcW w:w="3600" w:type="dxa"/>
          </w:tcPr>
          <w:p w14:paraId="146F538D" w14:textId="77777777" w:rsidR="0051378E" w:rsidRDefault="0051378E" w:rsidP="00636D90"/>
        </w:tc>
        <w:tc>
          <w:tcPr>
            <w:tcW w:w="720" w:type="dxa"/>
          </w:tcPr>
          <w:p w14:paraId="0DE5139B" w14:textId="77777777" w:rsidR="0051378E" w:rsidRDefault="0051378E" w:rsidP="00636D90">
            <w:pPr>
              <w:pStyle w:val="Compact"/>
            </w:pPr>
            <w:r>
              <w:t>A</w:t>
            </w:r>
          </w:p>
        </w:tc>
        <w:tc>
          <w:tcPr>
            <w:tcW w:w="900" w:type="dxa"/>
          </w:tcPr>
          <w:p w14:paraId="282DCA72" w14:textId="77777777" w:rsidR="0051378E" w:rsidRDefault="0051378E" w:rsidP="00636D90">
            <w:pPr>
              <w:pStyle w:val="Compact"/>
            </w:pPr>
            <w:r>
              <w:t>B</w:t>
            </w:r>
          </w:p>
        </w:tc>
        <w:tc>
          <w:tcPr>
            <w:tcW w:w="810" w:type="dxa"/>
          </w:tcPr>
          <w:p w14:paraId="7FBC4689" w14:textId="77777777" w:rsidR="0051378E" w:rsidRDefault="0051378E" w:rsidP="00636D90">
            <w:pPr>
              <w:pStyle w:val="Compact"/>
            </w:pPr>
            <w:r>
              <w:t>C</w:t>
            </w:r>
          </w:p>
        </w:tc>
        <w:tc>
          <w:tcPr>
            <w:tcW w:w="900" w:type="dxa"/>
          </w:tcPr>
          <w:p w14:paraId="74EAEEC7" w14:textId="77777777" w:rsidR="0051378E" w:rsidRDefault="0051378E" w:rsidP="00636D90">
            <w:pPr>
              <w:pStyle w:val="Compact"/>
            </w:pPr>
            <w:r>
              <w:t>D</w:t>
            </w:r>
          </w:p>
        </w:tc>
        <w:tc>
          <w:tcPr>
            <w:tcW w:w="1080" w:type="dxa"/>
          </w:tcPr>
          <w:p w14:paraId="73D72F9E" w14:textId="77777777" w:rsidR="0051378E" w:rsidRDefault="0051378E" w:rsidP="00636D90">
            <w:pPr>
              <w:pStyle w:val="Compact"/>
            </w:pPr>
            <w:r>
              <w:t>E</w:t>
            </w:r>
          </w:p>
        </w:tc>
      </w:tr>
      <w:tr w:rsidR="0051378E" w:rsidRPr="00A51F64" w14:paraId="306BECA5" w14:textId="77777777" w:rsidTr="00636D90">
        <w:tc>
          <w:tcPr>
            <w:tcW w:w="3600" w:type="dxa"/>
          </w:tcPr>
          <w:p w14:paraId="48D4C7D5" w14:textId="77777777" w:rsidR="0051378E" w:rsidRPr="002A1778" w:rsidRDefault="0051378E" w:rsidP="00636D90">
            <w:pPr>
              <w:pStyle w:val="Compact"/>
              <w:rPr>
                <w:lang w:val="fr-CH"/>
              </w:rPr>
            </w:pPr>
            <w:r w:rsidRPr="00CF17F2">
              <w:rPr>
                <w:lang w:val="fr-CH"/>
              </w:rPr>
              <w:t>F. Flexible DR, Flexible RB</w:t>
            </w:r>
          </w:p>
        </w:tc>
        <w:tc>
          <w:tcPr>
            <w:tcW w:w="720" w:type="dxa"/>
          </w:tcPr>
          <w:p w14:paraId="26032487" w14:textId="77777777" w:rsidR="0051378E" w:rsidRPr="002A1778" w:rsidRDefault="0051378E" w:rsidP="00636D90">
            <w:pPr>
              <w:rPr>
                <w:lang w:val="fr-CH"/>
              </w:rPr>
            </w:pPr>
            <w:r>
              <w:t>Inf</w:t>
            </w:r>
          </w:p>
        </w:tc>
        <w:tc>
          <w:tcPr>
            <w:tcW w:w="900" w:type="dxa"/>
          </w:tcPr>
          <w:p w14:paraId="619D02F7" w14:textId="77777777" w:rsidR="0051378E" w:rsidRPr="002A1778" w:rsidRDefault="0051378E" w:rsidP="00636D90">
            <w:pPr>
              <w:rPr>
                <w:lang w:val="fr-CH"/>
              </w:rPr>
            </w:pPr>
            <w:r>
              <w:t>382.6</w:t>
            </w:r>
          </w:p>
        </w:tc>
        <w:tc>
          <w:tcPr>
            <w:tcW w:w="810" w:type="dxa"/>
          </w:tcPr>
          <w:p w14:paraId="5F87B936" w14:textId="77777777" w:rsidR="0051378E" w:rsidRPr="002A1778" w:rsidRDefault="0051378E" w:rsidP="00636D90">
            <w:pPr>
              <w:rPr>
                <w:lang w:val="fr-CH"/>
              </w:rPr>
            </w:pPr>
            <w:r>
              <w:t>628</w:t>
            </w:r>
          </w:p>
        </w:tc>
        <w:tc>
          <w:tcPr>
            <w:tcW w:w="900" w:type="dxa"/>
          </w:tcPr>
          <w:p w14:paraId="74D933A4" w14:textId="77777777" w:rsidR="0051378E" w:rsidRPr="002A1778" w:rsidRDefault="0051378E" w:rsidP="00636D90">
            <w:pPr>
              <w:rPr>
                <w:lang w:val="fr-CH"/>
              </w:rPr>
            </w:pPr>
            <w:r>
              <w:t>-119.9</w:t>
            </w:r>
          </w:p>
        </w:tc>
        <w:tc>
          <w:tcPr>
            <w:tcW w:w="1080" w:type="dxa"/>
          </w:tcPr>
          <w:p w14:paraId="4B9F116A" w14:textId="77777777" w:rsidR="0051378E" w:rsidRPr="002A1778" w:rsidRDefault="0051378E" w:rsidP="00636D90">
            <w:pPr>
              <w:rPr>
                <w:lang w:val="fr-CH"/>
              </w:rPr>
            </w:pPr>
            <w:r>
              <w:t>468.5</w:t>
            </w:r>
          </w:p>
        </w:tc>
      </w:tr>
      <w:tr w:rsidR="0051378E" w14:paraId="73FE8152" w14:textId="77777777" w:rsidTr="00636D90">
        <w:tc>
          <w:tcPr>
            <w:tcW w:w="3600" w:type="dxa"/>
          </w:tcPr>
          <w:p w14:paraId="37624750" w14:textId="77777777" w:rsidR="0051378E" w:rsidRPr="00CF17F2" w:rsidRDefault="0051378E" w:rsidP="00636D90">
            <w:pPr>
              <w:pStyle w:val="Compact"/>
              <w:rPr>
                <w:lang w:val="fr-CH"/>
              </w:rPr>
            </w:pPr>
            <w:r w:rsidRPr="00CF17F2">
              <w:rPr>
                <w:lang w:val="fr-CH"/>
              </w:rPr>
              <w:t>E</w:t>
            </w:r>
            <w:r>
              <w:rPr>
                <w:lang w:val="fr-CH"/>
              </w:rPr>
              <w:t xml:space="preserve">. </w:t>
            </w:r>
            <w:r w:rsidRPr="00CF17F2">
              <w:rPr>
                <w:lang w:val="fr-CH"/>
              </w:rPr>
              <w:t>Flexible DR, Cont</w:t>
            </w:r>
            <w:r>
              <w:rPr>
                <w:lang w:val="fr-CH"/>
              </w:rPr>
              <w:t>inuous RB</w:t>
            </w:r>
          </w:p>
        </w:tc>
        <w:tc>
          <w:tcPr>
            <w:tcW w:w="720" w:type="dxa"/>
          </w:tcPr>
          <w:p w14:paraId="5056ABF1" w14:textId="77777777" w:rsidR="0051378E" w:rsidRDefault="0051378E" w:rsidP="00636D90">
            <w:pPr>
              <w:pStyle w:val="Compact"/>
            </w:pPr>
            <w:r>
              <w:t>Inf</w:t>
            </w:r>
          </w:p>
        </w:tc>
        <w:tc>
          <w:tcPr>
            <w:tcW w:w="900" w:type="dxa"/>
          </w:tcPr>
          <w:p w14:paraId="280F1B43" w14:textId="77777777" w:rsidR="0051378E" w:rsidRDefault="0051378E" w:rsidP="00636D90">
            <w:pPr>
              <w:pStyle w:val="Compact"/>
            </w:pPr>
            <w:r>
              <w:t>-58.2</w:t>
            </w:r>
          </w:p>
        </w:tc>
        <w:tc>
          <w:tcPr>
            <w:tcW w:w="810" w:type="dxa"/>
          </w:tcPr>
          <w:p w14:paraId="6695A397" w14:textId="77777777" w:rsidR="0051378E" w:rsidRDefault="0051378E" w:rsidP="00636D90">
            <w:pPr>
              <w:pStyle w:val="Compact"/>
            </w:pPr>
            <w:r>
              <w:t>137.4</w:t>
            </w:r>
          </w:p>
        </w:tc>
        <w:tc>
          <w:tcPr>
            <w:tcW w:w="900" w:type="dxa"/>
          </w:tcPr>
          <w:p w14:paraId="15B1D849" w14:textId="77777777" w:rsidR="0051378E" w:rsidRDefault="0051378E" w:rsidP="00636D90">
            <w:pPr>
              <w:pStyle w:val="Compact"/>
            </w:pPr>
            <w:r>
              <w:t>-591.6</w:t>
            </w:r>
          </w:p>
        </w:tc>
        <w:tc>
          <w:tcPr>
            <w:tcW w:w="1080" w:type="dxa"/>
          </w:tcPr>
          <w:p w14:paraId="62C328BB" w14:textId="77777777" w:rsidR="0051378E" w:rsidRDefault="0051378E" w:rsidP="00636D90"/>
        </w:tc>
      </w:tr>
      <w:tr w:rsidR="0051378E" w:rsidRPr="00A51F64" w14:paraId="3D1C6455" w14:textId="77777777" w:rsidTr="00636D90">
        <w:tc>
          <w:tcPr>
            <w:tcW w:w="3600" w:type="dxa"/>
          </w:tcPr>
          <w:p w14:paraId="05B41C81" w14:textId="77777777" w:rsidR="0051378E" w:rsidRPr="002A1778" w:rsidRDefault="0051378E" w:rsidP="00636D90">
            <w:pPr>
              <w:pStyle w:val="Compact"/>
              <w:rPr>
                <w:lang w:val="fr-CH"/>
              </w:rPr>
            </w:pPr>
            <w:r w:rsidRPr="00FC4707">
              <w:rPr>
                <w:lang w:val="fr-CH"/>
              </w:rPr>
              <w:t>D. Continuous DR, Flexible RB</w:t>
            </w:r>
          </w:p>
        </w:tc>
        <w:tc>
          <w:tcPr>
            <w:tcW w:w="720" w:type="dxa"/>
          </w:tcPr>
          <w:p w14:paraId="69B64220" w14:textId="77777777" w:rsidR="0051378E" w:rsidRPr="002A1778" w:rsidRDefault="0051378E" w:rsidP="00636D90">
            <w:pPr>
              <w:rPr>
                <w:lang w:val="fr-CH"/>
              </w:rPr>
            </w:pPr>
            <w:r>
              <w:t>Inf</w:t>
            </w:r>
          </w:p>
        </w:tc>
        <w:tc>
          <w:tcPr>
            <w:tcW w:w="900" w:type="dxa"/>
          </w:tcPr>
          <w:p w14:paraId="1013A77C" w14:textId="77777777" w:rsidR="0051378E" w:rsidRPr="002A1778" w:rsidRDefault="0051378E" w:rsidP="00636D90">
            <w:pPr>
              <w:rPr>
                <w:lang w:val="fr-CH"/>
              </w:rPr>
            </w:pPr>
            <w:r>
              <w:t>547.6</w:t>
            </w:r>
          </w:p>
        </w:tc>
        <w:tc>
          <w:tcPr>
            <w:tcW w:w="810" w:type="dxa"/>
          </w:tcPr>
          <w:p w14:paraId="5D0CFC10" w14:textId="77777777" w:rsidR="0051378E" w:rsidRPr="002A1778" w:rsidRDefault="0051378E" w:rsidP="00636D90">
            <w:pPr>
              <w:rPr>
                <w:lang w:val="fr-CH"/>
              </w:rPr>
            </w:pPr>
            <w:r>
              <w:t>Inf</w:t>
            </w:r>
          </w:p>
        </w:tc>
        <w:tc>
          <w:tcPr>
            <w:tcW w:w="900" w:type="dxa"/>
          </w:tcPr>
          <w:p w14:paraId="562EDE9B" w14:textId="77777777" w:rsidR="0051378E" w:rsidRPr="002A1778" w:rsidRDefault="0051378E" w:rsidP="00636D90">
            <w:pPr>
              <w:rPr>
                <w:lang w:val="fr-CH"/>
              </w:rPr>
            </w:pPr>
          </w:p>
        </w:tc>
        <w:tc>
          <w:tcPr>
            <w:tcW w:w="1080" w:type="dxa"/>
          </w:tcPr>
          <w:p w14:paraId="5F1ED69E" w14:textId="77777777" w:rsidR="0051378E" w:rsidRPr="002A1778" w:rsidRDefault="0051378E" w:rsidP="00636D90">
            <w:pPr>
              <w:rPr>
                <w:lang w:val="fr-CH"/>
              </w:rPr>
            </w:pPr>
          </w:p>
        </w:tc>
      </w:tr>
      <w:tr w:rsidR="0051378E" w:rsidRPr="00A51F64" w14:paraId="28890180" w14:textId="77777777" w:rsidTr="00636D90">
        <w:tc>
          <w:tcPr>
            <w:tcW w:w="3600" w:type="dxa"/>
          </w:tcPr>
          <w:p w14:paraId="0541F12A" w14:textId="77777777" w:rsidR="0051378E" w:rsidRPr="009057AA" w:rsidRDefault="0051378E" w:rsidP="00636D90">
            <w:pPr>
              <w:pStyle w:val="Compact"/>
            </w:pPr>
            <w:r>
              <w:t>C. Continuous DR, Day-resetting RB</w:t>
            </w:r>
          </w:p>
        </w:tc>
        <w:tc>
          <w:tcPr>
            <w:tcW w:w="720" w:type="dxa"/>
          </w:tcPr>
          <w:p w14:paraId="4DCD9B65" w14:textId="77777777" w:rsidR="0051378E" w:rsidRPr="002A1778" w:rsidRDefault="0051378E" w:rsidP="00636D90">
            <w:pPr>
              <w:rPr>
                <w:lang w:val="fr-CH"/>
              </w:rPr>
            </w:pPr>
            <w:r>
              <w:t>628</w:t>
            </w:r>
          </w:p>
        </w:tc>
        <w:tc>
          <w:tcPr>
            <w:tcW w:w="900" w:type="dxa"/>
          </w:tcPr>
          <w:p w14:paraId="63CF41F0" w14:textId="77777777" w:rsidR="0051378E" w:rsidRPr="002A1778" w:rsidRDefault="0051378E" w:rsidP="00636D90">
            <w:pPr>
              <w:rPr>
                <w:lang w:val="fr-CH"/>
              </w:rPr>
            </w:pPr>
            <w:r>
              <w:t>-210.7</w:t>
            </w:r>
          </w:p>
        </w:tc>
        <w:tc>
          <w:tcPr>
            <w:tcW w:w="810" w:type="dxa"/>
          </w:tcPr>
          <w:p w14:paraId="212182A2" w14:textId="77777777" w:rsidR="0051378E" w:rsidRPr="002A1778" w:rsidRDefault="0051378E" w:rsidP="00636D90">
            <w:pPr>
              <w:rPr>
                <w:lang w:val="fr-CH"/>
              </w:rPr>
            </w:pPr>
          </w:p>
        </w:tc>
        <w:tc>
          <w:tcPr>
            <w:tcW w:w="900" w:type="dxa"/>
          </w:tcPr>
          <w:p w14:paraId="1D9D50A7" w14:textId="77777777" w:rsidR="0051378E" w:rsidRPr="002A1778" w:rsidRDefault="0051378E" w:rsidP="00636D90">
            <w:pPr>
              <w:rPr>
                <w:lang w:val="fr-CH"/>
              </w:rPr>
            </w:pPr>
          </w:p>
        </w:tc>
        <w:tc>
          <w:tcPr>
            <w:tcW w:w="1080" w:type="dxa"/>
          </w:tcPr>
          <w:p w14:paraId="372BDB4E" w14:textId="77777777" w:rsidR="0051378E" w:rsidRPr="002A1778" w:rsidRDefault="0051378E" w:rsidP="00636D90">
            <w:pPr>
              <w:rPr>
                <w:lang w:val="fr-CH"/>
              </w:rPr>
            </w:pPr>
          </w:p>
        </w:tc>
      </w:tr>
      <w:tr w:rsidR="0051378E" w:rsidRPr="00A51F64" w14:paraId="201AAD66" w14:textId="77777777" w:rsidTr="00636D90">
        <w:tc>
          <w:tcPr>
            <w:tcW w:w="3600" w:type="dxa"/>
          </w:tcPr>
          <w:p w14:paraId="2B0B4DE3" w14:textId="77777777" w:rsidR="0051378E" w:rsidRPr="002A1778" w:rsidRDefault="0051378E" w:rsidP="00636D90">
            <w:pPr>
              <w:pStyle w:val="Compact"/>
              <w:rPr>
                <w:lang w:val="fr-CH"/>
              </w:rPr>
            </w:pPr>
            <w:r w:rsidRPr="002A1778">
              <w:rPr>
                <w:lang w:val="fr-CH"/>
              </w:rPr>
              <w:t>B. Continuous DR, Continuous R</w:t>
            </w:r>
            <w:r>
              <w:rPr>
                <w:lang w:val="fr-CH"/>
              </w:rPr>
              <w:t>B</w:t>
            </w:r>
          </w:p>
        </w:tc>
        <w:tc>
          <w:tcPr>
            <w:tcW w:w="720" w:type="dxa"/>
          </w:tcPr>
          <w:p w14:paraId="6BB7D4C1" w14:textId="77777777" w:rsidR="0051378E" w:rsidRPr="002A1778" w:rsidRDefault="0051378E" w:rsidP="00636D90">
            <w:pPr>
              <w:rPr>
                <w:lang w:val="fr-CH"/>
              </w:rPr>
            </w:pPr>
            <w:r>
              <w:t>Inf</w:t>
            </w:r>
          </w:p>
        </w:tc>
        <w:tc>
          <w:tcPr>
            <w:tcW w:w="900" w:type="dxa"/>
          </w:tcPr>
          <w:p w14:paraId="0669E169" w14:textId="77777777" w:rsidR="0051378E" w:rsidRPr="002A1778" w:rsidRDefault="0051378E" w:rsidP="00636D90">
            <w:pPr>
              <w:rPr>
                <w:lang w:val="fr-CH"/>
              </w:rPr>
            </w:pPr>
          </w:p>
        </w:tc>
        <w:tc>
          <w:tcPr>
            <w:tcW w:w="810" w:type="dxa"/>
          </w:tcPr>
          <w:p w14:paraId="26F91ED6" w14:textId="77777777" w:rsidR="0051378E" w:rsidRPr="002A1778" w:rsidRDefault="0051378E" w:rsidP="00636D90">
            <w:pPr>
              <w:rPr>
                <w:lang w:val="fr-CH"/>
              </w:rPr>
            </w:pPr>
          </w:p>
        </w:tc>
        <w:tc>
          <w:tcPr>
            <w:tcW w:w="900" w:type="dxa"/>
          </w:tcPr>
          <w:p w14:paraId="3E20B93B" w14:textId="77777777" w:rsidR="0051378E" w:rsidRPr="002A1778" w:rsidRDefault="0051378E" w:rsidP="00636D90">
            <w:pPr>
              <w:rPr>
                <w:lang w:val="fr-CH"/>
              </w:rPr>
            </w:pPr>
          </w:p>
        </w:tc>
        <w:tc>
          <w:tcPr>
            <w:tcW w:w="1080" w:type="dxa"/>
          </w:tcPr>
          <w:p w14:paraId="086EDCD6" w14:textId="77777777" w:rsidR="0051378E" w:rsidRPr="002A1778" w:rsidRDefault="0051378E" w:rsidP="00636D90">
            <w:pPr>
              <w:rPr>
                <w:lang w:val="fr-CH"/>
              </w:rPr>
            </w:pPr>
          </w:p>
        </w:tc>
      </w:tr>
      <w:tr w:rsidR="0051378E" w:rsidRPr="00D03792" w14:paraId="58B18C12" w14:textId="77777777" w:rsidTr="00636D90">
        <w:tc>
          <w:tcPr>
            <w:tcW w:w="3600" w:type="dxa"/>
          </w:tcPr>
          <w:p w14:paraId="3A7AE99D" w14:textId="77777777" w:rsidR="0051378E" w:rsidRPr="002A1778" w:rsidRDefault="0051378E" w:rsidP="00636D90">
            <w:pPr>
              <w:pStyle w:val="Compact"/>
              <w:rPr>
                <w:lang w:val="fr-CH"/>
              </w:rPr>
            </w:pPr>
            <w:r w:rsidRPr="002A1778">
              <w:rPr>
                <w:lang w:val="fr-CH"/>
              </w:rPr>
              <w:t>A. Constant DR, Constant R</w:t>
            </w:r>
            <w:r>
              <w:rPr>
                <w:lang w:val="fr-CH"/>
              </w:rPr>
              <w:t>B</w:t>
            </w:r>
          </w:p>
        </w:tc>
        <w:tc>
          <w:tcPr>
            <w:tcW w:w="720" w:type="dxa"/>
          </w:tcPr>
          <w:p w14:paraId="1860F16C" w14:textId="77777777" w:rsidR="0051378E" w:rsidRPr="002A1778" w:rsidRDefault="0051378E" w:rsidP="00636D90">
            <w:pPr>
              <w:rPr>
                <w:lang w:val="fr-CH"/>
              </w:rPr>
            </w:pPr>
          </w:p>
        </w:tc>
        <w:tc>
          <w:tcPr>
            <w:tcW w:w="900" w:type="dxa"/>
          </w:tcPr>
          <w:p w14:paraId="5A1A775A" w14:textId="77777777" w:rsidR="0051378E" w:rsidRPr="002A1778" w:rsidRDefault="0051378E" w:rsidP="00636D90">
            <w:pPr>
              <w:rPr>
                <w:lang w:val="fr-CH"/>
              </w:rPr>
            </w:pPr>
          </w:p>
        </w:tc>
        <w:tc>
          <w:tcPr>
            <w:tcW w:w="810" w:type="dxa"/>
          </w:tcPr>
          <w:p w14:paraId="44619D99" w14:textId="77777777" w:rsidR="0051378E" w:rsidRPr="002A1778" w:rsidRDefault="0051378E" w:rsidP="00636D90">
            <w:pPr>
              <w:rPr>
                <w:lang w:val="fr-CH"/>
              </w:rPr>
            </w:pPr>
          </w:p>
        </w:tc>
        <w:tc>
          <w:tcPr>
            <w:tcW w:w="900" w:type="dxa"/>
          </w:tcPr>
          <w:p w14:paraId="6FE7D19E" w14:textId="77777777" w:rsidR="0051378E" w:rsidRPr="002A1778" w:rsidRDefault="0051378E" w:rsidP="00636D90">
            <w:pPr>
              <w:rPr>
                <w:lang w:val="fr-CH"/>
              </w:rPr>
            </w:pPr>
          </w:p>
        </w:tc>
        <w:tc>
          <w:tcPr>
            <w:tcW w:w="1080" w:type="dxa"/>
          </w:tcPr>
          <w:p w14:paraId="2B618ED7" w14:textId="77777777" w:rsidR="0051378E" w:rsidRPr="002A1778" w:rsidRDefault="0051378E" w:rsidP="00636D90">
            <w:pPr>
              <w:rPr>
                <w:lang w:val="fr-CH"/>
              </w:rPr>
            </w:pPr>
          </w:p>
        </w:tc>
      </w:tr>
      <w:bookmarkEnd w:id="5"/>
    </w:tbl>
    <w:p w14:paraId="2E5770B2" w14:textId="77777777" w:rsidR="0051378E" w:rsidRPr="006477DE" w:rsidRDefault="0051378E" w:rsidP="0051378E">
      <w:pPr>
        <w:pStyle w:val="BodyText"/>
        <w:rPr>
          <w:lang w:val="fr-CH"/>
        </w:rPr>
      </w:pPr>
    </w:p>
    <w:p w14:paraId="56C1B56F" w14:textId="77777777" w:rsidR="00342BD7" w:rsidRDefault="00342BD7"/>
    <w:sectPr w:rsidR="00342BD7" w:rsidSect="00D22797">
      <w:headerReference w:type="default" r:id="rId4"/>
      <w:pgSz w:w="12240" w:h="15840"/>
      <w:pgMar w:top="1080" w:right="1080" w:bottom="1080" w:left="1080" w:header="720" w:footer="720" w:gutter="0"/>
      <w:lnNumType w:countBy="1" w:restart="continuou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258789"/>
      <w:docPartObj>
        <w:docPartGallery w:val="Page Numbers (Top of Page)"/>
        <w:docPartUnique/>
      </w:docPartObj>
    </w:sdtPr>
    <w:sdtEndPr>
      <w:rPr>
        <w:noProof/>
      </w:rPr>
    </w:sdtEndPr>
    <w:sdtContent>
      <w:p w14:paraId="6B8B348D" w14:textId="77777777" w:rsidR="00BD789E" w:rsidRDefault="005137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6C07E6" w14:textId="77777777" w:rsidR="00BD789E" w:rsidRDefault="00513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8E"/>
    <w:rsid w:val="00342BD7"/>
    <w:rsid w:val="0051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83A"/>
  <w15:chartTrackingRefBased/>
  <w15:docId w15:val="{D62C1DB8-AD44-4AD3-A8E6-27115CAB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8E"/>
    <w:pPr>
      <w:spacing w:after="0" w:line="360" w:lineRule="auto"/>
    </w:pPr>
    <w:rPr>
      <w:rFonts w:ascii="Times New Roman" w:hAnsi="Times New Roman" w:cs="Times New Roman"/>
    </w:rPr>
  </w:style>
  <w:style w:type="paragraph" w:styleId="Heading1">
    <w:name w:val="heading 1"/>
    <w:basedOn w:val="Normal"/>
    <w:next w:val="BodyText"/>
    <w:link w:val="Heading1Char"/>
    <w:uiPriority w:val="9"/>
    <w:qFormat/>
    <w:rsid w:val="0051378E"/>
    <w:pPr>
      <w:keepNext/>
      <w:keepLines/>
      <w:spacing w:before="480"/>
      <w:jc w:val="center"/>
      <w:outlineLvl w:val="0"/>
    </w:pPr>
    <w:rPr>
      <w:rFonts w:eastAsiaTheme="majorEastAsia"/>
      <w:b/>
      <w:bCs/>
    </w:rPr>
  </w:style>
  <w:style w:type="paragraph" w:styleId="Heading2">
    <w:name w:val="heading 2"/>
    <w:basedOn w:val="Normal"/>
    <w:next w:val="BodyText"/>
    <w:link w:val="Heading2Char"/>
    <w:uiPriority w:val="9"/>
    <w:unhideWhenUsed/>
    <w:qFormat/>
    <w:rsid w:val="0051378E"/>
    <w:pPr>
      <w:keepNext/>
      <w:keepLines/>
      <w:spacing w:before="200"/>
      <w:outlineLvl w:val="1"/>
    </w:pPr>
    <w:rPr>
      <w:rFonts w:eastAsiaTheme="majorEastAsia"/>
      <w:b/>
      <w:bCs/>
      <w:i/>
      <w:iCs/>
    </w:rPr>
  </w:style>
  <w:style w:type="paragraph" w:styleId="Heading5">
    <w:name w:val="heading 5"/>
    <w:basedOn w:val="Normal"/>
    <w:next w:val="BodyText"/>
    <w:link w:val="Heading5Char"/>
    <w:uiPriority w:val="9"/>
    <w:unhideWhenUsed/>
    <w:qFormat/>
    <w:rsid w:val="0051378E"/>
    <w:pPr>
      <w:keepNext/>
      <w:keepLines/>
      <w:spacing w:before="200"/>
      <w:outlineLvl w:val="4"/>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78E"/>
    <w:rPr>
      <w:rFonts w:ascii="Times New Roman" w:eastAsiaTheme="majorEastAsia" w:hAnsi="Times New Roman" w:cs="Times New Roman"/>
      <w:b/>
      <w:bCs/>
    </w:rPr>
  </w:style>
  <w:style w:type="character" w:customStyle="1" w:styleId="Heading2Char">
    <w:name w:val="Heading 2 Char"/>
    <w:basedOn w:val="DefaultParagraphFont"/>
    <w:link w:val="Heading2"/>
    <w:uiPriority w:val="9"/>
    <w:rsid w:val="0051378E"/>
    <w:rPr>
      <w:rFonts w:ascii="Times New Roman" w:eastAsiaTheme="majorEastAsia" w:hAnsi="Times New Roman" w:cs="Times New Roman"/>
      <w:b/>
      <w:bCs/>
      <w:i/>
      <w:iCs/>
    </w:rPr>
  </w:style>
  <w:style w:type="character" w:customStyle="1" w:styleId="Heading5Char">
    <w:name w:val="Heading 5 Char"/>
    <w:basedOn w:val="DefaultParagraphFont"/>
    <w:link w:val="Heading5"/>
    <w:uiPriority w:val="9"/>
    <w:rsid w:val="0051378E"/>
    <w:rPr>
      <w:rFonts w:ascii="Times New Roman" w:eastAsiaTheme="majorEastAsia" w:hAnsi="Times New Roman" w:cs="Times New Roman"/>
      <w:iCs/>
    </w:rPr>
  </w:style>
  <w:style w:type="paragraph" w:styleId="BodyText">
    <w:name w:val="Body Text"/>
    <w:basedOn w:val="Normal"/>
    <w:link w:val="BodyTextChar"/>
    <w:qFormat/>
    <w:rsid w:val="0051378E"/>
  </w:style>
  <w:style w:type="character" w:customStyle="1" w:styleId="BodyTextChar">
    <w:name w:val="Body Text Char"/>
    <w:basedOn w:val="DefaultParagraphFont"/>
    <w:link w:val="BodyText"/>
    <w:rsid w:val="0051378E"/>
    <w:rPr>
      <w:rFonts w:ascii="Times New Roman" w:hAnsi="Times New Roman" w:cs="Times New Roman"/>
    </w:rPr>
  </w:style>
  <w:style w:type="paragraph" w:customStyle="1" w:styleId="FirstParagraph">
    <w:name w:val="First Paragraph"/>
    <w:basedOn w:val="BodyText"/>
    <w:next w:val="BodyText"/>
    <w:qFormat/>
    <w:rsid w:val="0051378E"/>
  </w:style>
  <w:style w:type="paragraph" w:customStyle="1" w:styleId="Compact">
    <w:name w:val="Compact"/>
    <w:basedOn w:val="BodyText"/>
    <w:qFormat/>
    <w:rsid w:val="0051378E"/>
    <w:pPr>
      <w:spacing w:before="36" w:after="36"/>
    </w:pPr>
  </w:style>
  <w:style w:type="table" w:customStyle="1" w:styleId="Table">
    <w:name w:val="Table"/>
    <w:semiHidden/>
    <w:unhideWhenUsed/>
    <w:qFormat/>
    <w:rsid w:val="0051378E"/>
    <w:pPr>
      <w:spacing w:after="200"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VerbatimChar">
    <w:name w:val="Verbatim Char"/>
    <w:basedOn w:val="DefaultParagraphFont"/>
    <w:link w:val="SourceCode"/>
    <w:rsid w:val="0051378E"/>
    <w:rPr>
      <w:rFonts w:ascii="Consolas" w:hAnsi="Consolas"/>
      <w:shd w:val="clear" w:color="auto" w:fill="F8F8F8"/>
    </w:rPr>
  </w:style>
  <w:style w:type="paragraph" w:customStyle="1" w:styleId="SourceCode">
    <w:name w:val="Source Code"/>
    <w:basedOn w:val="Normal"/>
    <w:link w:val="VerbatimChar"/>
    <w:rsid w:val="0051378E"/>
    <w:pPr>
      <w:shd w:val="clear" w:color="auto" w:fill="F8F8F8"/>
      <w:wordWrap w:val="0"/>
    </w:pPr>
    <w:rPr>
      <w:rFonts w:ascii="Consolas" w:hAnsi="Consolas" w:cstheme="minorBidi"/>
    </w:rPr>
  </w:style>
  <w:style w:type="paragraph" w:styleId="Header">
    <w:name w:val="header"/>
    <w:basedOn w:val="Normal"/>
    <w:link w:val="HeaderChar"/>
    <w:uiPriority w:val="99"/>
    <w:unhideWhenUsed/>
    <w:rsid w:val="0051378E"/>
    <w:pPr>
      <w:tabs>
        <w:tab w:val="center" w:pos="4680"/>
        <w:tab w:val="right" w:pos="9360"/>
      </w:tabs>
      <w:spacing w:line="240" w:lineRule="auto"/>
    </w:pPr>
  </w:style>
  <w:style w:type="character" w:customStyle="1" w:styleId="HeaderChar">
    <w:name w:val="Header Char"/>
    <w:basedOn w:val="DefaultParagraphFont"/>
    <w:link w:val="Header"/>
    <w:uiPriority w:val="99"/>
    <w:rsid w:val="0051378E"/>
    <w:rPr>
      <w:rFonts w:ascii="Times New Roman" w:hAnsi="Times New Roman" w:cs="Times New Roman"/>
    </w:rPr>
  </w:style>
  <w:style w:type="character" w:styleId="LineNumber">
    <w:name w:val="line number"/>
    <w:basedOn w:val="DefaultParagraphFont"/>
    <w:uiPriority w:val="99"/>
    <w:semiHidden/>
    <w:unhideWhenUsed/>
    <w:rsid w:val="0051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5095</Characters>
  <Application>Microsoft Office Word</Application>
  <DocSecurity>0</DocSecurity>
  <Lines>42</Lines>
  <Paragraphs>11</Paragraphs>
  <ScaleCrop>false</ScaleCrop>
  <Company>Springer Nature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2022-10-21T05:14:00Z</dcterms:created>
  <dcterms:modified xsi:type="dcterms:W3CDTF">2022-10-21T05:15:00Z</dcterms:modified>
</cp:coreProperties>
</file>