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AD71E" w14:textId="77777777" w:rsidR="00C35397" w:rsidRDefault="00C35397" w:rsidP="00C35397">
      <w:pPr>
        <w:tabs>
          <w:tab w:val="left" w:pos="407"/>
        </w:tabs>
        <w:jc w:val="center"/>
        <w:rPr>
          <w:b/>
          <w:bCs/>
          <w:sz w:val="28"/>
          <w:szCs w:val="28"/>
          <w:u w:val="single"/>
        </w:rPr>
      </w:pPr>
      <w:r>
        <w:rPr>
          <w:b/>
          <w:bCs/>
          <w:sz w:val="28"/>
          <w:szCs w:val="28"/>
          <w:u w:val="single"/>
        </w:rPr>
        <w:t>Supplementary material</w:t>
      </w:r>
    </w:p>
    <w:p w14:paraId="04DB8F51" w14:textId="77777777" w:rsidR="00C35397" w:rsidRDefault="00C35397" w:rsidP="00C35397">
      <w:pPr>
        <w:tabs>
          <w:tab w:val="left" w:pos="407"/>
        </w:tabs>
        <w:jc w:val="center"/>
        <w:rPr>
          <w:b/>
          <w:bCs/>
          <w:sz w:val="28"/>
          <w:szCs w:val="28"/>
          <w:u w:val="single"/>
        </w:rPr>
      </w:pPr>
    </w:p>
    <w:p w14:paraId="7615BBD0" w14:textId="77777777" w:rsidR="00C35397" w:rsidRDefault="00C35397" w:rsidP="00C35397">
      <w:pPr>
        <w:tabs>
          <w:tab w:val="left" w:pos="407"/>
        </w:tabs>
        <w:jc w:val="center"/>
        <w:rPr>
          <w:b/>
          <w:bCs/>
          <w:sz w:val="28"/>
          <w:szCs w:val="28"/>
          <w:u w:val="single"/>
        </w:rPr>
      </w:pPr>
    </w:p>
    <w:p w14:paraId="3AD30CE7" w14:textId="77777777" w:rsidR="00C35397" w:rsidRDefault="00C35397" w:rsidP="00C35397">
      <w:pPr>
        <w:tabs>
          <w:tab w:val="left" w:pos="407"/>
        </w:tabs>
        <w:rPr>
          <w:b/>
          <w:bCs/>
          <w:sz w:val="28"/>
          <w:szCs w:val="28"/>
          <w:u w:val="single"/>
        </w:rPr>
      </w:pPr>
    </w:p>
    <w:p w14:paraId="4DA2DAF3" w14:textId="24F6AEDE" w:rsidR="00C35397" w:rsidRDefault="00C35397" w:rsidP="00C35397">
      <w:pPr>
        <w:spacing w:after="120" w:line="276" w:lineRule="auto"/>
      </w:pPr>
      <w:r>
        <w:rPr>
          <w:noProof/>
        </w:rPr>
        <w:drawing>
          <wp:inline distT="0" distB="0" distL="0" distR="0" wp14:anchorId="43A2095B" wp14:editId="30FAEA2E">
            <wp:extent cx="5943600" cy="4314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314825"/>
                    </a:xfrm>
                    <a:prstGeom prst="rect">
                      <a:avLst/>
                    </a:prstGeom>
                    <a:noFill/>
                    <a:ln>
                      <a:noFill/>
                    </a:ln>
                  </pic:spPr>
                </pic:pic>
              </a:graphicData>
            </a:graphic>
          </wp:inline>
        </w:drawing>
      </w:r>
      <w:r>
        <w:rPr>
          <w:b/>
          <w:bCs/>
        </w:rPr>
        <w:t>Supp. Figure 1.</w:t>
      </w:r>
      <w:r>
        <w:t xml:space="preserve"> Results of </w:t>
      </w:r>
      <w:proofErr w:type="spellStart"/>
      <w:r>
        <w:t>Lövsund</w:t>
      </w:r>
      <w:proofErr w:type="spellEnd"/>
      <w:r>
        <w:t xml:space="preserve"> et al.</w:t>
      </w:r>
      <w:r>
        <w:fldChar w:fldCharType="begin" w:fldLock="1"/>
      </w:r>
      <w:r>
        <w:instrText>ADDIN CSL_CITATION {"citationItems":[{"id":"ITEM-1","itemData":{"PMID":"525304","abstract":"The strong electric currents used for heating purposes in welding and steel industries set up related magnetic fields (generally 0.1--10 mT and 50 Hz). Such fields 10--50 Hz, 0--40 mT) were used to induce visual light phenomena, magnetophosphenes. Threshold values for magnetophosphenes were determined as a function of magnetic field frequency as well as colour and intensity of the background illumination. A typical sensitivity maximum was found at 20--25 Hz. Differences between volunteers with normal colour vision and colour defective ones were observed. The frog retina was exposed to the same type of fields. Retinal activity, induced by the fields, was registered from the ganglion cell layer by means of microelectrode technique. The results indicate that magnetophosphenes are generated in the retina and in the same channels that are normally propagating signals induced by light of different qualities. The findings may be of guidance when formulating threshold limit values for extremely low frequency electromagnetic fields in industry.","author":[{"dropping-particle":"","family":"Lovsund","given":"P","non-dropping-particle":"","parse-names":false,"suffix":""},{"dropping-particle":"","family":"Oberg","given":"P A","non-dropping-particle":"","parse-names":false,"suffix":""},{"dropping-particle":"","family":"Nilsson","given":"S E","non-dropping-particle":"","parse-names":false,"suffix":""}],"container-title":"Acta Ophthalmol (Copenh)","id":"ITEM-1","issue":"5","issued":{"date-parts":[["1979"]]},"note":"0001-639X (Print)\nJournal Article","page":"812-821","title":"Influence on vision of extremely low frequence electromagnetic fields. Industrial measurements, magnetophosphene studies volunteers and intraretinal studies in animals","type":"article-journal","volume":"57"},"uris":["http://www.mendeley.com/documents/?uuid=8d772bb6-65e9-48de-9d9b-2822281ef3c6"]}],"mendeley":{"formattedCitation":"&lt;sup&gt;12&lt;/sup&gt;","plainTextFormattedCitation":"12","previouslyFormattedCitation":"&lt;sup&gt;12&lt;/sup&gt;"},"properties":{"noteIndex":0},"schema":"https://github.com/citation-style-language/schema/raw/master/csl-citation.json"}</w:instrText>
      </w:r>
      <w:r>
        <w:fldChar w:fldCharType="separate"/>
      </w:r>
      <w:r>
        <w:rPr>
          <w:noProof/>
          <w:vertAlign w:val="superscript"/>
        </w:rPr>
        <w:t>12</w:t>
      </w:r>
      <w:r>
        <w:fldChar w:fldCharType="end"/>
      </w:r>
      <w:r>
        <w:t xml:space="preserve"> plotted as </w:t>
      </w:r>
      <w:r>
        <w:rPr>
          <w:i/>
          <w:iCs/>
        </w:rPr>
        <w:t>RMS</w:t>
      </w:r>
      <w:r>
        <w:t xml:space="preserve"> </w:t>
      </w:r>
      <w:r>
        <w:rPr>
          <w:i/>
          <w:iCs/>
        </w:rPr>
        <w:t>B</w:t>
      </w:r>
      <w:r>
        <w:t xml:space="preserve">-threshold vs frequency (right vertical axis, red curve) and as </w:t>
      </w:r>
      <w:r>
        <w:rPr>
          <w:i/>
          <w:iCs/>
        </w:rPr>
        <w:t>RMS</w:t>
      </w:r>
      <w:r>
        <w:t xml:space="preserve"> </w:t>
      </w:r>
      <w:r>
        <w:rPr>
          <w:i/>
          <w:iCs/>
        </w:rPr>
        <w:t>dB</w:t>
      </w:r>
      <w:r>
        <w:t>/</w:t>
      </w:r>
      <w:r>
        <w:rPr>
          <w:i/>
          <w:iCs/>
        </w:rPr>
        <w:t>dt</w:t>
      </w:r>
      <w:r>
        <w:t xml:space="preserve"> as estimated from the published graph. Both curves reflect a minimum threshold at a frequency (</w:t>
      </w:r>
      <w:r>
        <w:rPr>
          <w:i/>
          <w:iCs/>
        </w:rPr>
        <w:t>f</w:t>
      </w:r>
      <w:r>
        <w:t>) of 20 Hz. The experiment was conducted with 3 cd/m</w:t>
      </w:r>
      <w:r>
        <w:rPr>
          <w:vertAlign w:val="superscript"/>
        </w:rPr>
        <w:t>2</w:t>
      </w:r>
      <w:r>
        <w:t xml:space="preserve"> lighting in a sample of 10 subjects. cd, candela</w:t>
      </w:r>
    </w:p>
    <w:p w14:paraId="7BB67EBB" w14:textId="77777777" w:rsidR="00C35397" w:rsidRDefault="00C35397" w:rsidP="00C35397">
      <w:r>
        <w:br w:type="page"/>
      </w:r>
    </w:p>
    <w:p w14:paraId="2328BFB3" w14:textId="16ECD8F5" w:rsidR="00C35397" w:rsidRDefault="00C35397" w:rsidP="00C35397">
      <w:pPr>
        <w:spacing w:after="120" w:line="360" w:lineRule="auto"/>
      </w:pPr>
      <w:r>
        <w:rPr>
          <w:noProof/>
        </w:rPr>
        <w:lastRenderedPageBreak/>
        <w:drawing>
          <wp:inline distT="0" distB="0" distL="0" distR="0" wp14:anchorId="3A4DC2A6" wp14:editId="170787AE">
            <wp:extent cx="5943600" cy="432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324350"/>
                    </a:xfrm>
                    <a:prstGeom prst="rect">
                      <a:avLst/>
                    </a:prstGeom>
                    <a:noFill/>
                    <a:ln>
                      <a:noFill/>
                    </a:ln>
                  </pic:spPr>
                </pic:pic>
              </a:graphicData>
            </a:graphic>
          </wp:inline>
        </w:drawing>
      </w:r>
    </w:p>
    <w:p w14:paraId="6D4F01ED" w14:textId="77777777" w:rsidR="00C35397" w:rsidRDefault="00C35397" w:rsidP="00C35397">
      <w:pPr>
        <w:spacing w:after="120" w:line="276" w:lineRule="auto"/>
      </w:pPr>
      <w:r>
        <w:rPr>
          <w:b/>
          <w:bCs/>
        </w:rPr>
        <w:t>Supp. Figure 2.</w:t>
      </w:r>
      <w:r>
        <w:t xml:space="preserve"> Comparison of the results of three experiments by </w:t>
      </w:r>
      <w:proofErr w:type="spellStart"/>
      <w:r>
        <w:t>Lövsund</w:t>
      </w:r>
      <w:proofErr w:type="spellEnd"/>
      <w:r>
        <w:t xml:space="preserve"> et al. to the results of the study described in this paper. The red curve is the same as the red curve in Supp. Fig. 1.</w:t>
      </w:r>
      <w:r>
        <w:fldChar w:fldCharType="begin" w:fldLock="1"/>
      </w:r>
      <w:r>
        <w:instrText>ADDIN CSL_CITATION {"citationItems":[{"id":"ITEM-1","itemData":{"PMID":"525304","abstract":"The strong electric currents used for heating purposes in welding and steel industries set up related magnetic fields (generally 0.1--10 mT and 50 Hz). Such fields 10--50 Hz, 0--40 mT) were used to induce visual light phenomena, magnetophosphenes. Threshold values for magnetophosphenes were determined as a function of magnetic field frequency as well as colour and intensity of the background illumination. A typical sensitivity maximum was found at 20--25 Hz. Differences between volunteers with normal colour vision and colour defective ones were observed. The frog retina was exposed to the same type of fields. Retinal activity, induced by the fields, was registered from the ganglion cell layer by means of microelectrode technique. The results indicate that magnetophosphenes are generated in the retina and in the same channels that are normally propagating signals induced by light of different qualities. The findings may be of guidance when formulating threshold limit values for extremely low frequency electromagnetic fields in industry.","author":[{"dropping-particle":"","family":"Lovsund","given":"P","non-dropping-particle":"","parse-names":false,"suffix":""},{"dropping-particle":"","family":"Oberg","given":"P A","non-dropping-particle":"","parse-names":false,"suffix":""},{"dropping-particle":"","family":"Nilsson","given":"S E","non-dropping-particle":"","parse-names":false,"suffix":""}],"container-title":"Acta Ophthalmol (Copenh)","id":"ITEM-1","issue":"5","issued":{"date-parts":[["1979"]]},"note":"0001-639X (Print)\nJournal Article","page":"812-821","title":"Influence on vision of extremely low frequence electromagnetic fields. Industrial measurements, magnetophosphene studies volunteers and intraretinal studies in animals","type":"article-journal","volume":"57"},"uris":["http://www.mendeley.com/documents/?uuid=8d772bb6-65e9-48de-9d9b-2822281ef3c6"]}],"mendeley":{"formattedCitation":"&lt;sup&gt;12&lt;/sup&gt;","plainTextFormattedCitation":"12","previouslyFormattedCitation":"&lt;sup&gt;12&lt;/sup&gt;"},"properties":{"noteIndex":0},"schema":"https://github.com/citation-style-language/schema/raw/master/csl-citation.json"}</w:instrText>
      </w:r>
      <w:r>
        <w:fldChar w:fldCharType="separate"/>
      </w:r>
      <w:r>
        <w:rPr>
          <w:noProof/>
          <w:vertAlign w:val="superscript"/>
        </w:rPr>
        <w:t>12</w:t>
      </w:r>
      <w:r>
        <w:fldChar w:fldCharType="end"/>
      </w:r>
      <w:r>
        <w:t xml:space="preserve"> The green and purple curves each represent a sample of 11 subjects</w:t>
      </w:r>
      <w:r>
        <w:fldChar w:fldCharType="begin" w:fldLock="1"/>
      </w:r>
      <w:r>
        <w:instrText>ADDIN CSL_CITATION {"citationItems":[{"id":"ITEM-1","itemData":{"DOI":"10.1007/BF02443387","ISSN":"0140-0118","PMID":"6968384","abstract":"Low-frequency and transient magnetic fields of moderate flux densities ate known to generate visual phenomena, so-called magnetophosphenes. In the present study, time-variable very low frequency (10-50 Hz) electromagnetic fields of moderate flux density (0-40 mT) were used to induce magnetophosphenes. The threshold values for these phosphenes were determined as a function of the frequency of the magnetic field both in normal subjects and co/our defective ones. Maximum sensitivity occurred 'at a frequency of approximately 20--30 Hz, and with broad-spectrum light the threshold flux deo~ity was 10-12 m T. The threshold values were found to be dependent upon the intensity and the spectral distribution of the background light. Sensitivity decreased during dark adaptation, in certain respects deutans differed from subjects with normal colour vision. Possible mechanisms for generation of magnetophosphenes are discussed. The present magnetic threshold curves show a close resemblance to correspond- ing curves obtained by electric stimulation at various frequencies provided the electric thresholds are divided by the a.c. h equency. These problems are under current investigation in our laboratory. This is in full agreement with the assumption that the fluctuating magnetic field affects retinal neurons by inducing currents which polarise synaptic terminals,","author":[{"dropping-particle":"","family":"Lövsund","given":"P.","non-dropping-particle":"","parse-names":false,"suffix":""},{"dropping-particle":"","family":"Öberg","given":"P. Å","non-dropping-particle":"","parse-names":false,"suffix":""},{"dropping-particle":"","family":"Nilsson","given":"S. E G","non-dropping-particle":"","parse-names":false,"suffix":""},{"dropping-particle":"","family":"Reuter","given":"T.","non-dropping-particle":"","parse-names":false,"suffix":""}],"container-title":"Medical &amp; Biological Engineering &amp; Computing","id":"ITEM-1","issue":"3","issued":{"date-parts":[["1980","5"]]},"page":"326-334","title":"Magnetophosphenes: a quantitative analysis of thresholds","type":"article-journal","volume":"18"},"uris":["http://www.mendeley.com/documents/?uuid=e84dfa4d-e764-4893-9b05-27f6d5651f78"]}],"mendeley":{"formattedCitation":"&lt;sup&gt;30&lt;/sup&gt;","plainTextFormattedCitation":"30","previouslyFormattedCitation":"&lt;sup&gt;30&lt;/sup&gt;"},"properties":{"noteIndex":0},"schema":"https://github.com/citation-style-language/schema/raw/master/csl-citation.json"}</w:instrText>
      </w:r>
      <w:r>
        <w:fldChar w:fldCharType="separate"/>
      </w:r>
      <w:r>
        <w:rPr>
          <w:noProof/>
          <w:vertAlign w:val="superscript"/>
        </w:rPr>
        <w:t>30</w:t>
      </w:r>
      <w:r>
        <w:fldChar w:fldCharType="end"/>
      </w:r>
      <w:r>
        <w:t xml:space="preserve">. The blue (GLO) and red (RET) curves display the results of the study described in this paper. Note that the </w:t>
      </w:r>
      <w:proofErr w:type="spellStart"/>
      <w:r>
        <w:t>Lövsund</w:t>
      </w:r>
      <w:proofErr w:type="spellEnd"/>
      <w:r>
        <w:t xml:space="preserve"> et al. experiment in the dark did not exhibit a minimum threshold like the two other curves (red and green) with low lighting levels. For </w:t>
      </w:r>
      <w:proofErr w:type="spellStart"/>
      <w:r>
        <w:t>Lovsund</w:t>
      </w:r>
      <w:proofErr w:type="spellEnd"/>
      <w:r>
        <w:t xml:space="preserve"> et al. the three</w:t>
      </w:r>
      <w:r>
        <w:rPr>
          <w:i/>
          <w:iCs/>
        </w:rPr>
        <w:t xml:space="preserve"> dB</w:t>
      </w:r>
      <w:r>
        <w:t>/</w:t>
      </w:r>
      <w:r>
        <w:rPr>
          <w:i/>
          <w:iCs/>
        </w:rPr>
        <w:t>dt</w:t>
      </w:r>
      <w:r>
        <w:t xml:space="preserve"> thresholds were estimated from the published graphs, with the originals published as </w:t>
      </w:r>
      <w:r>
        <w:rPr>
          <w:i/>
          <w:iCs/>
        </w:rPr>
        <w:t>B</w:t>
      </w:r>
      <w:r>
        <w:t xml:space="preserve"> vs </w:t>
      </w:r>
      <w:r>
        <w:rPr>
          <w:i/>
          <w:iCs/>
        </w:rPr>
        <w:t>f</w:t>
      </w:r>
      <w:r>
        <w:t>. cd, candela.</w:t>
      </w:r>
    </w:p>
    <w:p w14:paraId="0B09E161" w14:textId="77777777" w:rsidR="00C35397" w:rsidRDefault="00C35397" w:rsidP="00C35397">
      <w:r>
        <w:br w:type="page"/>
      </w:r>
    </w:p>
    <w:p w14:paraId="1517F885" w14:textId="74A7E4A2" w:rsidR="00C35397" w:rsidRDefault="00C35397" w:rsidP="00C35397">
      <w:pPr>
        <w:spacing w:after="120" w:line="360" w:lineRule="auto"/>
        <w:jc w:val="center"/>
      </w:pPr>
      <w:r>
        <w:rPr>
          <w:noProof/>
        </w:rPr>
        <w:lastRenderedPageBreak/>
        <w:drawing>
          <wp:inline distT="0" distB="0" distL="0" distR="0" wp14:anchorId="543124EF" wp14:editId="6AD125E6">
            <wp:extent cx="4400550" cy="320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00550" cy="3200400"/>
                    </a:xfrm>
                    <a:prstGeom prst="rect">
                      <a:avLst/>
                    </a:prstGeom>
                    <a:noFill/>
                    <a:ln>
                      <a:noFill/>
                    </a:ln>
                  </pic:spPr>
                </pic:pic>
              </a:graphicData>
            </a:graphic>
          </wp:inline>
        </w:drawing>
      </w:r>
    </w:p>
    <w:p w14:paraId="53A5B538" w14:textId="71B08BA2" w:rsidR="00C35397" w:rsidRDefault="00C35397" w:rsidP="00C35397">
      <w:pPr>
        <w:spacing w:after="120" w:line="360" w:lineRule="auto"/>
        <w:jc w:val="center"/>
      </w:pPr>
      <w:r>
        <w:rPr>
          <w:noProof/>
        </w:rPr>
        <w:drawing>
          <wp:inline distT="0" distB="0" distL="0" distR="0" wp14:anchorId="7C62BB5D" wp14:editId="5D647385">
            <wp:extent cx="4391025" cy="3200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l="-2" r="3394"/>
                    <a:stretch>
                      <a:fillRect/>
                    </a:stretch>
                  </pic:blipFill>
                  <pic:spPr bwMode="auto">
                    <a:xfrm>
                      <a:off x="0" y="0"/>
                      <a:ext cx="4391025" cy="3200400"/>
                    </a:xfrm>
                    <a:prstGeom prst="rect">
                      <a:avLst/>
                    </a:prstGeom>
                    <a:noFill/>
                    <a:ln>
                      <a:noFill/>
                    </a:ln>
                  </pic:spPr>
                </pic:pic>
              </a:graphicData>
            </a:graphic>
          </wp:inline>
        </w:drawing>
      </w:r>
    </w:p>
    <w:p w14:paraId="17261A4F" w14:textId="77777777" w:rsidR="00C35397" w:rsidRDefault="00C35397" w:rsidP="00C35397">
      <w:pPr>
        <w:spacing w:after="120"/>
      </w:pPr>
      <w:r>
        <w:rPr>
          <w:b/>
          <w:bCs/>
        </w:rPr>
        <w:t>Supp. Figure 3.</w:t>
      </w:r>
      <w:r>
        <w:t xml:space="preserve"> Comparisons between the </w:t>
      </w:r>
      <w:r>
        <w:rPr>
          <w:i/>
          <w:iCs/>
        </w:rPr>
        <w:t>B</w:t>
      </w:r>
      <w:r>
        <w:t xml:space="preserve">-field and </w:t>
      </w:r>
      <w:proofErr w:type="spellStart"/>
      <w:r>
        <w:rPr>
          <w:i/>
          <w:iCs/>
        </w:rPr>
        <w:t>E</w:t>
      </w:r>
      <w:r>
        <w:rPr>
          <w:i/>
          <w:iCs/>
          <w:vertAlign w:val="subscript"/>
        </w:rPr>
        <w:t>n</w:t>
      </w:r>
      <w:proofErr w:type="spellEnd"/>
      <w:r>
        <w:t xml:space="preserve"> thresholds for GLO (top) and RET (bottom) modalities reported in this paper with the equivalent values in </w:t>
      </w:r>
      <w:proofErr w:type="spellStart"/>
      <w:r>
        <w:t>Lövsund</w:t>
      </w:r>
      <w:proofErr w:type="spellEnd"/>
      <w:r>
        <w:t xml:space="preserve"> et al.</w:t>
      </w:r>
      <w:r>
        <w:fldChar w:fldCharType="begin" w:fldLock="1"/>
      </w:r>
      <w:r>
        <w:instrText>ADDIN CSL_CITATION {"citationItems":[{"id":"ITEM-1","itemData":{"PMID":"525304","abstract":"The strong electric currents used for heating purposes in welding and steel industries set up related magnetic fields (generally 0.1--10 mT and 50 Hz). Such fields 10--50 Hz, 0--40 mT) were used to induce visual light phenomena, magnetophosphenes. Threshold values for magnetophosphenes were determined as a function of magnetic field frequency as well as colour and intensity of the background illumination. A typical sensitivity maximum was found at 20--25 Hz. Differences between volunteers with normal colour vision and colour defective ones were observed. The frog retina was exposed to the same type of fields. Retinal activity, induced by the fields, was registered from the ganglion cell layer by means of microelectrode technique. The results indicate that magnetophosphenes are generated in the retina and in the same channels that are normally propagating signals induced by light of different qualities. The findings may be of guidance when formulating threshold limit values for extremely low frequency electromagnetic fields in industry.","author":[{"dropping-particle":"","family":"Lovsund","given":"P","non-dropping-particle":"","parse-names":false,"suffix":""},{"dropping-particle":"","family":"Oberg","given":"P A","non-dropping-particle":"","parse-names":false,"suffix":""},{"dropping-particle":"","family":"Nilsson","given":"S E","non-dropping-particle":"","parse-names":false,"suffix":""}],"container-title":"Acta Ophthalmol (Copenh)","id":"ITEM-1","issue":"5","issued":{"date-parts":[["1979"]]},"note":"0001-639X (Print)\nJournal Article","page":"812-821","title":"Influence on vision of extremely low frequence electromagnetic fields. Industrial measurements, magnetophosphene studies volunteers and intraretinal studies in animals","type":"article-journal","volume":"57"},"uris":["http://www.mendeley.com/documents/?uuid=8d772bb6-65e9-48de-9d9b-2822281ef3c6"]}],"mendeley":{"formattedCitation":"&lt;sup&gt;12&lt;/sup&gt;","plainTextFormattedCitation":"12","previouslyFormattedCitation":"&lt;sup&gt;12&lt;/sup&gt;"},"properties":{"noteIndex":0},"schema":"https://github.com/citation-style-language/schema/raw/master/csl-citation.json"}</w:instrText>
      </w:r>
      <w:r>
        <w:fldChar w:fldCharType="separate"/>
      </w:r>
      <w:r>
        <w:rPr>
          <w:noProof/>
          <w:vertAlign w:val="superscript"/>
        </w:rPr>
        <w:t>12</w:t>
      </w:r>
      <w:r>
        <w:fldChar w:fldCharType="end"/>
      </w:r>
      <w:r>
        <w:t xml:space="preserve"> and IEEE Std. C95.1-2019 </w:t>
      </w:r>
      <w:r>
        <w:fldChar w:fldCharType="begin" w:fldLock="1"/>
      </w:r>
      <w:r>
        <w:instrText>ADDIN CSL_CITATION {"citationItems":[{"id":"ITEM-1","itemData":{"ISBN":"9781504455480","abstract":"Safety limits for the protection of persons against the established adverse health effects of exposures to electric, magnetic, and electromagnetic fields in the frequency range 0 Hz to 300 GHz are presented in this standard. These exposure limits are intended to apply generally to persons permitted in restricted environments and to the general public in unrestricted environments. These exposure limits are not intended to apply to the exposure of patients by or under the direction of physicians and medical professionals, as well as to the exposure of informed volunteers in medical or scientific research studies, and might not be protective with respect to the use of medical devices or implants.","author":[{"dropping-particle":"","family":"Institute of Electrical and Electronics Engineers (IEEE)","given":"","non-dropping-particle":"","parse-names":false,"suffix":""}],"container-title":"IEEE Std C95.1-2019","id":"ITEM-1","issued":{"date-parts":[["2019"]]},"title":"IEEE standard for safety levels with respect to human exposure to electric, magnetic, and electromagnetic fields, 0 Hz to 300 GHz","type":"article"},"uris":["http://www.mendeley.com/documents/?uuid=76712656-b42c-4798-8b8b-2d4354edee5f"]}],"mendeley":{"formattedCitation":"&lt;sup&gt;18&lt;/sup&gt;","plainTextFormattedCitation":"18","previouslyFormattedCitation":"&lt;sup&gt;18&lt;/sup&gt;"},"properties":{"noteIndex":0},"schema":"https://github.com/citation-style-language/schema/raw/master/csl-citation.json"}</w:instrText>
      </w:r>
      <w:r>
        <w:fldChar w:fldCharType="separate"/>
      </w:r>
      <w:r>
        <w:rPr>
          <w:noProof/>
          <w:vertAlign w:val="superscript"/>
        </w:rPr>
        <w:t>18</w:t>
      </w:r>
      <w:r>
        <w:fldChar w:fldCharType="end"/>
      </w:r>
      <w:r>
        <w:t xml:space="preserve"> (“IEEE C95.1”). For this paper, the chart shows the 5</w:t>
      </w:r>
      <w:r>
        <w:rPr>
          <w:vertAlign w:val="superscript"/>
        </w:rPr>
        <w:t>th</w:t>
      </w:r>
      <w:r>
        <w:t>, 50</w:t>
      </w:r>
      <w:r>
        <w:rPr>
          <w:vertAlign w:val="superscript"/>
        </w:rPr>
        <w:t>th</w:t>
      </w:r>
      <w:r>
        <w:t>, and 95</w:t>
      </w:r>
      <w:r>
        <w:rPr>
          <w:vertAlign w:val="superscript"/>
        </w:rPr>
        <w:t>th</w:t>
      </w:r>
      <w:r>
        <w:t xml:space="preserve"> percentile </w:t>
      </w:r>
      <w:r>
        <w:rPr>
          <w:i/>
          <w:iCs/>
        </w:rPr>
        <w:t>B</w:t>
      </w:r>
      <w:r>
        <w:t>-field thresholds (</w:t>
      </w:r>
      <w:r>
        <w:rPr>
          <w:i/>
          <w:iCs/>
        </w:rPr>
        <w:t>RMS</w:t>
      </w:r>
      <w:r>
        <w:t xml:space="preserve"> </w:t>
      </w:r>
      <w:proofErr w:type="spellStart"/>
      <w:r>
        <w:t>mT</w:t>
      </w:r>
      <w:proofErr w:type="spellEnd"/>
      <w:r>
        <w:t xml:space="preserve">) as calculated from the logistic regressions for GLO and RET modalities together with the corresponding </w:t>
      </w:r>
      <w:r>
        <w:rPr>
          <w:i/>
          <w:iCs/>
        </w:rPr>
        <w:t>RMS</w:t>
      </w:r>
      <w:r>
        <w:t xml:space="preserve"> </w:t>
      </w:r>
      <w:proofErr w:type="spellStart"/>
      <w:r>
        <w:rPr>
          <w:i/>
          <w:iCs/>
        </w:rPr>
        <w:t>E</w:t>
      </w:r>
      <w:r>
        <w:rPr>
          <w:i/>
          <w:iCs/>
          <w:vertAlign w:val="subscript"/>
        </w:rPr>
        <w:t>n</w:t>
      </w:r>
      <w:r>
        <w:t>s</w:t>
      </w:r>
      <w:proofErr w:type="spellEnd"/>
      <w:r>
        <w:t xml:space="preserve"> in the retina within 90° and between 90°</w:t>
      </w:r>
      <w:r>
        <w:noBreakHyphen/>
        <w:t>135° from the posterior pole of the eye (</w:t>
      </w:r>
      <w:r>
        <w:rPr>
          <w:i/>
          <w:iCs/>
        </w:rPr>
        <w:t>RMS</w:t>
      </w:r>
      <w:r>
        <w:t xml:space="preserve"> mV/m). For IEEE C95.1, the B-field threshold is 8.14 </w:t>
      </w:r>
      <w:proofErr w:type="spellStart"/>
      <w:r>
        <w:t>mT</w:t>
      </w:r>
      <w:proofErr w:type="spellEnd"/>
      <w:r>
        <w:t xml:space="preserve"> </w:t>
      </w:r>
      <w:r>
        <w:rPr>
          <w:i/>
          <w:iCs/>
        </w:rPr>
        <w:t>RMS</w:t>
      </w:r>
      <w:r>
        <w:t xml:space="preserve"> from </w:t>
      </w:r>
      <w:proofErr w:type="spellStart"/>
      <w:r>
        <w:t>Lövsund</w:t>
      </w:r>
      <w:proofErr w:type="spellEnd"/>
      <w:r>
        <w:t xml:space="preserve"> et al. </w:t>
      </w:r>
      <w:r>
        <w:fldChar w:fldCharType="begin" w:fldLock="1"/>
      </w:r>
      <w:r>
        <w:instrText>ADDIN CSL_CITATION {"citationItems":[{"id":"ITEM-1","itemData":{"PMID":"525304","abstract":"The strong electric currents used for heating purposes in welding and steel industries set up related magnetic fields (generally 0.1--10 mT and 50 Hz). Such fields 10--50 Hz, 0--40 mT) were used to induce visual light phenomena, magnetophosphenes. Threshold values for magnetophosphenes were determined as a function of magnetic field frequency as well as colour and intensity of the background illumination. A typical sensitivity maximum was found at 20--25 Hz. Differences between volunteers with normal colour vision and colour defective ones were observed. The frog retina was exposed to the same type of fields. Retinal activity, induced by the fields, was registered from the ganglion cell layer by means of microelectrode technique. The results indicate that magnetophosphenes are generated in the retina and in the same channels that are normally propagating signals induced by light of different qualities. The findings may be of guidance when formulating threshold limit values for extremely low frequency electromagnetic fields in industry.","author":[{"dropping-particle":"","family":"Lovsund","given":"P","non-dropping-particle":"","parse-names":false,"suffix":""},{"dropping-particle":"","family":"Oberg","given":"P A","non-dropping-particle":"","parse-names":false,"suffix":""},{"dropping-particle":"","family":"Nilsson","given":"S E","non-dropping-particle":"","parse-names":false,"suffix":""}],"container-title":"Acta Ophthalmol (Copenh)","id":"ITEM-1","issue":"5","issued":{"date-parts":[["1979"]]},"note":"0001-639X (Print)\nJournal Article","page":"812-821","title":"Influence on vision of extremely low frequence electromagnetic fields. Industrial measurements, magnetophosphene studies volunteers and intraretinal studies in animals","type":"article-journal","volume":"57"},"uris":["http://www.mendeley.com/documents/?uuid=8d772bb6-65e9-48de-9d9b-2822281ef3c6"]}],"mendeley":{"formattedCitation":"&lt;sup&gt;12&lt;/sup&gt;","plainTextFormattedCitation":"12","previouslyFormattedCitation":"&lt;sup&gt;12&lt;/sup&gt;"},"properties":{"noteIndex":0},"schema":"https://github.com/citation-style-language/schema/raw/master/csl-citation.json"}</w:instrText>
      </w:r>
      <w:r>
        <w:fldChar w:fldCharType="separate"/>
      </w:r>
      <w:r>
        <w:rPr>
          <w:noProof/>
          <w:vertAlign w:val="superscript"/>
        </w:rPr>
        <w:t>12</w:t>
      </w:r>
      <w:r>
        <w:fldChar w:fldCharType="end"/>
      </w:r>
      <w:r>
        <w:t xml:space="preserve">, and the E-fields are based on an isotropic elliptical model of a head exposed to an 8.14 </w:t>
      </w:r>
      <w:proofErr w:type="spellStart"/>
      <w:r>
        <w:t>mT</w:t>
      </w:r>
      <w:proofErr w:type="spellEnd"/>
      <w:r>
        <w:t xml:space="preserve"> </w:t>
      </w:r>
      <w:r>
        <w:rPr>
          <w:i/>
          <w:iCs/>
        </w:rPr>
        <w:t>RMS</w:t>
      </w:r>
      <w:r>
        <w:t xml:space="preserve"> LAT-oriented B-field, with a closed form solution at the equivalent </w:t>
      </w:r>
      <w:r>
        <w:lastRenderedPageBreak/>
        <w:t xml:space="preserve">coordinate of the eye. The IEEE </w:t>
      </w:r>
      <w:r>
        <w:fldChar w:fldCharType="begin" w:fldLock="1"/>
      </w:r>
      <w:r>
        <w:instrText>ADDIN CSL_CITATION {"citationItems":[{"id":"ITEM-1","itemData":{"DOI":"10.1109/IEEESTD.2002.94130","ISBN":"0738134775","author":[{"dropping-particle":"","family":"Institute of Electrical and Electronics Engineers Inc.","given":"","non-dropping-particle":"","parse-names":false,"suffix":""}],"container-title":"IEEE Standard C95.6","id":"ITEM-1","issued":{"date-parts":[["2002"]]},"publisher-place":"New York","title":"IEEE Standards for Safety Levels with Respect to Human Exposure to Electromagnetic Fields, 0-3 kHz","type":"report"},"uris":["http://www.mendeley.com/documents/?uuid=3b89eaca-4a0f-4697-abaf-e75a8cbd273b"]}],"mendeley":{"formattedCitation":"&lt;sup&gt;32&lt;/sup&gt;","plainTextFormattedCitation":"32","previouslyFormattedCitation":"&lt;sup&gt;32&lt;/sup&gt;"},"properties":{"noteIndex":0},"schema":"https://github.com/citation-style-language/schema/raw/master/csl-citation.json"}</w:instrText>
      </w:r>
      <w:r>
        <w:fldChar w:fldCharType="separate"/>
      </w:r>
      <w:r>
        <w:rPr>
          <w:noProof/>
          <w:vertAlign w:val="superscript"/>
        </w:rPr>
        <w:t>32</w:t>
      </w:r>
      <w:r>
        <w:fldChar w:fldCharType="end"/>
      </w:r>
      <w:r>
        <w:t xml:space="preserve"> </w:t>
      </w:r>
      <w:r>
        <w:rPr>
          <w:i/>
          <w:iCs/>
        </w:rPr>
        <w:t>E</w:t>
      </w:r>
      <w:r>
        <w:t xml:space="preserve">-field is a single deterministic value from a closed-form solution, that is, with no percentile values. For </w:t>
      </w:r>
      <w:proofErr w:type="spellStart"/>
      <w:r>
        <w:t>Lovsund</w:t>
      </w:r>
      <w:proofErr w:type="spellEnd"/>
      <w:r>
        <w:t xml:space="preserve"> et al., the 50</w:t>
      </w:r>
      <w:r>
        <w:rPr>
          <w:vertAlign w:val="superscript"/>
        </w:rPr>
        <w:t>th</w:t>
      </w:r>
      <w:r>
        <w:t xml:space="preserve"> percentile is the central point plotted on the graph (with a value of 8.14 </w:t>
      </w:r>
      <w:proofErr w:type="spellStart"/>
      <w:r>
        <w:t>mT</w:t>
      </w:r>
      <w:proofErr w:type="spellEnd"/>
      <w:r>
        <w:t xml:space="preserve"> RMS adopted for IEEE C95.1), and the </w:t>
      </w:r>
      <w:r>
        <w:rPr>
          <w:i/>
          <w:iCs/>
        </w:rPr>
        <w:t>E</w:t>
      </w:r>
      <w:r>
        <w:t xml:space="preserve">-fields calculated by </w:t>
      </w:r>
      <w:proofErr w:type="spellStart"/>
      <w:r>
        <w:t>Nissi</w:t>
      </w:r>
      <w:proofErr w:type="spellEnd"/>
      <w:r>
        <w:t xml:space="preserve"> and Laakso</w:t>
      </w:r>
      <w:r>
        <w:fldChar w:fldCharType="begin" w:fldLock="1"/>
      </w:r>
      <w:r>
        <w:instrText>ADDIN CSL_CITATION {"citationItems":[{"id":"ITEM-1","itemData":{"DOI":"10.1088/1361-6560/AC46DF","ISSN":"0031-9155","abstract":"Objective. Sensations of flickering light produced by time-varying magnetic fields or electric currents are called magneto- or electrophosphenes. Phosphene thresholds have been used in international guidelines and standards as an estimate of the thresholds of exposure that produce effects in the central nervous system (CNS). However, the estimated threshold values have a large range of uncertainty. Approach. Phosphene thresholds were approximated by simulating five phosphene threshold experiments. Retinal electric fields and currents induced by electric and magnetic stimulation were calculated using the finite element method and 14 anatomically realistic computational models of human heads. Main results. The radial component of retinal current density was determined to be in the range of 6.0-20.6 mA m-2. This study produces more accurate estimates for threshold current density in the retina using detailed anatomical models and the estimates had a reduced range of uncertainty compared to earlier studies. Significance. The results are useful for studying the mechanisms of retinal phosphenes and for the development of exposure limits for the CNS.","author":[{"dropping-particle":"","family":"Nissi","given":"Janita","non-dropping-particle":"","parse-names":false,"suffix":""},{"dropping-particle":"","family":"Laakso","given":"Ilkka","non-dropping-particle":"","parse-names":false,"suffix":""}],"container-title":"Physics in Medicine &amp; Biology","id":"ITEM-1","issue":"1","issued":{"date-parts":[["2022","1","17"]]},"page":"015001","publisher":"IOP Publishing","title":"Magneto- and electrophosphene thresholds in the retina: a dosimetry modeling study","type":"article-journal","volume":"67"},"uris":["http://www.mendeley.com/documents/?uuid=e637ca19-e70c-35e1-8365-fdc321ade685"]}],"mendeley":{"formattedCitation":"&lt;sup&gt;29&lt;/sup&gt;","plainTextFormattedCitation":"29","previouslyFormattedCitation":"&lt;sup&gt;29&lt;/sup&gt;"},"properties":{"noteIndex":0},"schema":"https://github.com/citation-style-language/schema/raw/master/csl-citation.json"}</w:instrText>
      </w:r>
      <w:r>
        <w:fldChar w:fldCharType="separate"/>
      </w:r>
      <w:r>
        <w:rPr>
          <w:noProof/>
          <w:vertAlign w:val="superscript"/>
        </w:rPr>
        <w:t>29</w:t>
      </w:r>
      <w:r>
        <w:fldChar w:fldCharType="end"/>
      </w:r>
      <w:r>
        <w:t xml:space="preserve">. The standard error of the mean is ~1.8 </w:t>
      </w:r>
      <w:proofErr w:type="spellStart"/>
      <w:r>
        <w:t>mT</w:t>
      </w:r>
      <w:proofErr w:type="spellEnd"/>
      <w:r>
        <w:t xml:space="preserve"> as derived by RK of this paper. </w:t>
      </w:r>
      <w:r>
        <w:rPr>
          <w:i/>
          <w:iCs/>
        </w:rPr>
        <w:t>B</w:t>
      </w:r>
      <w:r>
        <w:noBreakHyphen/>
        <w:t xml:space="preserve">field, blue bars; 0°-90° </w:t>
      </w:r>
      <w:r>
        <w:rPr>
          <w:i/>
          <w:iCs/>
        </w:rPr>
        <w:t>E</w:t>
      </w:r>
      <w:r>
        <w:t>-field, red bars; 90°</w:t>
      </w:r>
      <w:r>
        <w:noBreakHyphen/>
        <w:t xml:space="preserve">135° </w:t>
      </w:r>
      <w:r>
        <w:rPr>
          <w:i/>
          <w:iCs/>
        </w:rPr>
        <w:t>E</w:t>
      </w:r>
      <w:r>
        <w:t xml:space="preserve">-field, green bars. </w:t>
      </w:r>
    </w:p>
    <w:p w14:paraId="2BCC10EF" w14:textId="77777777" w:rsidR="00C35397" w:rsidRDefault="00C35397" w:rsidP="00C35397">
      <w:pPr>
        <w:spacing w:after="120"/>
      </w:pPr>
      <w:r>
        <w:t xml:space="preserve"> </w:t>
      </w:r>
    </w:p>
    <w:p w14:paraId="4EB25832" w14:textId="77777777" w:rsidR="00C35397" w:rsidRDefault="00C35397" w:rsidP="00C35397">
      <w:pPr>
        <w:jc w:val="left"/>
        <w:sectPr w:rsidR="00C35397">
          <w:pgSz w:w="12240" w:h="15840"/>
          <w:pgMar w:top="1440" w:right="1440" w:bottom="1440" w:left="1440" w:header="720" w:footer="720" w:gutter="0"/>
          <w:cols w:space="720"/>
        </w:sectPr>
      </w:pPr>
    </w:p>
    <w:p w14:paraId="2AEE58EC" w14:textId="77777777" w:rsidR="00C35397" w:rsidRDefault="00C35397" w:rsidP="00C35397">
      <w:pPr>
        <w:spacing w:after="120"/>
        <w:ind w:right="1890"/>
        <w:rPr>
          <w:b/>
          <w:bCs/>
        </w:rPr>
      </w:pPr>
      <w:r>
        <w:rPr>
          <w:b/>
          <w:bCs/>
        </w:rPr>
        <w:lastRenderedPageBreak/>
        <w:t xml:space="preserve">Supp. Table 1. </w:t>
      </w:r>
      <w:r>
        <w:t xml:space="preserve">Comparison between the features of the </w:t>
      </w:r>
      <w:proofErr w:type="spellStart"/>
      <w:r>
        <w:t>Lövsund</w:t>
      </w:r>
      <w:proofErr w:type="spellEnd"/>
      <w:r>
        <w:t xml:space="preserve"> et al. studies</w:t>
      </w:r>
      <w:r>
        <w:fldChar w:fldCharType="begin" w:fldLock="1"/>
      </w:r>
      <w:r>
        <w:instrText>ADDIN CSL_CITATION {"citationItems":[{"id":"ITEM-1","itemData":{"PMID":"525304","abstract":"The strong electric currents used for heating purposes in welding and steel industries set up related magnetic fields (generally 0.1--10 mT and 50 Hz). Such fields 10--50 Hz, 0--40 mT) were used to induce visual light phenomena, magnetophosphenes. Threshold values for magnetophosphenes were determined as a function of magnetic field frequency as well as colour and intensity of the background illumination. A typical sensitivity maximum was found at 20--25 Hz. Differences between volunteers with normal colour vision and colour defective ones were observed. The frog retina was exposed to the same type of fields. Retinal activity, induced by the fields, was registered from the ganglion cell layer by means of microelectrode technique. The results indicate that magnetophosphenes are generated in the retina and in the same channels that are normally propagating signals induced by light of different qualities. The findings may be of guidance when formulating threshold limit values for extremely low frequency electromagnetic fields in industry.","author":[{"dropping-particle":"","family":"Lovsund","given":"P","non-dropping-particle":"","parse-names":false,"suffix":""},{"dropping-particle":"","family":"Oberg","given":"P A","non-dropping-particle":"","parse-names":false,"suffix":""},{"dropping-particle":"","family":"Nilsson","given":"S E","non-dropping-particle":"","parse-names":false,"suffix":""}],"container-title":"Acta Ophthalmol (Copenh)","id":"ITEM-1","issue":"5","issued":{"date-parts":[["1979"]]},"note":"0001-639X (Print)\nJournal Article","page":"812-821","title":"Influence on vision of extremely low frequence electromagnetic fields. Industrial measurements, magnetophosphene studies volunteers and intraretinal studies in animals","type":"article-journal","volume":"57"},"uris":["http://www.mendeley.com/documents/?uuid=8d772bb6-65e9-48de-9d9b-2822281ef3c6"]},{"id":"ITEM-2","itemData":{"DOI":"10.1007/BF02443387","ISSN":"0140-0118","PMID":"6968384","abstract":"Low-frequency and transient magnetic fields of moderate flux densities ate known to generate visual phenomena, so-called magnetophosphenes. In the present study, time-variable very low frequency (10-50 Hz) electromagnetic fields of moderate flux density (0-40 mT) were used to induce magnetophosphenes. The threshold values for these phosphenes were determined as a function of the frequency of the magnetic field both in normal subjects and co/our defective ones. Maximum sensitivity occurred 'at a frequency of approximately 20--30 Hz, and with broad-spectrum light the threshold flux deo~ity was 10-12 m T. The threshold values were found to be dependent upon the intensity and the spectral distribution of the background light. Sensitivity decreased during dark adaptation, in certain respects deutans differed from subjects with normal colour vision. Possible mechanisms for generation of magnetophosphenes are discussed. The present magnetic threshold curves show a close resemblance to correspond- ing curves obtained by electric stimulation at various frequencies provided the electric thresholds are divided by the a.c. h equency. These problems are under current investigation in our laboratory. This is in full agreement with the assumption that the fluctuating magnetic field affects retinal neurons by inducing currents which polarise synaptic terminals,","author":[{"dropping-particle":"","family":"Lövsund","given":"P.","non-dropping-particle":"","parse-names":false,"suffix":""},{"dropping-particle":"","family":"Öberg","given":"P. Å","non-dropping-particle":"","parse-names":false,"suffix":""},{"dropping-particle":"","family":"Nilsson","given":"S. E G","non-dropping-particle":"","parse-names":false,"suffix":""},{"dropping-particle":"","family":"Reuter","given":"T.","non-dropping-particle":"","parse-names":false,"suffix":""}],"container-title":"Medical &amp; Biological Engineering &amp; Computing","id":"ITEM-2","issue":"3","issued":{"date-parts":[["1980","5"]]},"page":"326-334","title":"Magnetophosphenes: a quantitative analysis of thresholds","type":"article-journal","volume":"18"},"uris":["http://www.mendeley.com/documents/?uuid=e84dfa4d-e764-4893-9b05-27f6d5651f78"]}],"mendeley":{"formattedCitation":"&lt;sup&gt;12,30&lt;/sup&gt;","plainTextFormattedCitation":"12,30","previouslyFormattedCitation":"&lt;sup&gt;12,30&lt;/sup&gt;"},"properties":{"noteIndex":0},"schema":"https://github.com/citation-style-language/schema/raw/master/csl-citation.json"}</w:instrText>
      </w:r>
      <w:r>
        <w:fldChar w:fldCharType="separate"/>
      </w:r>
      <w:r>
        <w:rPr>
          <w:noProof/>
          <w:vertAlign w:val="superscript"/>
        </w:rPr>
        <w:t>12,30</w:t>
      </w:r>
      <w:r>
        <w:fldChar w:fldCharType="end"/>
      </w:r>
      <w:r>
        <w:t xml:space="preserve"> and the study in this paper.</w:t>
      </w:r>
      <w:r>
        <w:rPr>
          <w:b/>
          <w:bCs/>
        </w:rPr>
        <w:t xml:space="preserve"> </w:t>
      </w:r>
    </w:p>
    <w:tbl>
      <w:tblPr>
        <w:tblStyle w:val="TableGrid1"/>
        <w:tblW w:w="11130" w:type="dxa"/>
        <w:tblInd w:w="0" w:type="dxa"/>
        <w:tblLayout w:type="fixed"/>
        <w:tblLook w:val="04A0" w:firstRow="1" w:lastRow="0" w:firstColumn="1" w:lastColumn="0" w:noHBand="0" w:noVBand="1"/>
      </w:tblPr>
      <w:tblGrid>
        <w:gridCol w:w="1616"/>
        <w:gridCol w:w="4972"/>
        <w:gridCol w:w="4542"/>
      </w:tblGrid>
      <w:tr w:rsidR="00C35397" w14:paraId="3C782380" w14:textId="77777777" w:rsidTr="00C35397">
        <w:tc>
          <w:tcPr>
            <w:tcW w:w="1615" w:type="dxa"/>
            <w:tcBorders>
              <w:top w:val="single" w:sz="4" w:space="0" w:color="auto"/>
              <w:left w:val="single" w:sz="4" w:space="0" w:color="auto"/>
              <w:bottom w:val="single" w:sz="4" w:space="0" w:color="auto"/>
              <w:right w:val="single" w:sz="4" w:space="0" w:color="auto"/>
            </w:tcBorders>
            <w:hideMark/>
          </w:tcPr>
          <w:p w14:paraId="14D618A6" w14:textId="77777777" w:rsidR="00C35397" w:rsidRDefault="00C35397">
            <w:pPr>
              <w:jc w:val="center"/>
              <w:rPr>
                <w:b/>
                <w:bCs/>
              </w:rPr>
            </w:pPr>
            <w:r>
              <w:rPr>
                <w:b/>
                <w:bCs/>
              </w:rPr>
              <w:t>Factor</w:t>
            </w:r>
          </w:p>
        </w:tc>
        <w:tc>
          <w:tcPr>
            <w:tcW w:w="4970" w:type="dxa"/>
            <w:tcBorders>
              <w:top w:val="single" w:sz="4" w:space="0" w:color="auto"/>
              <w:left w:val="single" w:sz="4" w:space="0" w:color="auto"/>
              <w:bottom w:val="single" w:sz="4" w:space="0" w:color="auto"/>
              <w:right w:val="single" w:sz="4" w:space="0" w:color="auto"/>
            </w:tcBorders>
            <w:hideMark/>
          </w:tcPr>
          <w:p w14:paraId="747C53A5" w14:textId="77777777" w:rsidR="00C35397" w:rsidRDefault="00C35397">
            <w:pPr>
              <w:jc w:val="center"/>
              <w:rPr>
                <w:b/>
                <w:bCs/>
              </w:rPr>
            </w:pPr>
            <w:proofErr w:type="spellStart"/>
            <w:r>
              <w:rPr>
                <w:b/>
                <w:bCs/>
              </w:rPr>
              <w:t>Lövsund</w:t>
            </w:r>
            <w:proofErr w:type="spellEnd"/>
            <w:r>
              <w:rPr>
                <w:b/>
                <w:bCs/>
              </w:rPr>
              <w:t xml:space="preserve"> et al. (1979, 1980)</w:t>
            </w:r>
          </w:p>
        </w:tc>
        <w:tc>
          <w:tcPr>
            <w:tcW w:w="4540" w:type="dxa"/>
            <w:tcBorders>
              <w:top w:val="single" w:sz="4" w:space="0" w:color="auto"/>
              <w:left w:val="single" w:sz="4" w:space="0" w:color="auto"/>
              <w:bottom w:val="single" w:sz="4" w:space="0" w:color="auto"/>
              <w:right w:val="single" w:sz="4" w:space="0" w:color="auto"/>
            </w:tcBorders>
            <w:hideMark/>
          </w:tcPr>
          <w:p w14:paraId="60A1DBBF" w14:textId="77777777" w:rsidR="00C35397" w:rsidRDefault="00C35397">
            <w:pPr>
              <w:jc w:val="center"/>
              <w:rPr>
                <w:b/>
                <w:bCs/>
              </w:rPr>
            </w:pPr>
            <w:proofErr w:type="spellStart"/>
            <w:r>
              <w:rPr>
                <w:b/>
                <w:bCs/>
              </w:rPr>
              <w:t>Legros</w:t>
            </w:r>
            <w:proofErr w:type="spellEnd"/>
            <w:r>
              <w:rPr>
                <w:b/>
                <w:bCs/>
              </w:rPr>
              <w:t xml:space="preserve"> et al. (2022 – under review)</w:t>
            </w:r>
          </w:p>
        </w:tc>
      </w:tr>
      <w:tr w:rsidR="00C35397" w14:paraId="19E10E01" w14:textId="77777777" w:rsidTr="00C35397">
        <w:tc>
          <w:tcPr>
            <w:tcW w:w="1615" w:type="dxa"/>
            <w:tcBorders>
              <w:top w:val="single" w:sz="4" w:space="0" w:color="auto"/>
              <w:left w:val="single" w:sz="4" w:space="0" w:color="auto"/>
              <w:bottom w:val="single" w:sz="4" w:space="0" w:color="auto"/>
              <w:right w:val="single" w:sz="4" w:space="0" w:color="auto"/>
            </w:tcBorders>
            <w:vAlign w:val="center"/>
            <w:hideMark/>
          </w:tcPr>
          <w:p w14:paraId="67F6BBAA" w14:textId="77777777" w:rsidR="00C35397" w:rsidRDefault="00C35397">
            <w:pPr>
              <w:jc w:val="left"/>
            </w:pPr>
            <w:r>
              <w:t>Coil configuration</w:t>
            </w:r>
          </w:p>
        </w:tc>
        <w:tc>
          <w:tcPr>
            <w:tcW w:w="4970" w:type="dxa"/>
            <w:tcBorders>
              <w:top w:val="single" w:sz="4" w:space="0" w:color="auto"/>
              <w:left w:val="single" w:sz="4" w:space="0" w:color="auto"/>
              <w:bottom w:val="single" w:sz="4" w:space="0" w:color="auto"/>
              <w:right w:val="single" w:sz="4" w:space="0" w:color="auto"/>
            </w:tcBorders>
            <w:vAlign w:val="center"/>
            <w:hideMark/>
          </w:tcPr>
          <w:p w14:paraId="7F8A649C" w14:textId="77777777" w:rsidR="00C35397" w:rsidRDefault="00C35397">
            <w:pPr>
              <w:jc w:val="left"/>
            </w:pPr>
            <w:r>
              <w:t>U-shaped magnet: 2 poles, one at each temple – horizontal field oriented toward eye</w:t>
            </w:r>
          </w:p>
        </w:tc>
        <w:tc>
          <w:tcPr>
            <w:tcW w:w="4540" w:type="dxa"/>
            <w:tcBorders>
              <w:top w:val="single" w:sz="4" w:space="0" w:color="auto"/>
              <w:left w:val="single" w:sz="4" w:space="0" w:color="auto"/>
              <w:bottom w:val="single" w:sz="4" w:space="0" w:color="auto"/>
              <w:right w:val="single" w:sz="4" w:space="0" w:color="auto"/>
            </w:tcBorders>
            <w:vAlign w:val="center"/>
            <w:hideMark/>
          </w:tcPr>
          <w:p w14:paraId="7B42BE89" w14:textId="77777777" w:rsidR="00C35397" w:rsidRDefault="00C35397">
            <w:pPr>
              <w:jc w:val="left"/>
            </w:pPr>
            <w:r>
              <w:t>GLO – two coils vertical field</w:t>
            </w:r>
          </w:p>
          <w:p w14:paraId="4A94965D" w14:textId="77777777" w:rsidR="00C35397" w:rsidRDefault="00C35397">
            <w:pPr>
              <w:jc w:val="left"/>
            </w:pPr>
            <w:r>
              <w:t>RET – 1 pole, horizontal field oriented toward eye</w:t>
            </w:r>
          </w:p>
          <w:p w14:paraId="41594CB8" w14:textId="77777777" w:rsidR="00C35397" w:rsidRDefault="00C35397">
            <w:pPr>
              <w:jc w:val="left"/>
            </w:pPr>
            <w:r>
              <w:t>OCC – 1 pole, field oriented toward occipital cortex</w:t>
            </w:r>
          </w:p>
        </w:tc>
      </w:tr>
      <w:tr w:rsidR="00C35397" w14:paraId="778689C4" w14:textId="77777777" w:rsidTr="00C35397">
        <w:tc>
          <w:tcPr>
            <w:tcW w:w="1615" w:type="dxa"/>
            <w:tcBorders>
              <w:top w:val="single" w:sz="4" w:space="0" w:color="auto"/>
              <w:left w:val="single" w:sz="4" w:space="0" w:color="auto"/>
              <w:bottom w:val="single" w:sz="4" w:space="0" w:color="auto"/>
              <w:right w:val="single" w:sz="4" w:space="0" w:color="auto"/>
            </w:tcBorders>
            <w:vAlign w:val="center"/>
            <w:hideMark/>
          </w:tcPr>
          <w:p w14:paraId="69E30A10" w14:textId="77777777" w:rsidR="00C35397" w:rsidRDefault="00C35397">
            <w:pPr>
              <w:jc w:val="left"/>
            </w:pPr>
            <w:r>
              <w:t>Lighting</w:t>
            </w:r>
          </w:p>
        </w:tc>
        <w:tc>
          <w:tcPr>
            <w:tcW w:w="4970" w:type="dxa"/>
            <w:tcBorders>
              <w:top w:val="single" w:sz="4" w:space="0" w:color="auto"/>
              <w:left w:val="single" w:sz="4" w:space="0" w:color="auto"/>
              <w:bottom w:val="single" w:sz="4" w:space="0" w:color="auto"/>
              <w:right w:val="single" w:sz="4" w:space="0" w:color="auto"/>
            </w:tcBorders>
            <w:vAlign w:val="center"/>
            <w:hideMark/>
          </w:tcPr>
          <w:p w14:paraId="4605EF83" w14:textId="77777777" w:rsidR="00C35397" w:rsidRDefault="00C35397">
            <w:pPr>
              <w:jc w:val="left"/>
            </w:pPr>
            <w:r>
              <w:t>Various, incl dark</w:t>
            </w:r>
          </w:p>
        </w:tc>
        <w:tc>
          <w:tcPr>
            <w:tcW w:w="4540" w:type="dxa"/>
            <w:tcBorders>
              <w:top w:val="single" w:sz="4" w:space="0" w:color="auto"/>
              <w:left w:val="single" w:sz="4" w:space="0" w:color="auto"/>
              <w:bottom w:val="single" w:sz="4" w:space="0" w:color="auto"/>
              <w:right w:val="single" w:sz="4" w:space="0" w:color="auto"/>
            </w:tcBorders>
            <w:vAlign w:val="center"/>
            <w:hideMark/>
          </w:tcPr>
          <w:p w14:paraId="6CC25D6A" w14:textId="77777777" w:rsidR="00C35397" w:rsidRDefault="00C35397">
            <w:pPr>
              <w:jc w:val="left"/>
            </w:pPr>
            <w:r>
              <w:t>Dark</w:t>
            </w:r>
          </w:p>
        </w:tc>
      </w:tr>
      <w:tr w:rsidR="00C35397" w14:paraId="0061884D" w14:textId="77777777" w:rsidTr="00C35397">
        <w:tc>
          <w:tcPr>
            <w:tcW w:w="1615" w:type="dxa"/>
            <w:tcBorders>
              <w:top w:val="single" w:sz="4" w:space="0" w:color="auto"/>
              <w:left w:val="single" w:sz="4" w:space="0" w:color="auto"/>
              <w:bottom w:val="single" w:sz="4" w:space="0" w:color="auto"/>
              <w:right w:val="single" w:sz="4" w:space="0" w:color="auto"/>
            </w:tcBorders>
            <w:vAlign w:val="center"/>
            <w:hideMark/>
          </w:tcPr>
          <w:p w14:paraId="7F601185" w14:textId="77777777" w:rsidR="00C35397" w:rsidRDefault="00C35397">
            <w:pPr>
              <w:jc w:val="left"/>
            </w:pPr>
            <w:r>
              <w:t>Subject position</w:t>
            </w:r>
          </w:p>
        </w:tc>
        <w:tc>
          <w:tcPr>
            <w:tcW w:w="4970" w:type="dxa"/>
            <w:tcBorders>
              <w:top w:val="single" w:sz="4" w:space="0" w:color="auto"/>
              <w:left w:val="single" w:sz="4" w:space="0" w:color="auto"/>
              <w:bottom w:val="single" w:sz="4" w:space="0" w:color="auto"/>
              <w:right w:val="single" w:sz="4" w:space="0" w:color="auto"/>
            </w:tcBorders>
            <w:vAlign w:val="center"/>
            <w:hideMark/>
          </w:tcPr>
          <w:p w14:paraId="238D1C1F" w14:textId="77777777" w:rsidR="00C35397" w:rsidRDefault="00C35397">
            <w:pPr>
              <w:jc w:val="left"/>
            </w:pPr>
            <w:r>
              <w:t>Supine</w:t>
            </w:r>
          </w:p>
        </w:tc>
        <w:tc>
          <w:tcPr>
            <w:tcW w:w="4540" w:type="dxa"/>
            <w:tcBorders>
              <w:top w:val="single" w:sz="4" w:space="0" w:color="auto"/>
              <w:left w:val="single" w:sz="4" w:space="0" w:color="auto"/>
              <w:bottom w:val="single" w:sz="4" w:space="0" w:color="auto"/>
              <w:right w:val="single" w:sz="4" w:space="0" w:color="auto"/>
            </w:tcBorders>
            <w:vAlign w:val="center"/>
            <w:hideMark/>
          </w:tcPr>
          <w:p w14:paraId="777C8E07" w14:textId="77777777" w:rsidR="00C35397" w:rsidRDefault="00C35397">
            <w:pPr>
              <w:jc w:val="left"/>
            </w:pPr>
            <w:r>
              <w:t>Seated</w:t>
            </w:r>
          </w:p>
        </w:tc>
      </w:tr>
      <w:tr w:rsidR="00C35397" w14:paraId="1D3DD31F" w14:textId="77777777" w:rsidTr="00C35397">
        <w:tc>
          <w:tcPr>
            <w:tcW w:w="1615" w:type="dxa"/>
            <w:tcBorders>
              <w:top w:val="single" w:sz="4" w:space="0" w:color="auto"/>
              <w:left w:val="single" w:sz="4" w:space="0" w:color="auto"/>
              <w:bottom w:val="single" w:sz="4" w:space="0" w:color="auto"/>
              <w:right w:val="single" w:sz="4" w:space="0" w:color="auto"/>
            </w:tcBorders>
            <w:vAlign w:val="center"/>
            <w:hideMark/>
          </w:tcPr>
          <w:p w14:paraId="38B698DC" w14:textId="77777777" w:rsidR="00C35397" w:rsidRDefault="00C35397">
            <w:pPr>
              <w:jc w:val="left"/>
            </w:pPr>
            <w:r>
              <w:t>Detection</w:t>
            </w:r>
          </w:p>
        </w:tc>
        <w:tc>
          <w:tcPr>
            <w:tcW w:w="4970" w:type="dxa"/>
            <w:tcBorders>
              <w:top w:val="single" w:sz="4" w:space="0" w:color="auto"/>
              <w:left w:val="single" w:sz="4" w:space="0" w:color="auto"/>
              <w:bottom w:val="single" w:sz="4" w:space="0" w:color="auto"/>
              <w:right w:val="single" w:sz="4" w:space="0" w:color="auto"/>
            </w:tcBorders>
            <w:vAlign w:val="center"/>
          </w:tcPr>
          <w:p w14:paraId="5013142D" w14:textId="77777777" w:rsidR="00C35397" w:rsidRDefault="00C35397">
            <w:pPr>
              <w:jc w:val="left"/>
            </w:pPr>
            <w:r>
              <w:t xml:space="preserve">1979: "A threshold value is defined as the magnetic flux density at which the phosphene sensation disappears after having been seen at higher flux densities. Every threshold value for each single volunteer is the mean of two determinations." </w:t>
            </w:r>
          </w:p>
          <w:p w14:paraId="06F9EBED" w14:textId="77777777" w:rsidR="00C35397" w:rsidRDefault="00C35397">
            <w:pPr>
              <w:jc w:val="left"/>
            </w:pPr>
          </w:p>
          <w:p w14:paraId="3CDC93F4" w14:textId="77777777" w:rsidR="00C35397" w:rsidRDefault="00C35397">
            <w:pPr>
              <w:jc w:val="left"/>
              <w:rPr>
                <w:rFonts w:asciiTheme="minorHAnsi" w:hAnsiTheme="minorHAnsi" w:cstheme="minorBidi"/>
                <w:sz w:val="22"/>
                <w:szCs w:val="22"/>
                <w:lang w:val="en-CA"/>
              </w:rPr>
            </w:pPr>
            <w:r>
              <w:t>1980: “</w:t>
            </w:r>
            <w:r>
              <w:rPr>
                <w:lang w:val="en-CA"/>
              </w:rPr>
              <w:t>For each frequency the flux density of the field was increased until the test subject was able to say that he clearly saw phosphenes. The flux density was then decreased until the phosphene effect completely disappeared and this threshold value was recorded. The mean value was calculated from the two readings at each frequency.”</w:t>
            </w:r>
          </w:p>
        </w:tc>
        <w:tc>
          <w:tcPr>
            <w:tcW w:w="4540" w:type="dxa"/>
            <w:tcBorders>
              <w:top w:val="single" w:sz="4" w:space="0" w:color="auto"/>
              <w:left w:val="single" w:sz="4" w:space="0" w:color="auto"/>
              <w:bottom w:val="single" w:sz="4" w:space="0" w:color="auto"/>
              <w:right w:val="single" w:sz="4" w:space="0" w:color="auto"/>
            </w:tcBorders>
            <w:vAlign w:val="center"/>
            <w:hideMark/>
          </w:tcPr>
          <w:p w14:paraId="7524BB99" w14:textId="77777777" w:rsidR="00C35397" w:rsidRDefault="00C35397">
            <w:pPr>
              <w:jc w:val="left"/>
            </w:pPr>
            <w:r>
              <w:t xml:space="preserve">5-trial button press for each condition. Field strength from 0 to 50 </w:t>
            </w:r>
            <w:proofErr w:type="spellStart"/>
            <w:r>
              <w:t>mT</w:t>
            </w:r>
            <w:proofErr w:type="spellEnd"/>
            <w:r>
              <w:t xml:space="preserve"> (5 </w:t>
            </w:r>
            <w:proofErr w:type="spellStart"/>
            <w:r>
              <w:t>mT</w:t>
            </w:r>
            <w:proofErr w:type="spellEnd"/>
            <w:r>
              <w:t xml:space="preserve"> steps) in random order.</w:t>
            </w:r>
          </w:p>
        </w:tc>
      </w:tr>
      <w:tr w:rsidR="00C35397" w14:paraId="360599C3" w14:textId="77777777" w:rsidTr="00C35397">
        <w:tc>
          <w:tcPr>
            <w:tcW w:w="1615" w:type="dxa"/>
            <w:tcBorders>
              <w:top w:val="single" w:sz="4" w:space="0" w:color="auto"/>
              <w:left w:val="single" w:sz="4" w:space="0" w:color="auto"/>
              <w:bottom w:val="single" w:sz="4" w:space="0" w:color="auto"/>
              <w:right w:val="single" w:sz="4" w:space="0" w:color="auto"/>
            </w:tcBorders>
            <w:vAlign w:val="center"/>
            <w:hideMark/>
          </w:tcPr>
          <w:p w14:paraId="67D90D86" w14:textId="77777777" w:rsidR="00C35397" w:rsidRDefault="00C35397">
            <w:pPr>
              <w:jc w:val="left"/>
            </w:pPr>
            <w:r>
              <w:t>Exposure per frequency</w:t>
            </w:r>
          </w:p>
        </w:tc>
        <w:tc>
          <w:tcPr>
            <w:tcW w:w="4970" w:type="dxa"/>
            <w:tcBorders>
              <w:top w:val="single" w:sz="4" w:space="0" w:color="auto"/>
              <w:left w:val="single" w:sz="4" w:space="0" w:color="auto"/>
              <w:bottom w:val="single" w:sz="4" w:space="0" w:color="auto"/>
              <w:right w:val="single" w:sz="4" w:space="0" w:color="auto"/>
            </w:tcBorders>
            <w:vAlign w:val="center"/>
          </w:tcPr>
          <w:p w14:paraId="0CE8AF8A" w14:textId="77777777" w:rsidR="00C35397" w:rsidRDefault="00C35397">
            <w:pPr>
              <w:jc w:val="left"/>
            </w:pPr>
            <w:r>
              <w:t xml:space="preserve">“The frequency of the field was increased from 10 Hz to 50 Hz in steps of 5 Hz and was then decreased in a similar way” </w:t>
            </w:r>
          </w:p>
          <w:p w14:paraId="55A2FD26" w14:textId="77777777" w:rsidR="00C35397" w:rsidRDefault="00C35397">
            <w:pPr>
              <w:jc w:val="left"/>
            </w:pPr>
          </w:p>
          <w:p w14:paraId="68D68799" w14:textId="77777777" w:rsidR="00C35397" w:rsidRDefault="00C35397">
            <w:pPr>
              <w:jc w:val="left"/>
            </w:pPr>
            <w:r>
              <w:t>Two measurements made per frequency</w:t>
            </w:r>
          </w:p>
        </w:tc>
        <w:tc>
          <w:tcPr>
            <w:tcW w:w="4540" w:type="dxa"/>
            <w:tcBorders>
              <w:top w:val="single" w:sz="4" w:space="0" w:color="auto"/>
              <w:left w:val="single" w:sz="4" w:space="0" w:color="auto"/>
              <w:bottom w:val="single" w:sz="4" w:space="0" w:color="auto"/>
              <w:right w:val="single" w:sz="4" w:space="0" w:color="auto"/>
            </w:tcBorders>
            <w:vAlign w:val="center"/>
            <w:hideMark/>
          </w:tcPr>
          <w:p w14:paraId="091CEEE6" w14:textId="77777777" w:rsidR="00C35397" w:rsidRDefault="00C35397">
            <w:pPr>
              <w:jc w:val="left"/>
            </w:pPr>
            <w:r>
              <w:t>Separate group for each frequency (20, 50, 60 &amp; 100 Hz)</w:t>
            </w:r>
          </w:p>
        </w:tc>
      </w:tr>
      <w:tr w:rsidR="00C35397" w14:paraId="0F876F5C" w14:textId="77777777" w:rsidTr="00C35397">
        <w:tc>
          <w:tcPr>
            <w:tcW w:w="1615" w:type="dxa"/>
            <w:tcBorders>
              <w:top w:val="single" w:sz="4" w:space="0" w:color="auto"/>
              <w:left w:val="single" w:sz="4" w:space="0" w:color="auto"/>
              <w:bottom w:val="single" w:sz="4" w:space="0" w:color="auto"/>
              <w:right w:val="single" w:sz="4" w:space="0" w:color="auto"/>
            </w:tcBorders>
            <w:vAlign w:val="center"/>
            <w:hideMark/>
          </w:tcPr>
          <w:p w14:paraId="0FE8AE20" w14:textId="77777777" w:rsidR="00C35397" w:rsidRDefault="00C35397">
            <w:pPr>
              <w:jc w:val="left"/>
            </w:pPr>
            <w:r>
              <w:t>Sample size</w:t>
            </w:r>
          </w:p>
        </w:tc>
        <w:tc>
          <w:tcPr>
            <w:tcW w:w="4970" w:type="dxa"/>
            <w:tcBorders>
              <w:top w:val="single" w:sz="4" w:space="0" w:color="auto"/>
              <w:left w:val="single" w:sz="4" w:space="0" w:color="auto"/>
              <w:bottom w:val="single" w:sz="4" w:space="0" w:color="auto"/>
              <w:right w:val="single" w:sz="4" w:space="0" w:color="auto"/>
            </w:tcBorders>
            <w:vAlign w:val="center"/>
            <w:hideMark/>
          </w:tcPr>
          <w:p w14:paraId="6C6CC4C2" w14:textId="77777777" w:rsidR="00C35397" w:rsidRDefault="00C35397">
            <w:pPr>
              <w:jc w:val="left"/>
            </w:pPr>
            <w:r>
              <w:t>1979: 10 (all conditions)</w:t>
            </w:r>
          </w:p>
          <w:p w14:paraId="23C53D17" w14:textId="77777777" w:rsidR="00C35397" w:rsidRDefault="00C35397">
            <w:pPr>
              <w:jc w:val="left"/>
            </w:pPr>
            <w:r>
              <w:t>1980: 11 (all conditions)</w:t>
            </w:r>
          </w:p>
        </w:tc>
        <w:tc>
          <w:tcPr>
            <w:tcW w:w="4540" w:type="dxa"/>
            <w:tcBorders>
              <w:top w:val="single" w:sz="4" w:space="0" w:color="auto"/>
              <w:left w:val="single" w:sz="4" w:space="0" w:color="auto"/>
              <w:bottom w:val="single" w:sz="4" w:space="0" w:color="auto"/>
              <w:right w:val="single" w:sz="4" w:space="0" w:color="auto"/>
            </w:tcBorders>
            <w:vAlign w:val="center"/>
            <w:hideMark/>
          </w:tcPr>
          <w:p w14:paraId="60C56382" w14:textId="77777777" w:rsidR="00C35397" w:rsidRDefault="00C35397">
            <w:pPr>
              <w:jc w:val="left"/>
            </w:pPr>
            <w:r>
              <w:t>81 subjects split into 4 frequency groups (21 at 50 Hz)</w:t>
            </w:r>
          </w:p>
        </w:tc>
      </w:tr>
      <w:tr w:rsidR="00C35397" w14:paraId="11F07E60" w14:textId="77777777" w:rsidTr="00C35397">
        <w:tc>
          <w:tcPr>
            <w:tcW w:w="1615" w:type="dxa"/>
            <w:tcBorders>
              <w:top w:val="single" w:sz="4" w:space="0" w:color="auto"/>
              <w:left w:val="single" w:sz="4" w:space="0" w:color="auto"/>
              <w:bottom w:val="single" w:sz="4" w:space="0" w:color="auto"/>
              <w:right w:val="single" w:sz="4" w:space="0" w:color="auto"/>
            </w:tcBorders>
            <w:vAlign w:val="center"/>
            <w:hideMark/>
          </w:tcPr>
          <w:p w14:paraId="59C7DCEF" w14:textId="77777777" w:rsidR="00C35397" w:rsidRDefault="00C35397">
            <w:pPr>
              <w:jc w:val="left"/>
            </w:pPr>
            <w:r>
              <w:t>Signal quality</w:t>
            </w:r>
          </w:p>
        </w:tc>
        <w:tc>
          <w:tcPr>
            <w:tcW w:w="4970" w:type="dxa"/>
            <w:tcBorders>
              <w:top w:val="single" w:sz="4" w:space="0" w:color="auto"/>
              <w:left w:val="single" w:sz="4" w:space="0" w:color="auto"/>
              <w:bottom w:val="single" w:sz="4" w:space="0" w:color="auto"/>
              <w:right w:val="single" w:sz="4" w:space="0" w:color="auto"/>
            </w:tcBorders>
            <w:vAlign w:val="center"/>
            <w:hideMark/>
          </w:tcPr>
          <w:p w14:paraId="6373A5B9" w14:textId="77777777" w:rsidR="00C35397" w:rsidRDefault="00C35397">
            <w:pPr>
              <w:jc w:val="left"/>
            </w:pPr>
            <w:r>
              <w:t>Unknown</w:t>
            </w:r>
          </w:p>
        </w:tc>
        <w:tc>
          <w:tcPr>
            <w:tcW w:w="4540" w:type="dxa"/>
            <w:tcBorders>
              <w:top w:val="single" w:sz="4" w:space="0" w:color="auto"/>
              <w:left w:val="single" w:sz="4" w:space="0" w:color="auto"/>
              <w:bottom w:val="single" w:sz="4" w:space="0" w:color="auto"/>
              <w:right w:val="single" w:sz="4" w:space="0" w:color="auto"/>
            </w:tcBorders>
            <w:vAlign w:val="center"/>
            <w:hideMark/>
          </w:tcPr>
          <w:p w14:paraId="66A98F6F" w14:textId="77777777" w:rsidR="00C35397" w:rsidRDefault="00C35397">
            <w:pPr>
              <w:jc w:val="left"/>
            </w:pPr>
            <w:r>
              <w:t>Certified</w:t>
            </w:r>
          </w:p>
        </w:tc>
      </w:tr>
    </w:tbl>
    <w:p w14:paraId="522CF5AD" w14:textId="77777777" w:rsidR="00C35397" w:rsidRDefault="00C35397" w:rsidP="00C35397">
      <w:pPr>
        <w:jc w:val="left"/>
        <w:rPr>
          <w:b/>
          <w:bCs/>
        </w:rPr>
        <w:sectPr w:rsidR="00C35397">
          <w:pgSz w:w="15840" w:h="12240" w:orient="landscape"/>
          <w:pgMar w:top="1440" w:right="1440" w:bottom="1440" w:left="1440" w:header="720" w:footer="720" w:gutter="0"/>
          <w:cols w:space="720"/>
        </w:sectPr>
      </w:pPr>
    </w:p>
    <w:p w14:paraId="21D9CEA8" w14:textId="77777777" w:rsidR="00C35397" w:rsidRDefault="00C35397" w:rsidP="00C35397">
      <w:r>
        <w:rPr>
          <w:b/>
          <w:bCs/>
        </w:rPr>
        <w:lastRenderedPageBreak/>
        <w:t>Supp Table 2.</w:t>
      </w:r>
      <w:r>
        <w:t xml:space="preserve"> Percentile </w:t>
      </w:r>
      <w:r>
        <w:rPr>
          <w:i/>
          <w:iCs/>
        </w:rPr>
        <w:t>B</w:t>
      </w:r>
      <w:r>
        <w:t>-field thresholds (</w:t>
      </w:r>
      <w:r>
        <w:rPr>
          <w:i/>
          <w:iCs/>
        </w:rPr>
        <w:t>RMS</w:t>
      </w:r>
      <w:r>
        <w:t xml:space="preserve"> </w:t>
      </w:r>
      <w:proofErr w:type="spellStart"/>
      <w:r>
        <w:t>mT</w:t>
      </w:r>
      <w:proofErr w:type="spellEnd"/>
      <w:r>
        <w:t xml:space="preserve">) calculated from the logistic regressions for GLO and RET modalities at 20 Hz together with the corresponding </w:t>
      </w:r>
      <w:r>
        <w:rPr>
          <w:i/>
          <w:iCs/>
        </w:rPr>
        <w:t>RMS</w:t>
      </w:r>
      <w:r>
        <w:t xml:space="preserve"> </w:t>
      </w:r>
      <w:proofErr w:type="spellStart"/>
      <w:r>
        <w:rPr>
          <w:i/>
          <w:iCs/>
        </w:rPr>
        <w:t>E</w:t>
      </w:r>
      <w:r>
        <w:rPr>
          <w:i/>
          <w:iCs/>
          <w:vertAlign w:val="subscript"/>
        </w:rPr>
        <w:t>n</w:t>
      </w:r>
      <w:r>
        <w:t>s</w:t>
      </w:r>
      <w:proofErr w:type="spellEnd"/>
      <w:r>
        <w:t xml:space="preserve"> in the retina within 90° and between 90°</w:t>
      </w:r>
      <w:r>
        <w:noBreakHyphen/>
        <w:t>135° from the posterior pole of the eye (</w:t>
      </w:r>
      <w:r>
        <w:rPr>
          <w:i/>
          <w:iCs/>
        </w:rPr>
        <w:t>RMS</w:t>
      </w:r>
      <w:r>
        <w:t xml:space="preserve"> mV/m). </w:t>
      </w:r>
      <w:proofErr w:type="spellStart"/>
      <w:r>
        <w:rPr>
          <w:i/>
          <w:iCs/>
        </w:rPr>
        <w:t>E</w:t>
      </w:r>
      <w:r>
        <w:rPr>
          <w:i/>
          <w:iCs/>
          <w:vertAlign w:val="subscript"/>
        </w:rPr>
        <w:t>n</w:t>
      </w:r>
      <w:proofErr w:type="spellEnd"/>
      <w:r>
        <w:t xml:space="preserve"> values for each percentile averaged across 14 head models. GLO values are average of both eyes, and RET values are broken out by eye. </w:t>
      </w:r>
    </w:p>
    <w:p w14:paraId="3BD9D095" w14:textId="77777777" w:rsidR="00C35397" w:rsidRDefault="00C35397" w:rsidP="00C35397"/>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750"/>
        <w:gridCol w:w="1585"/>
        <w:gridCol w:w="1136"/>
        <w:gridCol w:w="1420"/>
        <w:gridCol w:w="1319"/>
        <w:gridCol w:w="1332"/>
      </w:tblGrid>
      <w:tr w:rsidR="00C35397" w14:paraId="136E9DD4" w14:textId="77777777" w:rsidTr="00C35397">
        <w:trPr>
          <w:trHeight w:val="360"/>
        </w:trPr>
        <w:tc>
          <w:tcPr>
            <w:tcW w:w="1096" w:type="dxa"/>
            <w:tcBorders>
              <w:top w:val="single" w:sz="6" w:space="0" w:color="auto"/>
              <w:left w:val="nil"/>
              <w:bottom w:val="single" w:sz="6" w:space="0" w:color="auto"/>
              <w:right w:val="nil"/>
            </w:tcBorders>
            <w:vAlign w:val="center"/>
            <w:hideMark/>
          </w:tcPr>
          <w:p w14:paraId="2E23BDE5" w14:textId="77777777" w:rsidR="00C35397" w:rsidRDefault="00C35397">
            <w:pPr>
              <w:spacing w:before="40" w:after="40" w:line="256" w:lineRule="auto"/>
              <w:jc w:val="center"/>
              <w:rPr>
                <w:b/>
                <w:bCs/>
              </w:rPr>
            </w:pPr>
            <w:r>
              <w:rPr>
                <w:b/>
                <w:bCs/>
              </w:rPr>
              <w:t>Retinal Segment</w:t>
            </w:r>
          </w:p>
        </w:tc>
        <w:tc>
          <w:tcPr>
            <w:tcW w:w="750" w:type="dxa"/>
            <w:tcBorders>
              <w:top w:val="single" w:sz="6" w:space="0" w:color="auto"/>
              <w:left w:val="nil"/>
              <w:bottom w:val="single" w:sz="6" w:space="0" w:color="auto"/>
              <w:right w:val="single" w:sz="6" w:space="0" w:color="auto"/>
            </w:tcBorders>
            <w:noWrap/>
            <w:vAlign w:val="center"/>
            <w:hideMark/>
          </w:tcPr>
          <w:p w14:paraId="2C38C4E5" w14:textId="77777777" w:rsidR="00C35397" w:rsidRDefault="00C35397">
            <w:pPr>
              <w:spacing w:before="40" w:after="40" w:line="256" w:lineRule="auto"/>
              <w:jc w:val="center"/>
              <w:rPr>
                <w:b/>
                <w:bCs/>
              </w:rPr>
            </w:pPr>
            <w:r>
              <w:rPr>
                <w:b/>
                <w:bCs/>
              </w:rPr>
              <w:t>P</w:t>
            </w:r>
          </w:p>
        </w:tc>
        <w:tc>
          <w:tcPr>
            <w:tcW w:w="1585" w:type="dxa"/>
            <w:tcBorders>
              <w:top w:val="single" w:sz="6" w:space="0" w:color="auto"/>
              <w:left w:val="single" w:sz="6" w:space="0" w:color="auto"/>
              <w:bottom w:val="single" w:sz="6" w:space="0" w:color="auto"/>
              <w:right w:val="nil"/>
            </w:tcBorders>
            <w:vAlign w:val="center"/>
            <w:hideMark/>
          </w:tcPr>
          <w:p w14:paraId="18E662B4" w14:textId="77777777" w:rsidR="00C35397" w:rsidRDefault="00C35397">
            <w:pPr>
              <w:spacing w:before="40" w:after="40" w:line="256" w:lineRule="auto"/>
              <w:jc w:val="center"/>
              <w:rPr>
                <w:b/>
                <w:bCs/>
              </w:rPr>
            </w:pPr>
            <w:r>
              <w:rPr>
                <w:b/>
                <w:bCs/>
                <w:i/>
                <w:iCs/>
              </w:rPr>
              <w:t>B</w:t>
            </w:r>
            <w:r>
              <w:rPr>
                <w:b/>
                <w:bCs/>
                <w:i/>
                <w:iCs/>
                <w:vertAlign w:val="subscript"/>
              </w:rPr>
              <w:t>GLO</w:t>
            </w:r>
            <w:r>
              <w:rPr>
                <w:b/>
                <w:bCs/>
              </w:rPr>
              <w:t xml:space="preserve"> (</w:t>
            </w:r>
            <w:proofErr w:type="spellStart"/>
            <w:r>
              <w:rPr>
                <w:b/>
                <w:bCs/>
              </w:rPr>
              <w:t>mT</w:t>
            </w:r>
            <w:proofErr w:type="spellEnd"/>
            <w:r>
              <w:rPr>
                <w:b/>
                <w:bCs/>
              </w:rPr>
              <w:t>)</w:t>
            </w:r>
          </w:p>
        </w:tc>
        <w:tc>
          <w:tcPr>
            <w:tcW w:w="1136" w:type="dxa"/>
            <w:tcBorders>
              <w:top w:val="single" w:sz="6" w:space="0" w:color="auto"/>
              <w:left w:val="nil"/>
              <w:bottom w:val="single" w:sz="6" w:space="0" w:color="auto"/>
              <w:right w:val="single" w:sz="6" w:space="0" w:color="auto"/>
            </w:tcBorders>
            <w:vAlign w:val="center"/>
            <w:hideMark/>
          </w:tcPr>
          <w:p w14:paraId="5965613D" w14:textId="77777777" w:rsidR="00C35397" w:rsidRDefault="00C35397">
            <w:pPr>
              <w:spacing w:before="40" w:after="40" w:line="256" w:lineRule="auto"/>
              <w:jc w:val="center"/>
              <w:rPr>
                <w:b/>
                <w:bCs/>
              </w:rPr>
            </w:pPr>
            <w:r>
              <w:rPr>
                <w:b/>
                <w:bCs/>
                <w:i/>
                <w:iCs/>
              </w:rPr>
              <w:t>E</w:t>
            </w:r>
            <w:r>
              <w:rPr>
                <w:b/>
                <w:bCs/>
                <w:i/>
                <w:iCs/>
                <w:vertAlign w:val="subscript"/>
              </w:rPr>
              <w:t>N</w:t>
            </w:r>
            <w:r>
              <w:rPr>
                <w:b/>
                <w:bCs/>
              </w:rPr>
              <w:t xml:space="preserve"> (mV/m)*</w:t>
            </w:r>
          </w:p>
        </w:tc>
        <w:tc>
          <w:tcPr>
            <w:tcW w:w="1420" w:type="dxa"/>
            <w:tcBorders>
              <w:top w:val="single" w:sz="6" w:space="0" w:color="auto"/>
              <w:left w:val="single" w:sz="6" w:space="0" w:color="auto"/>
              <w:bottom w:val="single" w:sz="6" w:space="0" w:color="auto"/>
              <w:right w:val="nil"/>
            </w:tcBorders>
            <w:vAlign w:val="center"/>
            <w:hideMark/>
          </w:tcPr>
          <w:p w14:paraId="215056CD" w14:textId="77777777" w:rsidR="00C35397" w:rsidRDefault="00C35397">
            <w:pPr>
              <w:spacing w:before="40" w:after="40" w:line="256" w:lineRule="auto"/>
              <w:jc w:val="center"/>
              <w:rPr>
                <w:b/>
                <w:bCs/>
              </w:rPr>
            </w:pPr>
            <w:r>
              <w:rPr>
                <w:b/>
                <w:bCs/>
                <w:i/>
                <w:iCs/>
              </w:rPr>
              <w:t>B</w:t>
            </w:r>
            <w:r>
              <w:rPr>
                <w:b/>
                <w:bCs/>
                <w:i/>
                <w:iCs/>
                <w:vertAlign w:val="subscript"/>
              </w:rPr>
              <w:t>RET</w:t>
            </w:r>
            <w:r>
              <w:rPr>
                <w:b/>
                <w:bCs/>
              </w:rPr>
              <w:t xml:space="preserve"> (</w:t>
            </w:r>
            <w:proofErr w:type="spellStart"/>
            <w:r>
              <w:rPr>
                <w:b/>
                <w:bCs/>
              </w:rPr>
              <w:t>mT</w:t>
            </w:r>
            <w:proofErr w:type="spellEnd"/>
            <w:r>
              <w:rPr>
                <w:b/>
                <w:bCs/>
              </w:rPr>
              <w:t>)</w:t>
            </w:r>
          </w:p>
        </w:tc>
        <w:tc>
          <w:tcPr>
            <w:tcW w:w="1319" w:type="dxa"/>
            <w:tcBorders>
              <w:top w:val="single" w:sz="6" w:space="0" w:color="auto"/>
              <w:left w:val="nil"/>
              <w:bottom w:val="single" w:sz="6" w:space="0" w:color="auto"/>
              <w:right w:val="nil"/>
            </w:tcBorders>
            <w:vAlign w:val="center"/>
            <w:hideMark/>
          </w:tcPr>
          <w:p w14:paraId="221EB0B2" w14:textId="77777777" w:rsidR="00C35397" w:rsidRDefault="00C35397">
            <w:pPr>
              <w:spacing w:before="40" w:after="40" w:line="256" w:lineRule="auto"/>
              <w:jc w:val="center"/>
              <w:rPr>
                <w:b/>
                <w:bCs/>
              </w:rPr>
            </w:pPr>
            <w:r>
              <w:rPr>
                <w:b/>
                <w:bCs/>
                <w:i/>
                <w:iCs/>
              </w:rPr>
              <w:t>E</w:t>
            </w:r>
            <w:r>
              <w:rPr>
                <w:b/>
                <w:bCs/>
                <w:i/>
                <w:iCs/>
                <w:vertAlign w:val="subscript"/>
              </w:rPr>
              <w:t>N</w:t>
            </w:r>
            <w:r>
              <w:rPr>
                <w:b/>
                <w:bCs/>
              </w:rPr>
              <w:t xml:space="preserve"> (L) (mV/m)</w:t>
            </w:r>
          </w:p>
        </w:tc>
        <w:tc>
          <w:tcPr>
            <w:tcW w:w="1332" w:type="dxa"/>
            <w:tcBorders>
              <w:top w:val="single" w:sz="6" w:space="0" w:color="auto"/>
              <w:left w:val="nil"/>
              <w:bottom w:val="single" w:sz="6" w:space="0" w:color="auto"/>
              <w:right w:val="nil"/>
            </w:tcBorders>
            <w:vAlign w:val="center"/>
            <w:hideMark/>
          </w:tcPr>
          <w:p w14:paraId="0E6D5550" w14:textId="77777777" w:rsidR="00C35397" w:rsidRDefault="00C35397">
            <w:pPr>
              <w:spacing w:before="40" w:after="40" w:line="256" w:lineRule="auto"/>
              <w:jc w:val="center"/>
              <w:rPr>
                <w:b/>
                <w:bCs/>
              </w:rPr>
            </w:pPr>
            <w:r>
              <w:rPr>
                <w:b/>
                <w:bCs/>
                <w:i/>
                <w:iCs/>
              </w:rPr>
              <w:t>E</w:t>
            </w:r>
            <w:r>
              <w:rPr>
                <w:b/>
                <w:bCs/>
                <w:i/>
                <w:iCs/>
                <w:vertAlign w:val="subscript"/>
              </w:rPr>
              <w:t>N</w:t>
            </w:r>
            <w:r>
              <w:rPr>
                <w:b/>
                <w:bCs/>
              </w:rPr>
              <w:t xml:space="preserve"> (R) (mV/m)</w:t>
            </w:r>
          </w:p>
        </w:tc>
      </w:tr>
      <w:tr w:rsidR="00C35397" w14:paraId="5BDDF30E" w14:textId="77777777" w:rsidTr="00C35397">
        <w:trPr>
          <w:trHeight w:val="360"/>
        </w:trPr>
        <w:tc>
          <w:tcPr>
            <w:tcW w:w="1096" w:type="dxa"/>
            <w:tcBorders>
              <w:top w:val="single" w:sz="6" w:space="0" w:color="auto"/>
              <w:left w:val="nil"/>
              <w:bottom w:val="nil"/>
              <w:right w:val="nil"/>
            </w:tcBorders>
            <w:noWrap/>
            <w:hideMark/>
          </w:tcPr>
          <w:p w14:paraId="15A99799" w14:textId="77777777" w:rsidR="00C35397" w:rsidRDefault="00C35397">
            <w:pPr>
              <w:rPr>
                <w:b/>
                <w:bCs/>
              </w:rPr>
            </w:pPr>
          </w:p>
        </w:tc>
        <w:tc>
          <w:tcPr>
            <w:tcW w:w="750" w:type="dxa"/>
            <w:tcBorders>
              <w:top w:val="single" w:sz="6" w:space="0" w:color="auto"/>
              <w:left w:val="nil"/>
              <w:bottom w:val="nil"/>
              <w:right w:val="single" w:sz="6" w:space="0" w:color="auto"/>
            </w:tcBorders>
            <w:noWrap/>
            <w:hideMark/>
          </w:tcPr>
          <w:p w14:paraId="26298A4C" w14:textId="77777777" w:rsidR="00C35397" w:rsidRDefault="00C35397">
            <w:pPr>
              <w:spacing w:before="40" w:after="40" w:line="276" w:lineRule="auto"/>
              <w:jc w:val="right"/>
              <w:rPr>
                <w:rFonts w:eastAsiaTheme="minorHAnsi"/>
              </w:rPr>
            </w:pPr>
            <w:r>
              <w:t>5%</w:t>
            </w:r>
          </w:p>
        </w:tc>
        <w:tc>
          <w:tcPr>
            <w:tcW w:w="1585" w:type="dxa"/>
            <w:tcBorders>
              <w:top w:val="single" w:sz="6" w:space="0" w:color="auto"/>
              <w:left w:val="single" w:sz="6" w:space="0" w:color="auto"/>
              <w:bottom w:val="nil"/>
              <w:right w:val="nil"/>
            </w:tcBorders>
            <w:noWrap/>
            <w:hideMark/>
          </w:tcPr>
          <w:p w14:paraId="22AB448D" w14:textId="77777777" w:rsidR="00C35397" w:rsidRDefault="00C35397">
            <w:pPr>
              <w:spacing w:before="40" w:after="40" w:line="276" w:lineRule="auto"/>
              <w:jc w:val="center"/>
            </w:pPr>
            <w:r>
              <w:t>15.5</w:t>
            </w:r>
          </w:p>
        </w:tc>
        <w:tc>
          <w:tcPr>
            <w:tcW w:w="1136" w:type="dxa"/>
            <w:tcBorders>
              <w:top w:val="single" w:sz="6" w:space="0" w:color="auto"/>
              <w:left w:val="nil"/>
              <w:bottom w:val="nil"/>
              <w:right w:val="single" w:sz="6" w:space="0" w:color="auto"/>
            </w:tcBorders>
            <w:noWrap/>
            <w:hideMark/>
          </w:tcPr>
          <w:p w14:paraId="1F719EE1" w14:textId="77777777" w:rsidR="00C35397" w:rsidRDefault="00C35397">
            <w:pPr>
              <w:spacing w:before="40" w:after="40" w:line="276" w:lineRule="auto"/>
              <w:jc w:val="center"/>
            </w:pPr>
            <w:r>
              <w:t>30.2</w:t>
            </w:r>
          </w:p>
        </w:tc>
        <w:tc>
          <w:tcPr>
            <w:tcW w:w="1420" w:type="dxa"/>
            <w:tcBorders>
              <w:top w:val="single" w:sz="6" w:space="0" w:color="auto"/>
              <w:left w:val="single" w:sz="6" w:space="0" w:color="auto"/>
              <w:bottom w:val="nil"/>
              <w:right w:val="nil"/>
            </w:tcBorders>
            <w:noWrap/>
            <w:hideMark/>
          </w:tcPr>
          <w:p w14:paraId="64E8E66B" w14:textId="77777777" w:rsidR="00C35397" w:rsidRDefault="00C35397">
            <w:pPr>
              <w:spacing w:before="40" w:after="40" w:line="276" w:lineRule="auto"/>
              <w:jc w:val="center"/>
            </w:pPr>
            <w:r>
              <w:t>31.4</w:t>
            </w:r>
          </w:p>
        </w:tc>
        <w:tc>
          <w:tcPr>
            <w:tcW w:w="1319" w:type="dxa"/>
            <w:tcBorders>
              <w:top w:val="single" w:sz="6" w:space="0" w:color="auto"/>
              <w:left w:val="nil"/>
              <w:bottom w:val="nil"/>
              <w:right w:val="nil"/>
            </w:tcBorders>
            <w:noWrap/>
            <w:hideMark/>
          </w:tcPr>
          <w:p w14:paraId="55DC780D" w14:textId="77777777" w:rsidR="00C35397" w:rsidRDefault="00C35397">
            <w:pPr>
              <w:spacing w:before="40" w:after="40" w:line="276" w:lineRule="auto"/>
              <w:jc w:val="center"/>
            </w:pPr>
            <w:r>
              <w:t>44.6</w:t>
            </w:r>
          </w:p>
        </w:tc>
        <w:tc>
          <w:tcPr>
            <w:tcW w:w="1332" w:type="dxa"/>
            <w:tcBorders>
              <w:top w:val="single" w:sz="6" w:space="0" w:color="auto"/>
              <w:left w:val="nil"/>
              <w:bottom w:val="nil"/>
              <w:right w:val="nil"/>
            </w:tcBorders>
            <w:noWrap/>
            <w:hideMark/>
          </w:tcPr>
          <w:p w14:paraId="05F67B1E" w14:textId="77777777" w:rsidR="00C35397" w:rsidRDefault="00C35397">
            <w:pPr>
              <w:spacing w:before="40" w:after="40" w:line="276" w:lineRule="auto"/>
              <w:jc w:val="center"/>
            </w:pPr>
            <w:r>
              <w:t>38.3</w:t>
            </w:r>
          </w:p>
        </w:tc>
      </w:tr>
      <w:tr w:rsidR="00C35397" w14:paraId="29C97484" w14:textId="77777777" w:rsidTr="00C35397">
        <w:trPr>
          <w:trHeight w:val="360"/>
        </w:trPr>
        <w:tc>
          <w:tcPr>
            <w:tcW w:w="1096" w:type="dxa"/>
            <w:noWrap/>
            <w:vAlign w:val="center"/>
          </w:tcPr>
          <w:p w14:paraId="6CC25306" w14:textId="77777777" w:rsidR="00C35397" w:rsidRDefault="00C35397">
            <w:pPr>
              <w:spacing w:before="40" w:after="40" w:line="276" w:lineRule="auto"/>
              <w:jc w:val="center"/>
            </w:pPr>
          </w:p>
        </w:tc>
        <w:tc>
          <w:tcPr>
            <w:tcW w:w="750" w:type="dxa"/>
            <w:tcBorders>
              <w:top w:val="nil"/>
              <w:left w:val="nil"/>
              <w:bottom w:val="nil"/>
              <w:right w:val="single" w:sz="6" w:space="0" w:color="auto"/>
            </w:tcBorders>
            <w:noWrap/>
            <w:hideMark/>
          </w:tcPr>
          <w:p w14:paraId="75F7FF71" w14:textId="77777777" w:rsidR="00C35397" w:rsidRDefault="00C35397">
            <w:pPr>
              <w:spacing w:before="40" w:after="40" w:line="276" w:lineRule="auto"/>
              <w:jc w:val="right"/>
            </w:pPr>
            <w:r>
              <w:t>10%</w:t>
            </w:r>
          </w:p>
        </w:tc>
        <w:tc>
          <w:tcPr>
            <w:tcW w:w="1585" w:type="dxa"/>
            <w:tcBorders>
              <w:top w:val="nil"/>
              <w:left w:val="single" w:sz="6" w:space="0" w:color="auto"/>
              <w:bottom w:val="nil"/>
              <w:right w:val="nil"/>
            </w:tcBorders>
            <w:noWrap/>
            <w:hideMark/>
          </w:tcPr>
          <w:p w14:paraId="460F9267" w14:textId="77777777" w:rsidR="00C35397" w:rsidRDefault="00C35397">
            <w:pPr>
              <w:spacing w:before="40" w:after="40" w:line="276" w:lineRule="auto"/>
              <w:jc w:val="center"/>
            </w:pPr>
            <w:r>
              <w:t>21.1</w:t>
            </w:r>
          </w:p>
        </w:tc>
        <w:tc>
          <w:tcPr>
            <w:tcW w:w="1136" w:type="dxa"/>
            <w:tcBorders>
              <w:top w:val="nil"/>
              <w:left w:val="nil"/>
              <w:bottom w:val="nil"/>
              <w:right w:val="single" w:sz="6" w:space="0" w:color="auto"/>
            </w:tcBorders>
            <w:noWrap/>
            <w:hideMark/>
          </w:tcPr>
          <w:p w14:paraId="5E70591A" w14:textId="77777777" w:rsidR="00C35397" w:rsidRDefault="00C35397">
            <w:pPr>
              <w:spacing w:before="40" w:after="40" w:line="276" w:lineRule="auto"/>
              <w:jc w:val="center"/>
            </w:pPr>
            <w:r>
              <w:t>41.1</w:t>
            </w:r>
          </w:p>
        </w:tc>
        <w:tc>
          <w:tcPr>
            <w:tcW w:w="1420" w:type="dxa"/>
            <w:tcBorders>
              <w:top w:val="nil"/>
              <w:left w:val="single" w:sz="6" w:space="0" w:color="auto"/>
              <w:bottom w:val="nil"/>
              <w:right w:val="nil"/>
            </w:tcBorders>
            <w:noWrap/>
            <w:hideMark/>
          </w:tcPr>
          <w:p w14:paraId="17171290" w14:textId="77777777" w:rsidR="00C35397" w:rsidRDefault="00C35397">
            <w:pPr>
              <w:spacing w:before="40" w:after="40" w:line="276" w:lineRule="auto"/>
              <w:jc w:val="center"/>
            </w:pPr>
            <w:r>
              <w:t>39.2</w:t>
            </w:r>
          </w:p>
        </w:tc>
        <w:tc>
          <w:tcPr>
            <w:tcW w:w="1319" w:type="dxa"/>
            <w:noWrap/>
            <w:hideMark/>
          </w:tcPr>
          <w:p w14:paraId="6B2FE92A" w14:textId="77777777" w:rsidR="00C35397" w:rsidRDefault="00C35397">
            <w:pPr>
              <w:spacing w:before="40" w:after="40" w:line="276" w:lineRule="auto"/>
              <w:jc w:val="center"/>
            </w:pPr>
            <w:r>
              <w:t>55.6</w:t>
            </w:r>
          </w:p>
        </w:tc>
        <w:tc>
          <w:tcPr>
            <w:tcW w:w="1332" w:type="dxa"/>
            <w:noWrap/>
            <w:hideMark/>
          </w:tcPr>
          <w:p w14:paraId="2810DBB5" w14:textId="77777777" w:rsidR="00C35397" w:rsidRDefault="00C35397">
            <w:pPr>
              <w:spacing w:before="40" w:after="40" w:line="276" w:lineRule="auto"/>
              <w:jc w:val="center"/>
            </w:pPr>
            <w:r>
              <w:t>47.7</w:t>
            </w:r>
          </w:p>
        </w:tc>
      </w:tr>
      <w:tr w:rsidR="00C35397" w14:paraId="2813D280" w14:textId="77777777" w:rsidTr="00C35397">
        <w:trPr>
          <w:trHeight w:val="360"/>
        </w:trPr>
        <w:tc>
          <w:tcPr>
            <w:tcW w:w="1096" w:type="dxa"/>
            <w:noWrap/>
            <w:vAlign w:val="center"/>
          </w:tcPr>
          <w:p w14:paraId="3087A38D" w14:textId="77777777" w:rsidR="00C35397" w:rsidRDefault="00C35397">
            <w:pPr>
              <w:spacing w:before="40" w:after="40" w:line="276" w:lineRule="auto"/>
              <w:jc w:val="center"/>
            </w:pPr>
          </w:p>
        </w:tc>
        <w:tc>
          <w:tcPr>
            <w:tcW w:w="750" w:type="dxa"/>
            <w:tcBorders>
              <w:top w:val="nil"/>
              <w:left w:val="nil"/>
              <w:bottom w:val="nil"/>
              <w:right w:val="single" w:sz="6" w:space="0" w:color="auto"/>
            </w:tcBorders>
            <w:noWrap/>
            <w:hideMark/>
          </w:tcPr>
          <w:p w14:paraId="5E9A2985" w14:textId="77777777" w:rsidR="00C35397" w:rsidRDefault="00C35397">
            <w:pPr>
              <w:spacing w:before="40" w:after="40" w:line="276" w:lineRule="auto"/>
              <w:jc w:val="right"/>
            </w:pPr>
            <w:r>
              <w:t>25%</w:t>
            </w:r>
          </w:p>
        </w:tc>
        <w:tc>
          <w:tcPr>
            <w:tcW w:w="1585" w:type="dxa"/>
            <w:tcBorders>
              <w:top w:val="nil"/>
              <w:left w:val="single" w:sz="6" w:space="0" w:color="auto"/>
              <w:bottom w:val="nil"/>
              <w:right w:val="nil"/>
            </w:tcBorders>
            <w:noWrap/>
            <w:hideMark/>
          </w:tcPr>
          <w:p w14:paraId="5B37B03A" w14:textId="77777777" w:rsidR="00C35397" w:rsidRDefault="00C35397">
            <w:pPr>
              <w:spacing w:before="40" w:after="40" w:line="276" w:lineRule="auto"/>
              <w:jc w:val="center"/>
            </w:pPr>
            <w:r>
              <w:t>29.3</w:t>
            </w:r>
          </w:p>
        </w:tc>
        <w:tc>
          <w:tcPr>
            <w:tcW w:w="1136" w:type="dxa"/>
            <w:tcBorders>
              <w:top w:val="nil"/>
              <w:left w:val="nil"/>
              <w:bottom w:val="nil"/>
              <w:right w:val="single" w:sz="6" w:space="0" w:color="auto"/>
            </w:tcBorders>
            <w:noWrap/>
            <w:hideMark/>
          </w:tcPr>
          <w:p w14:paraId="027083E8" w14:textId="77777777" w:rsidR="00C35397" w:rsidRDefault="00C35397">
            <w:pPr>
              <w:spacing w:before="40" w:after="40" w:line="276" w:lineRule="auto"/>
              <w:jc w:val="center"/>
            </w:pPr>
            <w:r>
              <w:t>57.1</w:t>
            </w:r>
          </w:p>
        </w:tc>
        <w:tc>
          <w:tcPr>
            <w:tcW w:w="1420" w:type="dxa"/>
            <w:tcBorders>
              <w:top w:val="nil"/>
              <w:left w:val="single" w:sz="6" w:space="0" w:color="auto"/>
              <w:bottom w:val="nil"/>
              <w:right w:val="nil"/>
            </w:tcBorders>
            <w:noWrap/>
            <w:hideMark/>
          </w:tcPr>
          <w:p w14:paraId="3180FECC" w14:textId="77777777" w:rsidR="00C35397" w:rsidRDefault="00C35397">
            <w:pPr>
              <w:spacing w:before="40" w:after="40" w:line="276" w:lineRule="auto"/>
              <w:jc w:val="center"/>
            </w:pPr>
            <w:r>
              <w:t>50.6</w:t>
            </w:r>
          </w:p>
        </w:tc>
        <w:tc>
          <w:tcPr>
            <w:tcW w:w="1319" w:type="dxa"/>
            <w:noWrap/>
            <w:hideMark/>
          </w:tcPr>
          <w:p w14:paraId="3CBBB5B3" w14:textId="77777777" w:rsidR="00C35397" w:rsidRDefault="00C35397">
            <w:pPr>
              <w:spacing w:before="40" w:after="40" w:line="276" w:lineRule="auto"/>
              <w:jc w:val="center"/>
            </w:pPr>
            <w:r>
              <w:t>71.8</w:t>
            </w:r>
          </w:p>
        </w:tc>
        <w:tc>
          <w:tcPr>
            <w:tcW w:w="1332" w:type="dxa"/>
            <w:noWrap/>
            <w:hideMark/>
          </w:tcPr>
          <w:p w14:paraId="0836597D" w14:textId="77777777" w:rsidR="00C35397" w:rsidRDefault="00C35397">
            <w:pPr>
              <w:spacing w:before="40" w:after="40" w:line="276" w:lineRule="auto"/>
              <w:jc w:val="center"/>
            </w:pPr>
            <w:r>
              <w:t>61.6</w:t>
            </w:r>
          </w:p>
        </w:tc>
      </w:tr>
      <w:tr w:rsidR="00C35397" w14:paraId="7C0F6021" w14:textId="77777777" w:rsidTr="00C35397">
        <w:trPr>
          <w:trHeight w:val="360"/>
        </w:trPr>
        <w:tc>
          <w:tcPr>
            <w:tcW w:w="1096" w:type="dxa"/>
            <w:noWrap/>
            <w:vAlign w:val="center"/>
            <w:hideMark/>
          </w:tcPr>
          <w:p w14:paraId="1B7F33EC" w14:textId="77777777" w:rsidR="00C35397" w:rsidRDefault="00C35397">
            <w:pPr>
              <w:spacing w:before="40" w:after="40" w:line="276" w:lineRule="auto"/>
              <w:jc w:val="center"/>
            </w:pPr>
            <w:r>
              <w:t>0°-90°</w:t>
            </w:r>
          </w:p>
        </w:tc>
        <w:tc>
          <w:tcPr>
            <w:tcW w:w="750" w:type="dxa"/>
            <w:tcBorders>
              <w:top w:val="nil"/>
              <w:left w:val="nil"/>
              <w:bottom w:val="nil"/>
              <w:right w:val="single" w:sz="6" w:space="0" w:color="auto"/>
            </w:tcBorders>
            <w:noWrap/>
            <w:hideMark/>
          </w:tcPr>
          <w:p w14:paraId="79F799C8" w14:textId="77777777" w:rsidR="00C35397" w:rsidRDefault="00C35397">
            <w:pPr>
              <w:spacing w:before="40" w:after="40" w:line="276" w:lineRule="auto"/>
              <w:jc w:val="right"/>
            </w:pPr>
            <w:r>
              <w:t>50%</w:t>
            </w:r>
          </w:p>
        </w:tc>
        <w:tc>
          <w:tcPr>
            <w:tcW w:w="1585" w:type="dxa"/>
            <w:tcBorders>
              <w:top w:val="nil"/>
              <w:left w:val="single" w:sz="6" w:space="0" w:color="auto"/>
              <w:bottom w:val="nil"/>
              <w:right w:val="nil"/>
            </w:tcBorders>
            <w:noWrap/>
            <w:hideMark/>
          </w:tcPr>
          <w:p w14:paraId="2AD37E93" w14:textId="77777777" w:rsidR="00C35397" w:rsidRDefault="00C35397">
            <w:pPr>
              <w:spacing w:before="40" w:after="40" w:line="276" w:lineRule="auto"/>
              <w:jc w:val="center"/>
            </w:pPr>
            <w:r>
              <w:t>37.5</w:t>
            </w:r>
          </w:p>
        </w:tc>
        <w:tc>
          <w:tcPr>
            <w:tcW w:w="1136" w:type="dxa"/>
            <w:tcBorders>
              <w:top w:val="nil"/>
              <w:left w:val="nil"/>
              <w:bottom w:val="nil"/>
              <w:right w:val="single" w:sz="6" w:space="0" w:color="auto"/>
            </w:tcBorders>
            <w:noWrap/>
            <w:hideMark/>
          </w:tcPr>
          <w:p w14:paraId="0EAB9D0E" w14:textId="77777777" w:rsidR="00C35397" w:rsidRDefault="00C35397">
            <w:pPr>
              <w:spacing w:before="40" w:after="40" w:line="276" w:lineRule="auto"/>
              <w:jc w:val="center"/>
            </w:pPr>
            <w:r>
              <w:t>73.1</w:t>
            </w:r>
          </w:p>
        </w:tc>
        <w:tc>
          <w:tcPr>
            <w:tcW w:w="1420" w:type="dxa"/>
            <w:tcBorders>
              <w:top w:val="nil"/>
              <w:left w:val="single" w:sz="6" w:space="0" w:color="auto"/>
              <w:bottom w:val="nil"/>
              <w:right w:val="nil"/>
            </w:tcBorders>
            <w:noWrap/>
            <w:hideMark/>
          </w:tcPr>
          <w:p w14:paraId="68B4D8C8" w14:textId="77777777" w:rsidR="00C35397" w:rsidRDefault="00C35397">
            <w:pPr>
              <w:spacing w:before="40" w:after="40" w:line="276" w:lineRule="auto"/>
              <w:jc w:val="center"/>
            </w:pPr>
            <w:r>
              <w:t>62.0</w:t>
            </w:r>
          </w:p>
        </w:tc>
        <w:tc>
          <w:tcPr>
            <w:tcW w:w="1319" w:type="dxa"/>
            <w:noWrap/>
            <w:hideMark/>
          </w:tcPr>
          <w:p w14:paraId="7CED616C" w14:textId="77777777" w:rsidR="00C35397" w:rsidRDefault="00C35397">
            <w:pPr>
              <w:spacing w:before="40" w:after="40" w:line="276" w:lineRule="auto"/>
              <w:jc w:val="center"/>
            </w:pPr>
            <w:r>
              <w:t>87.9</w:t>
            </w:r>
          </w:p>
        </w:tc>
        <w:tc>
          <w:tcPr>
            <w:tcW w:w="1332" w:type="dxa"/>
            <w:noWrap/>
            <w:hideMark/>
          </w:tcPr>
          <w:p w14:paraId="39BF543C" w14:textId="77777777" w:rsidR="00C35397" w:rsidRDefault="00C35397">
            <w:pPr>
              <w:spacing w:before="40" w:after="40" w:line="276" w:lineRule="auto"/>
              <w:jc w:val="center"/>
            </w:pPr>
            <w:r>
              <w:t>75.5</w:t>
            </w:r>
          </w:p>
        </w:tc>
      </w:tr>
      <w:tr w:rsidR="00C35397" w14:paraId="7CA66463" w14:textId="77777777" w:rsidTr="00C35397">
        <w:trPr>
          <w:trHeight w:val="360"/>
        </w:trPr>
        <w:tc>
          <w:tcPr>
            <w:tcW w:w="1096" w:type="dxa"/>
            <w:noWrap/>
            <w:vAlign w:val="center"/>
          </w:tcPr>
          <w:p w14:paraId="74E7C620" w14:textId="77777777" w:rsidR="00C35397" w:rsidRDefault="00C35397">
            <w:pPr>
              <w:spacing w:before="40" w:after="40" w:line="276" w:lineRule="auto"/>
              <w:jc w:val="center"/>
            </w:pPr>
          </w:p>
        </w:tc>
        <w:tc>
          <w:tcPr>
            <w:tcW w:w="750" w:type="dxa"/>
            <w:tcBorders>
              <w:top w:val="nil"/>
              <w:left w:val="nil"/>
              <w:bottom w:val="nil"/>
              <w:right w:val="single" w:sz="6" w:space="0" w:color="auto"/>
            </w:tcBorders>
            <w:noWrap/>
            <w:hideMark/>
          </w:tcPr>
          <w:p w14:paraId="7AA8A871" w14:textId="77777777" w:rsidR="00C35397" w:rsidRDefault="00C35397">
            <w:pPr>
              <w:spacing w:before="40" w:after="40" w:line="276" w:lineRule="auto"/>
              <w:jc w:val="right"/>
            </w:pPr>
            <w:r>
              <w:t>75%</w:t>
            </w:r>
          </w:p>
        </w:tc>
        <w:tc>
          <w:tcPr>
            <w:tcW w:w="1585" w:type="dxa"/>
            <w:tcBorders>
              <w:top w:val="nil"/>
              <w:left w:val="single" w:sz="6" w:space="0" w:color="auto"/>
              <w:bottom w:val="nil"/>
              <w:right w:val="nil"/>
            </w:tcBorders>
            <w:noWrap/>
            <w:hideMark/>
          </w:tcPr>
          <w:p w14:paraId="3352E9C4" w14:textId="77777777" w:rsidR="00C35397" w:rsidRDefault="00C35397">
            <w:pPr>
              <w:spacing w:before="40" w:after="40" w:line="276" w:lineRule="auto"/>
              <w:jc w:val="center"/>
            </w:pPr>
            <w:r>
              <w:t>45.7</w:t>
            </w:r>
          </w:p>
        </w:tc>
        <w:tc>
          <w:tcPr>
            <w:tcW w:w="1136" w:type="dxa"/>
            <w:tcBorders>
              <w:top w:val="nil"/>
              <w:left w:val="nil"/>
              <w:bottom w:val="nil"/>
              <w:right w:val="single" w:sz="6" w:space="0" w:color="auto"/>
            </w:tcBorders>
            <w:noWrap/>
            <w:hideMark/>
          </w:tcPr>
          <w:p w14:paraId="0EDEE1A4" w14:textId="77777777" w:rsidR="00C35397" w:rsidRDefault="00C35397">
            <w:pPr>
              <w:spacing w:before="40" w:after="40" w:line="276" w:lineRule="auto"/>
              <w:jc w:val="center"/>
            </w:pPr>
            <w:r>
              <w:t>89.1</w:t>
            </w:r>
          </w:p>
        </w:tc>
        <w:tc>
          <w:tcPr>
            <w:tcW w:w="1420" w:type="dxa"/>
            <w:tcBorders>
              <w:top w:val="nil"/>
              <w:left w:val="single" w:sz="6" w:space="0" w:color="auto"/>
              <w:bottom w:val="nil"/>
              <w:right w:val="nil"/>
            </w:tcBorders>
            <w:noWrap/>
            <w:hideMark/>
          </w:tcPr>
          <w:p w14:paraId="17831777" w14:textId="77777777" w:rsidR="00C35397" w:rsidRDefault="00C35397">
            <w:pPr>
              <w:spacing w:before="40" w:after="40" w:line="276" w:lineRule="auto"/>
              <w:jc w:val="center"/>
            </w:pPr>
            <w:r>
              <w:t>73.5</w:t>
            </w:r>
          </w:p>
        </w:tc>
        <w:tc>
          <w:tcPr>
            <w:tcW w:w="1319" w:type="dxa"/>
            <w:noWrap/>
            <w:hideMark/>
          </w:tcPr>
          <w:p w14:paraId="1B27DD44" w14:textId="77777777" w:rsidR="00C35397" w:rsidRDefault="00C35397">
            <w:pPr>
              <w:spacing w:before="40" w:after="40" w:line="276" w:lineRule="auto"/>
              <w:jc w:val="center"/>
            </w:pPr>
            <w:r>
              <w:t>104.1</w:t>
            </w:r>
          </w:p>
        </w:tc>
        <w:tc>
          <w:tcPr>
            <w:tcW w:w="1332" w:type="dxa"/>
            <w:noWrap/>
            <w:hideMark/>
          </w:tcPr>
          <w:p w14:paraId="6360338C" w14:textId="77777777" w:rsidR="00C35397" w:rsidRDefault="00C35397">
            <w:pPr>
              <w:spacing w:before="40" w:after="40" w:line="276" w:lineRule="auto"/>
              <w:jc w:val="center"/>
            </w:pPr>
            <w:r>
              <w:t>89.3</w:t>
            </w:r>
          </w:p>
        </w:tc>
      </w:tr>
      <w:tr w:rsidR="00C35397" w14:paraId="3E8618DB" w14:textId="77777777" w:rsidTr="00C35397">
        <w:trPr>
          <w:trHeight w:val="360"/>
        </w:trPr>
        <w:tc>
          <w:tcPr>
            <w:tcW w:w="1096" w:type="dxa"/>
            <w:noWrap/>
            <w:vAlign w:val="center"/>
          </w:tcPr>
          <w:p w14:paraId="166624B3" w14:textId="77777777" w:rsidR="00C35397" w:rsidRDefault="00C35397">
            <w:pPr>
              <w:spacing w:before="40" w:after="40" w:line="276" w:lineRule="auto"/>
              <w:jc w:val="center"/>
            </w:pPr>
          </w:p>
        </w:tc>
        <w:tc>
          <w:tcPr>
            <w:tcW w:w="750" w:type="dxa"/>
            <w:tcBorders>
              <w:top w:val="nil"/>
              <w:left w:val="nil"/>
              <w:bottom w:val="nil"/>
              <w:right w:val="single" w:sz="6" w:space="0" w:color="auto"/>
            </w:tcBorders>
            <w:noWrap/>
            <w:hideMark/>
          </w:tcPr>
          <w:p w14:paraId="679AAEE2" w14:textId="77777777" w:rsidR="00C35397" w:rsidRDefault="00C35397">
            <w:pPr>
              <w:spacing w:before="40" w:after="40" w:line="276" w:lineRule="auto"/>
              <w:jc w:val="right"/>
            </w:pPr>
            <w:r>
              <w:t>90%</w:t>
            </w:r>
          </w:p>
        </w:tc>
        <w:tc>
          <w:tcPr>
            <w:tcW w:w="1585" w:type="dxa"/>
            <w:tcBorders>
              <w:top w:val="nil"/>
              <w:left w:val="single" w:sz="6" w:space="0" w:color="auto"/>
              <w:bottom w:val="nil"/>
              <w:right w:val="nil"/>
            </w:tcBorders>
            <w:noWrap/>
            <w:hideMark/>
          </w:tcPr>
          <w:p w14:paraId="3433F55C" w14:textId="77777777" w:rsidR="00C35397" w:rsidRDefault="00C35397">
            <w:pPr>
              <w:spacing w:before="40" w:after="40" w:line="276" w:lineRule="auto"/>
              <w:jc w:val="center"/>
            </w:pPr>
            <w:r>
              <w:t>53.9</w:t>
            </w:r>
          </w:p>
        </w:tc>
        <w:tc>
          <w:tcPr>
            <w:tcW w:w="1136" w:type="dxa"/>
            <w:tcBorders>
              <w:top w:val="nil"/>
              <w:left w:val="nil"/>
              <w:bottom w:val="nil"/>
              <w:right w:val="single" w:sz="6" w:space="0" w:color="auto"/>
            </w:tcBorders>
            <w:noWrap/>
            <w:hideMark/>
          </w:tcPr>
          <w:p w14:paraId="48589B6B" w14:textId="77777777" w:rsidR="00C35397" w:rsidRDefault="00C35397">
            <w:pPr>
              <w:spacing w:before="40" w:after="40" w:line="276" w:lineRule="auto"/>
              <w:jc w:val="center"/>
            </w:pPr>
            <w:r>
              <w:t>105.1</w:t>
            </w:r>
          </w:p>
        </w:tc>
        <w:tc>
          <w:tcPr>
            <w:tcW w:w="1420" w:type="dxa"/>
            <w:tcBorders>
              <w:top w:val="nil"/>
              <w:left w:val="single" w:sz="6" w:space="0" w:color="auto"/>
              <w:bottom w:val="nil"/>
              <w:right w:val="nil"/>
            </w:tcBorders>
            <w:noWrap/>
            <w:hideMark/>
          </w:tcPr>
          <w:p w14:paraId="0A4F3F47" w14:textId="77777777" w:rsidR="00C35397" w:rsidRDefault="00C35397">
            <w:pPr>
              <w:spacing w:before="40" w:after="40" w:line="276" w:lineRule="auto"/>
              <w:jc w:val="center"/>
            </w:pPr>
            <w:r>
              <w:t>84.9</w:t>
            </w:r>
          </w:p>
        </w:tc>
        <w:tc>
          <w:tcPr>
            <w:tcW w:w="1319" w:type="dxa"/>
            <w:noWrap/>
            <w:hideMark/>
          </w:tcPr>
          <w:p w14:paraId="1D3B2D62" w14:textId="77777777" w:rsidR="00C35397" w:rsidRDefault="00C35397">
            <w:pPr>
              <w:spacing w:before="40" w:after="40" w:line="276" w:lineRule="auto"/>
              <w:jc w:val="center"/>
            </w:pPr>
            <w:r>
              <w:t>120.3</w:t>
            </w:r>
          </w:p>
        </w:tc>
        <w:tc>
          <w:tcPr>
            <w:tcW w:w="1332" w:type="dxa"/>
            <w:noWrap/>
            <w:hideMark/>
          </w:tcPr>
          <w:p w14:paraId="0248D0FD" w14:textId="77777777" w:rsidR="00C35397" w:rsidRDefault="00C35397">
            <w:pPr>
              <w:spacing w:before="40" w:after="40" w:line="276" w:lineRule="auto"/>
              <w:jc w:val="center"/>
            </w:pPr>
            <w:r>
              <w:t>103.2</w:t>
            </w:r>
          </w:p>
        </w:tc>
      </w:tr>
      <w:tr w:rsidR="00C35397" w14:paraId="2FDEBC8B" w14:textId="77777777" w:rsidTr="00C35397">
        <w:trPr>
          <w:trHeight w:val="360"/>
        </w:trPr>
        <w:tc>
          <w:tcPr>
            <w:tcW w:w="1096" w:type="dxa"/>
            <w:tcBorders>
              <w:top w:val="nil"/>
              <w:left w:val="nil"/>
              <w:bottom w:val="single" w:sz="6" w:space="0" w:color="auto"/>
              <w:right w:val="nil"/>
            </w:tcBorders>
            <w:noWrap/>
            <w:vAlign w:val="center"/>
            <w:hideMark/>
          </w:tcPr>
          <w:p w14:paraId="39746413" w14:textId="77777777" w:rsidR="00C35397" w:rsidRDefault="00C35397"/>
        </w:tc>
        <w:tc>
          <w:tcPr>
            <w:tcW w:w="750" w:type="dxa"/>
            <w:tcBorders>
              <w:top w:val="nil"/>
              <w:left w:val="nil"/>
              <w:bottom w:val="single" w:sz="6" w:space="0" w:color="auto"/>
              <w:right w:val="single" w:sz="6" w:space="0" w:color="auto"/>
            </w:tcBorders>
            <w:noWrap/>
            <w:hideMark/>
          </w:tcPr>
          <w:p w14:paraId="41300791" w14:textId="77777777" w:rsidR="00C35397" w:rsidRDefault="00C35397">
            <w:pPr>
              <w:spacing w:before="40" w:after="40" w:line="276" w:lineRule="auto"/>
              <w:jc w:val="right"/>
              <w:rPr>
                <w:rFonts w:eastAsiaTheme="minorHAnsi"/>
              </w:rPr>
            </w:pPr>
            <w:r>
              <w:t>95%</w:t>
            </w:r>
          </w:p>
        </w:tc>
        <w:tc>
          <w:tcPr>
            <w:tcW w:w="1585" w:type="dxa"/>
            <w:tcBorders>
              <w:top w:val="nil"/>
              <w:left w:val="single" w:sz="6" w:space="0" w:color="auto"/>
              <w:bottom w:val="single" w:sz="6" w:space="0" w:color="auto"/>
              <w:right w:val="nil"/>
            </w:tcBorders>
            <w:noWrap/>
            <w:hideMark/>
          </w:tcPr>
          <w:p w14:paraId="6A9F1745" w14:textId="77777777" w:rsidR="00C35397" w:rsidRDefault="00C35397">
            <w:pPr>
              <w:spacing w:before="40" w:after="40" w:line="276" w:lineRule="auto"/>
              <w:jc w:val="center"/>
            </w:pPr>
            <w:r>
              <w:t>59.5</w:t>
            </w:r>
          </w:p>
        </w:tc>
        <w:tc>
          <w:tcPr>
            <w:tcW w:w="1136" w:type="dxa"/>
            <w:tcBorders>
              <w:top w:val="nil"/>
              <w:left w:val="nil"/>
              <w:bottom w:val="single" w:sz="6" w:space="0" w:color="auto"/>
              <w:right w:val="single" w:sz="6" w:space="0" w:color="auto"/>
            </w:tcBorders>
            <w:noWrap/>
            <w:hideMark/>
          </w:tcPr>
          <w:p w14:paraId="744CAAD9" w14:textId="77777777" w:rsidR="00C35397" w:rsidRDefault="00C35397">
            <w:pPr>
              <w:spacing w:before="40" w:after="40" w:line="276" w:lineRule="auto"/>
              <w:jc w:val="center"/>
            </w:pPr>
            <w:r>
              <w:t>116.0</w:t>
            </w:r>
          </w:p>
        </w:tc>
        <w:tc>
          <w:tcPr>
            <w:tcW w:w="1420" w:type="dxa"/>
            <w:tcBorders>
              <w:top w:val="nil"/>
              <w:left w:val="single" w:sz="6" w:space="0" w:color="auto"/>
              <w:bottom w:val="single" w:sz="6" w:space="0" w:color="auto"/>
              <w:right w:val="nil"/>
            </w:tcBorders>
            <w:noWrap/>
            <w:hideMark/>
          </w:tcPr>
          <w:p w14:paraId="3C433F8B" w14:textId="77777777" w:rsidR="00C35397" w:rsidRDefault="00C35397">
            <w:pPr>
              <w:spacing w:before="40" w:after="40" w:line="276" w:lineRule="auto"/>
              <w:jc w:val="center"/>
            </w:pPr>
            <w:r>
              <w:t>92.6</w:t>
            </w:r>
          </w:p>
        </w:tc>
        <w:tc>
          <w:tcPr>
            <w:tcW w:w="1319" w:type="dxa"/>
            <w:tcBorders>
              <w:top w:val="nil"/>
              <w:left w:val="nil"/>
              <w:bottom w:val="single" w:sz="6" w:space="0" w:color="auto"/>
              <w:right w:val="nil"/>
            </w:tcBorders>
            <w:noWrap/>
            <w:hideMark/>
          </w:tcPr>
          <w:p w14:paraId="7AE982F2" w14:textId="77777777" w:rsidR="00C35397" w:rsidRDefault="00C35397">
            <w:pPr>
              <w:spacing w:before="40" w:after="40" w:line="276" w:lineRule="auto"/>
              <w:jc w:val="center"/>
            </w:pPr>
            <w:r>
              <w:t>131.3</w:t>
            </w:r>
          </w:p>
        </w:tc>
        <w:tc>
          <w:tcPr>
            <w:tcW w:w="1332" w:type="dxa"/>
            <w:tcBorders>
              <w:top w:val="nil"/>
              <w:left w:val="nil"/>
              <w:bottom w:val="single" w:sz="6" w:space="0" w:color="auto"/>
              <w:right w:val="nil"/>
            </w:tcBorders>
            <w:noWrap/>
            <w:hideMark/>
          </w:tcPr>
          <w:p w14:paraId="6B517ABE" w14:textId="77777777" w:rsidR="00C35397" w:rsidRDefault="00C35397">
            <w:pPr>
              <w:spacing w:before="40" w:after="40" w:line="276" w:lineRule="auto"/>
              <w:jc w:val="center"/>
            </w:pPr>
            <w:r>
              <w:t>112.7</w:t>
            </w:r>
          </w:p>
        </w:tc>
      </w:tr>
      <w:tr w:rsidR="00C35397" w14:paraId="55BB4073" w14:textId="77777777" w:rsidTr="00C35397">
        <w:trPr>
          <w:trHeight w:val="360"/>
        </w:trPr>
        <w:tc>
          <w:tcPr>
            <w:tcW w:w="1096" w:type="dxa"/>
            <w:tcBorders>
              <w:top w:val="single" w:sz="6" w:space="0" w:color="auto"/>
              <w:left w:val="nil"/>
              <w:bottom w:val="nil"/>
              <w:right w:val="nil"/>
            </w:tcBorders>
            <w:noWrap/>
            <w:vAlign w:val="center"/>
            <w:hideMark/>
          </w:tcPr>
          <w:p w14:paraId="0EF3DB2B" w14:textId="77777777" w:rsidR="00C35397" w:rsidRDefault="00C35397"/>
        </w:tc>
        <w:tc>
          <w:tcPr>
            <w:tcW w:w="750" w:type="dxa"/>
            <w:tcBorders>
              <w:top w:val="single" w:sz="6" w:space="0" w:color="auto"/>
              <w:left w:val="nil"/>
              <w:bottom w:val="nil"/>
              <w:right w:val="single" w:sz="6" w:space="0" w:color="auto"/>
            </w:tcBorders>
            <w:noWrap/>
            <w:hideMark/>
          </w:tcPr>
          <w:p w14:paraId="3C2BBCB7" w14:textId="77777777" w:rsidR="00C35397" w:rsidRDefault="00C35397">
            <w:pPr>
              <w:spacing w:before="40" w:after="40" w:line="276" w:lineRule="auto"/>
              <w:jc w:val="right"/>
              <w:rPr>
                <w:rFonts w:eastAsiaTheme="minorHAnsi"/>
              </w:rPr>
            </w:pPr>
            <w:r>
              <w:t>5%</w:t>
            </w:r>
          </w:p>
        </w:tc>
        <w:tc>
          <w:tcPr>
            <w:tcW w:w="1585" w:type="dxa"/>
            <w:tcBorders>
              <w:top w:val="single" w:sz="6" w:space="0" w:color="auto"/>
              <w:left w:val="single" w:sz="6" w:space="0" w:color="auto"/>
              <w:bottom w:val="nil"/>
              <w:right w:val="nil"/>
            </w:tcBorders>
            <w:noWrap/>
            <w:hideMark/>
          </w:tcPr>
          <w:p w14:paraId="74F385E1" w14:textId="77777777" w:rsidR="00C35397" w:rsidRDefault="00C35397">
            <w:pPr>
              <w:spacing w:before="40" w:after="40" w:line="276" w:lineRule="auto"/>
              <w:jc w:val="center"/>
            </w:pPr>
            <w:r>
              <w:t>15.5</w:t>
            </w:r>
          </w:p>
        </w:tc>
        <w:tc>
          <w:tcPr>
            <w:tcW w:w="1136" w:type="dxa"/>
            <w:tcBorders>
              <w:top w:val="single" w:sz="6" w:space="0" w:color="auto"/>
              <w:left w:val="nil"/>
              <w:bottom w:val="nil"/>
              <w:right w:val="single" w:sz="6" w:space="0" w:color="auto"/>
            </w:tcBorders>
            <w:noWrap/>
            <w:hideMark/>
          </w:tcPr>
          <w:p w14:paraId="3D63FAEE" w14:textId="77777777" w:rsidR="00C35397" w:rsidRDefault="00C35397">
            <w:pPr>
              <w:spacing w:before="40" w:after="40" w:line="276" w:lineRule="auto"/>
              <w:jc w:val="center"/>
            </w:pPr>
            <w:r>
              <w:t>35.2</w:t>
            </w:r>
          </w:p>
        </w:tc>
        <w:tc>
          <w:tcPr>
            <w:tcW w:w="1420" w:type="dxa"/>
            <w:tcBorders>
              <w:top w:val="single" w:sz="6" w:space="0" w:color="auto"/>
              <w:left w:val="single" w:sz="6" w:space="0" w:color="auto"/>
              <w:bottom w:val="nil"/>
              <w:right w:val="nil"/>
            </w:tcBorders>
            <w:noWrap/>
            <w:hideMark/>
          </w:tcPr>
          <w:p w14:paraId="3F9E4F68" w14:textId="77777777" w:rsidR="00C35397" w:rsidRDefault="00C35397">
            <w:pPr>
              <w:spacing w:before="40" w:after="40" w:line="276" w:lineRule="auto"/>
              <w:jc w:val="center"/>
            </w:pPr>
            <w:r>
              <w:t>31.4</w:t>
            </w:r>
          </w:p>
        </w:tc>
        <w:tc>
          <w:tcPr>
            <w:tcW w:w="1319" w:type="dxa"/>
            <w:tcBorders>
              <w:top w:val="single" w:sz="6" w:space="0" w:color="auto"/>
              <w:left w:val="nil"/>
              <w:bottom w:val="nil"/>
              <w:right w:val="nil"/>
            </w:tcBorders>
            <w:noWrap/>
            <w:hideMark/>
          </w:tcPr>
          <w:p w14:paraId="3759258B" w14:textId="77777777" w:rsidR="00C35397" w:rsidRDefault="00C35397">
            <w:pPr>
              <w:spacing w:before="40" w:after="40" w:line="276" w:lineRule="auto"/>
              <w:jc w:val="center"/>
            </w:pPr>
            <w:r>
              <w:t>67.3</w:t>
            </w:r>
          </w:p>
        </w:tc>
        <w:tc>
          <w:tcPr>
            <w:tcW w:w="1332" w:type="dxa"/>
            <w:tcBorders>
              <w:top w:val="single" w:sz="6" w:space="0" w:color="auto"/>
              <w:left w:val="nil"/>
              <w:bottom w:val="nil"/>
              <w:right w:val="nil"/>
            </w:tcBorders>
            <w:noWrap/>
            <w:hideMark/>
          </w:tcPr>
          <w:p w14:paraId="72021A63" w14:textId="77777777" w:rsidR="00C35397" w:rsidRDefault="00C35397">
            <w:pPr>
              <w:spacing w:before="40" w:after="40" w:line="276" w:lineRule="auto"/>
              <w:jc w:val="center"/>
            </w:pPr>
            <w:r>
              <w:t>53.8</w:t>
            </w:r>
          </w:p>
        </w:tc>
      </w:tr>
      <w:tr w:rsidR="00C35397" w14:paraId="4A906455" w14:textId="77777777" w:rsidTr="00C35397">
        <w:trPr>
          <w:trHeight w:val="360"/>
        </w:trPr>
        <w:tc>
          <w:tcPr>
            <w:tcW w:w="1096" w:type="dxa"/>
            <w:noWrap/>
            <w:vAlign w:val="center"/>
          </w:tcPr>
          <w:p w14:paraId="0BA4589E" w14:textId="77777777" w:rsidR="00C35397" w:rsidRDefault="00C35397">
            <w:pPr>
              <w:spacing w:before="40" w:after="40" w:line="276" w:lineRule="auto"/>
              <w:jc w:val="center"/>
            </w:pPr>
          </w:p>
        </w:tc>
        <w:tc>
          <w:tcPr>
            <w:tcW w:w="750" w:type="dxa"/>
            <w:tcBorders>
              <w:top w:val="nil"/>
              <w:left w:val="nil"/>
              <w:bottom w:val="nil"/>
              <w:right w:val="single" w:sz="6" w:space="0" w:color="auto"/>
            </w:tcBorders>
            <w:noWrap/>
            <w:hideMark/>
          </w:tcPr>
          <w:p w14:paraId="3AE85AE6" w14:textId="77777777" w:rsidR="00C35397" w:rsidRDefault="00C35397">
            <w:pPr>
              <w:spacing w:before="40" w:after="40" w:line="276" w:lineRule="auto"/>
              <w:jc w:val="right"/>
            </w:pPr>
            <w:r>
              <w:t>10%</w:t>
            </w:r>
          </w:p>
        </w:tc>
        <w:tc>
          <w:tcPr>
            <w:tcW w:w="1585" w:type="dxa"/>
            <w:tcBorders>
              <w:top w:val="nil"/>
              <w:left w:val="single" w:sz="6" w:space="0" w:color="auto"/>
              <w:bottom w:val="nil"/>
              <w:right w:val="nil"/>
            </w:tcBorders>
            <w:noWrap/>
            <w:hideMark/>
          </w:tcPr>
          <w:p w14:paraId="7EF3F78D" w14:textId="77777777" w:rsidR="00C35397" w:rsidRDefault="00C35397">
            <w:pPr>
              <w:spacing w:before="40" w:after="40" w:line="276" w:lineRule="auto"/>
              <w:jc w:val="center"/>
            </w:pPr>
            <w:r>
              <w:t>21.1</w:t>
            </w:r>
          </w:p>
        </w:tc>
        <w:tc>
          <w:tcPr>
            <w:tcW w:w="1136" w:type="dxa"/>
            <w:tcBorders>
              <w:top w:val="nil"/>
              <w:left w:val="nil"/>
              <w:bottom w:val="nil"/>
              <w:right w:val="single" w:sz="6" w:space="0" w:color="auto"/>
            </w:tcBorders>
            <w:noWrap/>
            <w:hideMark/>
          </w:tcPr>
          <w:p w14:paraId="706CDFCB" w14:textId="77777777" w:rsidR="00C35397" w:rsidRDefault="00C35397">
            <w:pPr>
              <w:spacing w:before="40" w:after="40" w:line="276" w:lineRule="auto"/>
              <w:jc w:val="center"/>
            </w:pPr>
            <w:r>
              <w:t>48.0</w:t>
            </w:r>
          </w:p>
        </w:tc>
        <w:tc>
          <w:tcPr>
            <w:tcW w:w="1420" w:type="dxa"/>
            <w:tcBorders>
              <w:top w:val="nil"/>
              <w:left w:val="single" w:sz="6" w:space="0" w:color="auto"/>
              <w:bottom w:val="nil"/>
              <w:right w:val="nil"/>
            </w:tcBorders>
            <w:noWrap/>
            <w:hideMark/>
          </w:tcPr>
          <w:p w14:paraId="1BD26D74" w14:textId="77777777" w:rsidR="00C35397" w:rsidRDefault="00C35397">
            <w:pPr>
              <w:spacing w:before="40" w:after="40" w:line="276" w:lineRule="auto"/>
              <w:jc w:val="center"/>
            </w:pPr>
            <w:r>
              <w:t>39.2</w:t>
            </w:r>
          </w:p>
        </w:tc>
        <w:tc>
          <w:tcPr>
            <w:tcW w:w="1319" w:type="dxa"/>
            <w:noWrap/>
            <w:hideMark/>
          </w:tcPr>
          <w:p w14:paraId="72BDB49C" w14:textId="77777777" w:rsidR="00C35397" w:rsidRDefault="00C35397">
            <w:pPr>
              <w:spacing w:before="40" w:after="40" w:line="276" w:lineRule="auto"/>
              <w:jc w:val="center"/>
            </w:pPr>
            <w:r>
              <w:t>84.0</w:t>
            </w:r>
          </w:p>
        </w:tc>
        <w:tc>
          <w:tcPr>
            <w:tcW w:w="1332" w:type="dxa"/>
            <w:noWrap/>
            <w:hideMark/>
          </w:tcPr>
          <w:p w14:paraId="72C6AAB9" w14:textId="77777777" w:rsidR="00C35397" w:rsidRDefault="00C35397">
            <w:pPr>
              <w:spacing w:before="40" w:after="40" w:line="276" w:lineRule="auto"/>
              <w:jc w:val="center"/>
            </w:pPr>
            <w:r>
              <w:t>67.1</w:t>
            </w:r>
          </w:p>
        </w:tc>
      </w:tr>
      <w:tr w:rsidR="00C35397" w14:paraId="36FE0209" w14:textId="77777777" w:rsidTr="00C35397">
        <w:trPr>
          <w:trHeight w:val="360"/>
        </w:trPr>
        <w:tc>
          <w:tcPr>
            <w:tcW w:w="1096" w:type="dxa"/>
            <w:noWrap/>
            <w:vAlign w:val="center"/>
          </w:tcPr>
          <w:p w14:paraId="2065E4BA" w14:textId="77777777" w:rsidR="00C35397" w:rsidRDefault="00C35397">
            <w:pPr>
              <w:spacing w:before="40" w:after="40" w:line="276" w:lineRule="auto"/>
              <w:jc w:val="center"/>
            </w:pPr>
          </w:p>
        </w:tc>
        <w:tc>
          <w:tcPr>
            <w:tcW w:w="750" w:type="dxa"/>
            <w:tcBorders>
              <w:top w:val="nil"/>
              <w:left w:val="nil"/>
              <w:bottom w:val="nil"/>
              <w:right w:val="single" w:sz="6" w:space="0" w:color="auto"/>
            </w:tcBorders>
            <w:noWrap/>
            <w:hideMark/>
          </w:tcPr>
          <w:p w14:paraId="000470DE" w14:textId="77777777" w:rsidR="00C35397" w:rsidRDefault="00C35397">
            <w:pPr>
              <w:spacing w:before="40" w:after="40" w:line="276" w:lineRule="auto"/>
              <w:jc w:val="right"/>
            </w:pPr>
            <w:r>
              <w:t>25%</w:t>
            </w:r>
          </w:p>
        </w:tc>
        <w:tc>
          <w:tcPr>
            <w:tcW w:w="1585" w:type="dxa"/>
            <w:tcBorders>
              <w:top w:val="nil"/>
              <w:left w:val="single" w:sz="6" w:space="0" w:color="auto"/>
              <w:bottom w:val="nil"/>
              <w:right w:val="nil"/>
            </w:tcBorders>
            <w:noWrap/>
            <w:hideMark/>
          </w:tcPr>
          <w:p w14:paraId="456A9817" w14:textId="77777777" w:rsidR="00C35397" w:rsidRDefault="00C35397">
            <w:pPr>
              <w:spacing w:before="40" w:after="40" w:line="276" w:lineRule="auto"/>
              <w:jc w:val="center"/>
            </w:pPr>
            <w:r>
              <w:t>29.3</w:t>
            </w:r>
          </w:p>
        </w:tc>
        <w:tc>
          <w:tcPr>
            <w:tcW w:w="1136" w:type="dxa"/>
            <w:tcBorders>
              <w:top w:val="nil"/>
              <w:left w:val="nil"/>
              <w:bottom w:val="nil"/>
              <w:right w:val="single" w:sz="6" w:space="0" w:color="auto"/>
            </w:tcBorders>
            <w:noWrap/>
            <w:hideMark/>
          </w:tcPr>
          <w:p w14:paraId="255980FA" w14:textId="77777777" w:rsidR="00C35397" w:rsidRDefault="00C35397">
            <w:pPr>
              <w:spacing w:before="40" w:after="40" w:line="276" w:lineRule="auto"/>
              <w:jc w:val="center"/>
            </w:pPr>
            <w:r>
              <w:t>66.7</w:t>
            </w:r>
          </w:p>
        </w:tc>
        <w:tc>
          <w:tcPr>
            <w:tcW w:w="1420" w:type="dxa"/>
            <w:tcBorders>
              <w:top w:val="nil"/>
              <w:left w:val="single" w:sz="6" w:space="0" w:color="auto"/>
              <w:bottom w:val="nil"/>
              <w:right w:val="nil"/>
            </w:tcBorders>
            <w:noWrap/>
            <w:hideMark/>
          </w:tcPr>
          <w:p w14:paraId="75B5B741" w14:textId="77777777" w:rsidR="00C35397" w:rsidRDefault="00C35397">
            <w:pPr>
              <w:spacing w:before="40" w:after="40" w:line="276" w:lineRule="auto"/>
              <w:jc w:val="center"/>
            </w:pPr>
            <w:r>
              <w:t>50.6</w:t>
            </w:r>
          </w:p>
        </w:tc>
        <w:tc>
          <w:tcPr>
            <w:tcW w:w="1319" w:type="dxa"/>
            <w:noWrap/>
            <w:hideMark/>
          </w:tcPr>
          <w:p w14:paraId="574440E8" w14:textId="77777777" w:rsidR="00C35397" w:rsidRDefault="00C35397">
            <w:pPr>
              <w:spacing w:before="40" w:after="40" w:line="276" w:lineRule="auto"/>
              <w:jc w:val="center"/>
            </w:pPr>
            <w:r>
              <w:t>108.4</w:t>
            </w:r>
          </w:p>
        </w:tc>
        <w:tc>
          <w:tcPr>
            <w:tcW w:w="1332" w:type="dxa"/>
            <w:noWrap/>
            <w:hideMark/>
          </w:tcPr>
          <w:p w14:paraId="707AEDB4" w14:textId="77777777" w:rsidR="00C35397" w:rsidRDefault="00C35397">
            <w:pPr>
              <w:spacing w:before="40" w:after="40" w:line="276" w:lineRule="auto"/>
              <w:jc w:val="center"/>
            </w:pPr>
            <w:r>
              <w:t>86.6</w:t>
            </w:r>
          </w:p>
        </w:tc>
      </w:tr>
      <w:tr w:rsidR="00C35397" w14:paraId="3E90186F" w14:textId="77777777" w:rsidTr="00C35397">
        <w:trPr>
          <w:trHeight w:val="360"/>
        </w:trPr>
        <w:tc>
          <w:tcPr>
            <w:tcW w:w="1096" w:type="dxa"/>
            <w:noWrap/>
            <w:vAlign w:val="center"/>
            <w:hideMark/>
          </w:tcPr>
          <w:p w14:paraId="49A0DF9F" w14:textId="77777777" w:rsidR="00C35397" w:rsidRDefault="00C35397">
            <w:pPr>
              <w:spacing w:before="40" w:after="40" w:line="276" w:lineRule="auto"/>
              <w:jc w:val="center"/>
            </w:pPr>
            <w:r>
              <w:t>90°-135°</w:t>
            </w:r>
          </w:p>
        </w:tc>
        <w:tc>
          <w:tcPr>
            <w:tcW w:w="750" w:type="dxa"/>
            <w:tcBorders>
              <w:top w:val="nil"/>
              <w:left w:val="nil"/>
              <w:bottom w:val="nil"/>
              <w:right w:val="single" w:sz="6" w:space="0" w:color="auto"/>
            </w:tcBorders>
            <w:noWrap/>
            <w:hideMark/>
          </w:tcPr>
          <w:p w14:paraId="3BAFB41F" w14:textId="77777777" w:rsidR="00C35397" w:rsidRDefault="00C35397">
            <w:pPr>
              <w:spacing w:before="40" w:after="40" w:line="276" w:lineRule="auto"/>
              <w:jc w:val="right"/>
            </w:pPr>
            <w:r>
              <w:t>50%</w:t>
            </w:r>
          </w:p>
        </w:tc>
        <w:tc>
          <w:tcPr>
            <w:tcW w:w="1585" w:type="dxa"/>
            <w:tcBorders>
              <w:top w:val="nil"/>
              <w:left w:val="single" w:sz="6" w:space="0" w:color="auto"/>
              <w:bottom w:val="nil"/>
              <w:right w:val="nil"/>
            </w:tcBorders>
            <w:noWrap/>
            <w:hideMark/>
          </w:tcPr>
          <w:p w14:paraId="5E9DEF8A" w14:textId="77777777" w:rsidR="00C35397" w:rsidRDefault="00C35397">
            <w:pPr>
              <w:spacing w:before="40" w:after="40" w:line="276" w:lineRule="auto"/>
              <w:jc w:val="center"/>
            </w:pPr>
            <w:r>
              <w:t>37.5</w:t>
            </w:r>
          </w:p>
        </w:tc>
        <w:tc>
          <w:tcPr>
            <w:tcW w:w="1136" w:type="dxa"/>
            <w:tcBorders>
              <w:top w:val="nil"/>
              <w:left w:val="nil"/>
              <w:bottom w:val="nil"/>
              <w:right w:val="single" w:sz="6" w:space="0" w:color="auto"/>
            </w:tcBorders>
            <w:noWrap/>
            <w:hideMark/>
          </w:tcPr>
          <w:p w14:paraId="6BFB58A6" w14:textId="77777777" w:rsidR="00C35397" w:rsidRDefault="00C35397">
            <w:pPr>
              <w:spacing w:before="40" w:after="40" w:line="276" w:lineRule="auto"/>
              <w:jc w:val="center"/>
            </w:pPr>
            <w:r>
              <w:t>85.3</w:t>
            </w:r>
          </w:p>
        </w:tc>
        <w:tc>
          <w:tcPr>
            <w:tcW w:w="1420" w:type="dxa"/>
            <w:tcBorders>
              <w:top w:val="nil"/>
              <w:left w:val="single" w:sz="6" w:space="0" w:color="auto"/>
              <w:bottom w:val="nil"/>
              <w:right w:val="nil"/>
            </w:tcBorders>
            <w:noWrap/>
            <w:hideMark/>
          </w:tcPr>
          <w:p w14:paraId="2484B824" w14:textId="77777777" w:rsidR="00C35397" w:rsidRDefault="00C35397">
            <w:pPr>
              <w:spacing w:before="40" w:after="40" w:line="276" w:lineRule="auto"/>
              <w:jc w:val="center"/>
            </w:pPr>
            <w:r>
              <w:t>62.0</w:t>
            </w:r>
          </w:p>
        </w:tc>
        <w:tc>
          <w:tcPr>
            <w:tcW w:w="1319" w:type="dxa"/>
            <w:noWrap/>
            <w:hideMark/>
          </w:tcPr>
          <w:p w14:paraId="1298FCD8" w14:textId="77777777" w:rsidR="00C35397" w:rsidRDefault="00C35397">
            <w:pPr>
              <w:spacing w:before="40" w:after="40" w:line="276" w:lineRule="auto"/>
              <w:jc w:val="center"/>
            </w:pPr>
            <w:r>
              <w:t>132.8</w:t>
            </w:r>
          </w:p>
        </w:tc>
        <w:tc>
          <w:tcPr>
            <w:tcW w:w="1332" w:type="dxa"/>
            <w:noWrap/>
            <w:hideMark/>
          </w:tcPr>
          <w:p w14:paraId="1228B40D" w14:textId="77777777" w:rsidR="00C35397" w:rsidRDefault="00C35397">
            <w:pPr>
              <w:spacing w:before="40" w:after="40" w:line="276" w:lineRule="auto"/>
              <w:jc w:val="center"/>
            </w:pPr>
            <w:r>
              <w:t>106.1</w:t>
            </w:r>
          </w:p>
        </w:tc>
      </w:tr>
      <w:tr w:rsidR="00C35397" w14:paraId="1CE9C417" w14:textId="77777777" w:rsidTr="00C35397">
        <w:trPr>
          <w:trHeight w:val="360"/>
        </w:trPr>
        <w:tc>
          <w:tcPr>
            <w:tcW w:w="1096" w:type="dxa"/>
            <w:noWrap/>
            <w:vAlign w:val="center"/>
          </w:tcPr>
          <w:p w14:paraId="39063FA1" w14:textId="77777777" w:rsidR="00C35397" w:rsidRDefault="00C35397">
            <w:pPr>
              <w:spacing w:before="40" w:after="40" w:line="276" w:lineRule="auto"/>
              <w:jc w:val="center"/>
            </w:pPr>
          </w:p>
        </w:tc>
        <w:tc>
          <w:tcPr>
            <w:tcW w:w="750" w:type="dxa"/>
            <w:tcBorders>
              <w:top w:val="nil"/>
              <w:left w:val="nil"/>
              <w:bottom w:val="nil"/>
              <w:right w:val="single" w:sz="6" w:space="0" w:color="auto"/>
            </w:tcBorders>
            <w:noWrap/>
            <w:hideMark/>
          </w:tcPr>
          <w:p w14:paraId="3FC3CD25" w14:textId="77777777" w:rsidR="00C35397" w:rsidRDefault="00C35397">
            <w:pPr>
              <w:spacing w:before="40" w:after="40" w:line="276" w:lineRule="auto"/>
              <w:jc w:val="right"/>
            </w:pPr>
            <w:r>
              <w:t>75%</w:t>
            </w:r>
          </w:p>
        </w:tc>
        <w:tc>
          <w:tcPr>
            <w:tcW w:w="1585" w:type="dxa"/>
            <w:tcBorders>
              <w:top w:val="nil"/>
              <w:left w:val="single" w:sz="6" w:space="0" w:color="auto"/>
              <w:bottom w:val="nil"/>
              <w:right w:val="nil"/>
            </w:tcBorders>
            <w:noWrap/>
            <w:hideMark/>
          </w:tcPr>
          <w:p w14:paraId="55A1CD1F" w14:textId="77777777" w:rsidR="00C35397" w:rsidRDefault="00C35397">
            <w:pPr>
              <w:spacing w:before="40" w:after="40" w:line="276" w:lineRule="auto"/>
              <w:jc w:val="center"/>
            </w:pPr>
            <w:r>
              <w:t>45.7</w:t>
            </w:r>
          </w:p>
        </w:tc>
        <w:tc>
          <w:tcPr>
            <w:tcW w:w="1136" w:type="dxa"/>
            <w:tcBorders>
              <w:top w:val="nil"/>
              <w:left w:val="nil"/>
              <w:bottom w:val="nil"/>
              <w:right w:val="single" w:sz="6" w:space="0" w:color="auto"/>
            </w:tcBorders>
            <w:noWrap/>
            <w:hideMark/>
          </w:tcPr>
          <w:p w14:paraId="3B46FF72" w14:textId="77777777" w:rsidR="00C35397" w:rsidRDefault="00C35397">
            <w:pPr>
              <w:spacing w:before="40" w:after="40" w:line="276" w:lineRule="auto"/>
              <w:jc w:val="center"/>
            </w:pPr>
            <w:r>
              <w:t>104.0</w:t>
            </w:r>
          </w:p>
        </w:tc>
        <w:tc>
          <w:tcPr>
            <w:tcW w:w="1420" w:type="dxa"/>
            <w:tcBorders>
              <w:top w:val="nil"/>
              <w:left w:val="single" w:sz="6" w:space="0" w:color="auto"/>
              <w:bottom w:val="nil"/>
              <w:right w:val="nil"/>
            </w:tcBorders>
            <w:noWrap/>
            <w:hideMark/>
          </w:tcPr>
          <w:p w14:paraId="2DC28272" w14:textId="77777777" w:rsidR="00C35397" w:rsidRDefault="00C35397">
            <w:pPr>
              <w:spacing w:before="40" w:after="40" w:line="276" w:lineRule="auto"/>
              <w:jc w:val="center"/>
            </w:pPr>
            <w:r>
              <w:t>73.5</w:t>
            </w:r>
          </w:p>
        </w:tc>
        <w:tc>
          <w:tcPr>
            <w:tcW w:w="1319" w:type="dxa"/>
            <w:noWrap/>
            <w:hideMark/>
          </w:tcPr>
          <w:p w14:paraId="1A131493" w14:textId="77777777" w:rsidR="00C35397" w:rsidRDefault="00C35397">
            <w:pPr>
              <w:spacing w:before="40" w:after="40" w:line="276" w:lineRule="auto"/>
              <w:jc w:val="center"/>
            </w:pPr>
            <w:r>
              <w:t>157.3</w:t>
            </w:r>
          </w:p>
        </w:tc>
        <w:tc>
          <w:tcPr>
            <w:tcW w:w="1332" w:type="dxa"/>
            <w:noWrap/>
            <w:hideMark/>
          </w:tcPr>
          <w:p w14:paraId="690917FA" w14:textId="77777777" w:rsidR="00C35397" w:rsidRDefault="00C35397">
            <w:pPr>
              <w:spacing w:before="40" w:after="40" w:line="276" w:lineRule="auto"/>
              <w:jc w:val="center"/>
            </w:pPr>
            <w:r>
              <w:t>125.6</w:t>
            </w:r>
          </w:p>
        </w:tc>
      </w:tr>
      <w:tr w:rsidR="00C35397" w14:paraId="70E3F3F3" w14:textId="77777777" w:rsidTr="00C35397">
        <w:trPr>
          <w:trHeight w:val="360"/>
        </w:trPr>
        <w:tc>
          <w:tcPr>
            <w:tcW w:w="1096" w:type="dxa"/>
            <w:noWrap/>
            <w:vAlign w:val="center"/>
          </w:tcPr>
          <w:p w14:paraId="4F1459E8" w14:textId="77777777" w:rsidR="00C35397" w:rsidRDefault="00C35397">
            <w:pPr>
              <w:spacing w:before="40" w:after="40" w:line="276" w:lineRule="auto"/>
              <w:jc w:val="center"/>
            </w:pPr>
          </w:p>
        </w:tc>
        <w:tc>
          <w:tcPr>
            <w:tcW w:w="750" w:type="dxa"/>
            <w:tcBorders>
              <w:top w:val="nil"/>
              <w:left w:val="nil"/>
              <w:bottom w:val="nil"/>
              <w:right w:val="single" w:sz="6" w:space="0" w:color="auto"/>
            </w:tcBorders>
            <w:noWrap/>
            <w:hideMark/>
          </w:tcPr>
          <w:p w14:paraId="5AC9F1EC" w14:textId="77777777" w:rsidR="00C35397" w:rsidRDefault="00C35397">
            <w:pPr>
              <w:spacing w:before="40" w:after="40" w:line="276" w:lineRule="auto"/>
              <w:jc w:val="right"/>
            </w:pPr>
            <w:r>
              <w:t>90%</w:t>
            </w:r>
          </w:p>
        </w:tc>
        <w:tc>
          <w:tcPr>
            <w:tcW w:w="1585" w:type="dxa"/>
            <w:tcBorders>
              <w:top w:val="nil"/>
              <w:left w:val="single" w:sz="6" w:space="0" w:color="auto"/>
              <w:bottom w:val="nil"/>
              <w:right w:val="nil"/>
            </w:tcBorders>
            <w:noWrap/>
            <w:hideMark/>
          </w:tcPr>
          <w:p w14:paraId="1052C002" w14:textId="77777777" w:rsidR="00C35397" w:rsidRDefault="00C35397">
            <w:pPr>
              <w:spacing w:before="40" w:after="40" w:line="276" w:lineRule="auto"/>
              <w:jc w:val="center"/>
            </w:pPr>
            <w:r>
              <w:t>53.9</w:t>
            </w:r>
          </w:p>
        </w:tc>
        <w:tc>
          <w:tcPr>
            <w:tcW w:w="1136" w:type="dxa"/>
            <w:tcBorders>
              <w:top w:val="nil"/>
              <w:left w:val="nil"/>
              <w:bottom w:val="nil"/>
              <w:right w:val="single" w:sz="6" w:space="0" w:color="auto"/>
            </w:tcBorders>
            <w:noWrap/>
            <w:hideMark/>
          </w:tcPr>
          <w:p w14:paraId="519CB4F6" w14:textId="77777777" w:rsidR="00C35397" w:rsidRDefault="00C35397">
            <w:pPr>
              <w:spacing w:before="40" w:after="40" w:line="276" w:lineRule="auto"/>
              <w:jc w:val="center"/>
            </w:pPr>
            <w:r>
              <w:t>122.7</w:t>
            </w:r>
          </w:p>
        </w:tc>
        <w:tc>
          <w:tcPr>
            <w:tcW w:w="1420" w:type="dxa"/>
            <w:tcBorders>
              <w:top w:val="nil"/>
              <w:left w:val="single" w:sz="6" w:space="0" w:color="auto"/>
              <w:bottom w:val="nil"/>
              <w:right w:val="nil"/>
            </w:tcBorders>
            <w:noWrap/>
            <w:hideMark/>
          </w:tcPr>
          <w:p w14:paraId="03D72FF7" w14:textId="77777777" w:rsidR="00C35397" w:rsidRDefault="00C35397">
            <w:pPr>
              <w:spacing w:before="40" w:after="40" w:line="276" w:lineRule="auto"/>
              <w:jc w:val="center"/>
            </w:pPr>
            <w:r>
              <w:t>84.9</w:t>
            </w:r>
          </w:p>
        </w:tc>
        <w:tc>
          <w:tcPr>
            <w:tcW w:w="1319" w:type="dxa"/>
            <w:noWrap/>
            <w:hideMark/>
          </w:tcPr>
          <w:p w14:paraId="7157CE1A" w14:textId="77777777" w:rsidR="00C35397" w:rsidRDefault="00C35397">
            <w:pPr>
              <w:spacing w:before="40" w:after="40" w:line="276" w:lineRule="auto"/>
              <w:jc w:val="center"/>
            </w:pPr>
            <w:r>
              <w:t>181.7</w:t>
            </w:r>
          </w:p>
        </w:tc>
        <w:tc>
          <w:tcPr>
            <w:tcW w:w="1332" w:type="dxa"/>
            <w:noWrap/>
            <w:hideMark/>
          </w:tcPr>
          <w:p w14:paraId="508A9E33" w14:textId="77777777" w:rsidR="00C35397" w:rsidRDefault="00C35397">
            <w:pPr>
              <w:spacing w:before="40" w:after="40" w:line="276" w:lineRule="auto"/>
              <w:jc w:val="center"/>
            </w:pPr>
            <w:r>
              <w:t>145.1</w:t>
            </w:r>
          </w:p>
        </w:tc>
      </w:tr>
      <w:tr w:rsidR="00C35397" w14:paraId="06C52CC9" w14:textId="77777777" w:rsidTr="00C35397">
        <w:trPr>
          <w:trHeight w:val="360"/>
        </w:trPr>
        <w:tc>
          <w:tcPr>
            <w:tcW w:w="1096" w:type="dxa"/>
            <w:tcBorders>
              <w:top w:val="nil"/>
              <w:left w:val="nil"/>
              <w:bottom w:val="single" w:sz="6" w:space="0" w:color="auto"/>
              <w:right w:val="nil"/>
            </w:tcBorders>
            <w:noWrap/>
            <w:hideMark/>
          </w:tcPr>
          <w:p w14:paraId="7412A0EB" w14:textId="77777777" w:rsidR="00C35397" w:rsidRDefault="00C35397">
            <w:pPr>
              <w:spacing w:before="40" w:after="40" w:line="276" w:lineRule="auto"/>
              <w:jc w:val="center"/>
            </w:pPr>
            <w:r>
              <w:t> </w:t>
            </w:r>
          </w:p>
        </w:tc>
        <w:tc>
          <w:tcPr>
            <w:tcW w:w="750" w:type="dxa"/>
            <w:tcBorders>
              <w:top w:val="nil"/>
              <w:left w:val="nil"/>
              <w:bottom w:val="single" w:sz="6" w:space="0" w:color="auto"/>
              <w:right w:val="single" w:sz="6" w:space="0" w:color="auto"/>
            </w:tcBorders>
            <w:noWrap/>
            <w:hideMark/>
          </w:tcPr>
          <w:p w14:paraId="09B44A17" w14:textId="77777777" w:rsidR="00C35397" w:rsidRDefault="00C35397">
            <w:pPr>
              <w:spacing w:before="40" w:after="40" w:line="276" w:lineRule="auto"/>
              <w:jc w:val="right"/>
            </w:pPr>
            <w:r>
              <w:t>95%</w:t>
            </w:r>
          </w:p>
        </w:tc>
        <w:tc>
          <w:tcPr>
            <w:tcW w:w="1585" w:type="dxa"/>
            <w:tcBorders>
              <w:top w:val="nil"/>
              <w:left w:val="single" w:sz="6" w:space="0" w:color="auto"/>
              <w:bottom w:val="single" w:sz="6" w:space="0" w:color="auto"/>
              <w:right w:val="nil"/>
            </w:tcBorders>
            <w:noWrap/>
            <w:hideMark/>
          </w:tcPr>
          <w:p w14:paraId="648B0B6D" w14:textId="77777777" w:rsidR="00C35397" w:rsidRDefault="00C35397">
            <w:pPr>
              <w:spacing w:before="40" w:after="40" w:line="276" w:lineRule="auto"/>
              <w:jc w:val="center"/>
            </w:pPr>
            <w:r>
              <w:t>59.5</w:t>
            </w:r>
          </w:p>
        </w:tc>
        <w:tc>
          <w:tcPr>
            <w:tcW w:w="1136" w:type="dxa"/>
            <w:tcBorders>
              <w:top w:val="nil"/>
              <w:left w:val="nil"/>
              <w:bottom w:val="single" w:sz="6" w:space="0" w:color="auto"/>
              <w:right w:val="single" w:sz="6" w:space="0" w:color="auto"/>
            </w:tcBorders>
            <w:noWrap/>
            <w:hideMark/>
          </w:tcPr>
          <w:p w14:paraId="454241D8" w14:textId="77777777" w:rsidR="00C35397" w:rsidRDefault="00C35397">
            <w:pPr>
              <w:spacing w:before="40" w:after="40" w:line="276" w:lineRule="auto"/>
              <w:jc w:val="center"/>
            </w:pPr>
            <w:r>
              <w:t>135.5</w:t>
            </w:r>
          </w:p>
        </w:tc>
        <w:tc>
          <w:tcPr>
            <w:tcW w:w="1420" w:type="dxa"/>
            <w:tcBorders>
              <w:top w:val="nil"/>
              <w:left w:val="single" w:sz="6" w:space="0" w:color="auto"/>
              <w:bottom w:val="single" w:sz="6" w:space="0" w:color="auto"/>
              <w:right w:val="nil"/>
            </w:tcBorders>
            <w:noWrap/>
            <w:hideMark/>
          </w:tcPr>
          <w:p w14:paraId="19E4CEDE" w14:textId="77777777" w:rsidR="00C35397" w:rsidRDefault="00C35397">
            <w:pPr>
              <w:spacing w:before="40" w:after="40" w:line="276" w:lineRule="auto"/>
              <w:jc w:val="center"/>
            </w:pPr>
            <w:r>
              <w:t>92.6</w:t>
            </w:r>
          </w:p>
        </w:tc>
        <w:tc>
          <w:tcPr>
            <w:tcW w:w="1319" w:type="dxa"/>
            <w:tcBorders>
              <w:top w:val="nil"/>
              <w:left w:val="nil"/>
              <w:bottom w:val="single" w:sz="6" w:space="0" w:color="auto"/>
              <w:right w:val="nil"/>
            </w:tcBorders>
            <w:noWrap/>
            <w:hideMark/>
          </w:tcPr>
          <w:p w14:paraId="79E0D47D" w14:textId="77777777" w:rsidR="00C35397" w:rsidRDefault="00C35397">
            <w:pPr>
              <w:spacing w:before="40" w:after="40" w:line="276" w:lineRule="auto"/>
              <w:jc w:val="center"/>
            </w:pPr>
            <w:r>
              <w:t>198.3</w:t>
            </w:r>
          </w:p>
        </w:tc>
        <w:tc>
          <w:tcPr>
            <w:tcW w:w="1332" w:type="dxa"/>
            <w:tcBorders>
              <w:top w:val="nil"/>
              <w:left w:val="nil"/>
              <w:bottom w:val="single" w:sz="6" w:space="0" w:color="auto"/>
              <w:right w:val="nil"/>
            </w:tcBorders>
            <w:noWrap/>
            <w:hideMark/>
          </w:tcPr>
          <w:p w14:paraId="4144C84E" w14:textId="77777777" w:rsidR="00C35397" w:rsidRDefault="00C35397">
            <w:pPr>
              <w:spacing w:before="40" w:after="40" w:line="276" w:lineRule="auto"/>
              <w:jc w:val="center"/>
            </w:pPr>
            <w:r>
              <w:t>158.4</w:t>
            </w:r>
          </w:p>
        </w:tc>
      </w:tr>
    </w:tbl>
    <w:p w14:paraId="5553C354" w14:textId="77777777" w:rsidR="00C35397" w:rsidRDefault="00C35397" w:rsidP="00C35397">
      <w:pPr>
        <w:spacing w:line="276" w:lineRule="auto"/>
      </w:pPr>
      <w:r>
        <w:rPr>
          <w:vertAlign w:val="superscript"/>
        </w:rPr>
        <w:t>#</w:t>
      </w:r>
      <w:r>
        <w:t xml:space="preserve"> All </w:t>
      </w:r>
      <w:r>
        <w:rPr>
          <w:i/>
          <w:iCs/>
        </w:rPr>
        <w:t>B</w:t>
      </w:r>
      <w:r>
        <w:t xml:space="preserve">-field and </w:t>
      </w:r>
      <w:r>
        <w:rPr>
          <w:i/>
          <w:iCs/>
        </w:rPr>
        <w:t>E</w:t>
      </w:r>
      <w:r>
        <w:t xml:space="preserve">-field values are </w:t>
      </w:r>
      <w:proofErr w:type="gramStart"/>
      <w:r>
        <w:rPr>
          <w:i/>
          <w:iCs/>
        </w:rPr>
        <w:t>RMS</w:t>
      </w:r>
      <w:r>
        <w:t>;</w:t>
      </w:r>
      <w:proofErr w:type="gramEnd"/>
    </w:p>
    <w:p w14:paraId="09796315" w14:textId="77777777" w:rsidR="00C35397" w:rsidRDefault="00C35397" w:rsidP="00C35397">
      <w:pPr>
        <w:spacing w:after="120" w:line="360" w:lineRule="auto"/>
      </w:pPr>
      <w:r>
        <w:t xml:space="preserve">* </w:t>
      </w:r>
      <w:r>
        <w:rPr>
          <w:i/>
          <w:iCs/>
        </w:rPr>
        <w:t>E</w:t>
      </w:r>
      <w:r>
        <w:rPr>
          <w:i/>
          <w:iCs/>
          <w:vertAlign w:val="subscript"/>
        </w:rPr>
        <w:t>N</w:t>
      </w:r>
      <w:r>
        <w:t xml:space="preserve">, </w:t>
      </w:r>
      <w:r>
        <w:rPr>
          <w:i/>
          <w:iCs/>
        </w:rPr>
        <w:t>E</w:t>
      </w:r>
      <w:r>
        <w:t>-field normal to retinal surface.</w:t>
      </w:r>
    </w:p>
    <w:p w14:paraId="28C6AC33"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97"/>
    <w:rsid w:val="00AF2E74"/>
    <w:rsid w:val="00C35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045D"/>
  <w15:chartTrackingRefBased/>
  <w15:docId w15:val="{82E6ADAD-FA09-4470-A156-8DC087D0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397"/>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53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C353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2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3809</Words>
  <Characters>21714</Characters>
  <Application>Microsoft Office Word</Application>
  <DocSecurity>0</DocSecurity>
  <Lines>180</Lines>
  <Paragraphs>50</Paragraphs>
  <ScaleCrop>false</ScaleCrop>
  <Company/>
  <LinksUpToDate>false</LinksUpToDate>
  <CharactersWithSpaces>25473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2022-09-22T16:39:00Z</dcterms:created>
  <dcterms:modified xsi:type="dcterms:W3CDTF">2022-09-22T16:39:00Z</dcterms:modified>
</cp:coreProperties>
</file>