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auto"/>
        <w:ind w:left="1100" w:leftChars="-50" w:right="0" w:rightChars="0" w:hanging="1205" w:hangingChars="400"/>
        <w:jc w:val="center"/>
        <w:textAlignment w:val="auto"/>
        <w:rPr>
          <w:rFonts w:ascii="Times New Roman" w:hAnsi="Times New Roman"/>
          <w:b/>
          <w:bCs/>
          <w:sz w:val="30"/>
          <w:szCs w:val="30"/>
        </w:rPr>
      </w:pPr>
    </w:p>
    <w:p>
      <w:pPr>
        <w:keepNext w:val="0"/>
        <w:keepLines w:val="0"/>
        <w:pageBreakBefore w:val="0"/>
        <w:kinsoku/>
        <w:wordWrap/>
        <w:overflowPunct/>
        <w:topLinePunct w:val="0"/>
        <w:autoSpaceDE/>
        <w:autoSpaceDN/>
        <w:bidi w:val="0"/>
        <w:adjustRightInd/>
        <w:snapToGrid/>
        <w:spacing w:line="480" w:lineRule="auto"/>
        <w:ind w:left="1100" w:leftChars="-50" w:right="0" w:rightChars="0" w:hanging="1205" w:hangingChars="400"/>
        <w:jc w:val="center"/>
        <w:textAlignment w:val="auto"/>
        <w:rPr>
          <w:rFonts w:ascii="Times New Roman" w:hAnsi="Times New Roman"/>
          <w:b/>
          <w:bCs/>
          <w:sz w:val="30"/>
          <w:szCs w:val="30"/>
        </w:rPr>
      </w:pPr>
      <w:r>
        <w:rPr>
          <w:rFonts w:ascii="Times New Roman" w:hAnsi="Times New Roman"/>
          <w:b/>
          <w:bCs/>
          <w:sz w:val="30"/>
          <w:szCs w:val="30"/>
        </w:rPr>
        <w:t>Supplementary Material</w:t>
      </w:r>
    </w:p>
    <w:p>
      <w:pPr>
        <w:keepNext w:val="0"/>
        <w:keepLines w:val="0"/>
        <w:pageBreakBefore w:val="0"/>
        <w:kinsoku/>
        <w:wordWrap/>
        <w:overflowPunct/>
        <w:topLinePunct w:val="0"/>
        <w:autoSpaceDE/>
        <w:autoSpaceDN/>
        <w:bidi w:val="0"/>
        <w:adjustRightInd/>
        <w:snapToGrid/>
        <w:spacing w:line="480" w:lineRule="auto"/>
        <w:ind w:left="1100" w:leftChars="-50" w:right="0" w:rightChars="0" w:hanging="1205" w:hangingChars="400"/>
        <w:jc w:val="center"/>
        <w:textAlignment w:val="auto"/>
        <w:rPr>
          <w:rFonts w:ascii="Times New Roman" w:hAnsi="Times New Roman"/>
          <w:b/>
          <w:bCs/>
          <w:sz w:val="30"/>
          <w:szCs w:val="30"/>
        </w:rPr>
      </w:pPr>
    </w:p>
    <w:p>
      <w:pPr>
        <w:keepNext w:val="0"/>
        <w:keepLines w:val="0"/>
        <w:pageBreakBefore w:val="0"/>
        <w:kinsoku/>
        <w:wordWrap/>
        <w:overflowPunct/>
        <w:topLinePunct w:val="0"/>
        <w:autoSpaceDE/>
        <w:autoSpaceDN/>
        <w:bidi w:val="0"/>
        <w:adjustRightInd/>
        <w:snapToGrid/>
        <w:spacing w:line="480" w:lineRule="auto"/>
        <w:ind w:left="1100" w:leftChars="-50" w:right="0" w:rightChars="0" w:hanging="1205" w:hangingChars="400"/>
        <w:jc w:val="center"/>
        <w:textAlignment w:val="auto"/>
        <w:rPr>
          <w:rFonts w:hint="default" w:ascii="Times New Roman" w:hAnsi="Times New Roman"/>
          <w:b/>
          <w:bCs/>
          <w:sz w:val="30"/>
          <w:szCs w:val="30"/>
          <w:lang w:val="en-US" w:eastAsia="zh-CN"/>
        </w:rPr>
      </w:pPr>
    </w:p>
    <w:p>
      <w:pPr>
        <w:keepNext w:val="0"/>
        <w:keepLines w:val="0"/>
        <w:pageBreakBefore w:val="0"/>
        <w:kinsoku/>
        <w:wordWrap/>
        <w:overflowPunct/>
        <w:topLinePunct w:val="0"/>
        <w:autoSpaceDE/>
        <w:autoSpaceDN/>
        <w:bidi w:val="0"/>
        <w:adjustRightInd/>
        <w:snapToGrid/>
        <w:spacing w:line="480" w:lineRule="auto"/>
        <w:ind w:left="859" w:leftChars="-50" w:right="0" w:rightChars="0" w:hanging="964" w:hangingChars="400"/>
        <w:jc w:val="both"/>
        <w:textAlignment w:val="auto"/>
        <w:rPr>
          <w:rFonts w:hint="default" w:ascii="Times New Roman" w:hAnsi="Times New Roman" w:cs="Times New Roman"/>
          <w:color w:val="000000" w:themeColor="text1"/>
          <w:sz w:val="24"/>
          <w:szCs w:val="24"/>
          <w14:textFill>
            <w14:solidFill>
              <w14:schemeClr w14:val="tx1"/>
            </w14:solidFill>
          </w14:textFill>
        </w:rPr>
      </w:pPr>
      <w:bookmarkStart w:id="0" w:name="OLE_LINK1"/>
      <w:r>
        <w:rPr>
          <w:rFonts w:hint="eastAsia" w:ascii="Times New Roman" w:hAnsi="Times New Roman" w:cs="Times New Roman"/>
          <w:b/>
          <w:bCs/>
          <w:color w:val="000000" w:themeColor="text1"/>
          <w:sz w:val="24"/>
          <w:szCs w:val="24"/>
          <w:lang w:val="en-US" w:eastAsia="zh-CN" w:bidi="ar"/>
          <w14:textFill>
            <w14:solidFill>
              <w14:schemeClr w14:val="tx1"/>
            </w14:solidFill>
          </w14:textFill>
        </w:rPr>
        <w:t>Table</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S</w:t>
      </w:r>
      <w:bookmarkEnd w:id="0"/>
      <w:r>
        <w:rPr>
          <w:rFonts w:hint="default" w:ascii="Times New Roman" w:hAnsi="Times New Roman" w:cs="Times New Roman"/>
          <w:b/>
          <w:bCs/>
          <w:color w:val="000000" w:themeColor="text1"/>
          <w:sz w:val="24"/>
          <w:szCs w:val="24"/>
          <w:lang w:bidi="ar"/>
          <w14:textFill>
            <w14:solidFill>
              <w14:schemeClr w14:val="tx1"/>
            </w14:solidFill>
          </w14:textFill>
        </w:rPr>
        <w:t>1</w:t>
      </w:r>
      <w:r>
        <w:rPr>
          <w:rFonts w:hint="default" w:ascii="Times New Roman" w:hAnsi="Times New Roman" w:cs="Times New Roman"/>
          <w:color w:val="000000" w:themeColor="text1"/>
          <w:sz w:val="24"/>
          <w:szCs w:val="24"/>
          <w:lang w:bidi="ar"/>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The retention time of PAH components</w:t>
      </w:r>
    </w:p>
    <w:p>
      <w:pPr>
        <w:keepNext w:val="0"/>
        <w:keepLines w:val="0"/>
        <w:pageBreakBefore w:val="0"/>
        <w:kinsoku/>
        <w:wordWrap/>
        <w:overflowPunct/>
        <w:topLinePunct w:val="0"/>
        <w:autoSpaceDE/>
        <w:autoSpaceDN/>
        <w:bidi w:val="0"/>
        <w:adjustRightInd/>
        <w:snapToGrid/>
        <w:spacing w:line="480" w:lineRule="auto"/>
        <w:ind w:left="859" w:leftChars="-50" w:right="0" w:rightChars="0" w:hanging="964" w:hangingChars="400"/>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Table</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S</w:t>
      </w:r>
      <w:r>
        <w:rPr>
          <w:rFonts w:hint="default" w:ascii="Times New Roman" w:hAnsi="Times New Roman" w:cs="Times New Roman"/>
          <w:b/>
          <w:bCs/>
          <w:color w:val="000000" w:themeColor="text1"/>
          <w:sz w:val="24"/>
          <w:szCs w:val="24"/>
          <w:lang w:bidi="ar"/>
          <w14:textFill>
            <w14:solidFill>
              <w14:schemeClr w14:val="tx1"/>
            </w14:solidFill>
          </w14:textFill>
        </w:rPr>
        <w:t>2</w:t>
      </w:r>
      <w:r>
        <w:rPr>
          <w:rFonts w:hint="default" w:ascii="Times New Roman" w:hAnsi="Times New Roman" w:eastAsia="黑体" w:cs="Times New Roman"/>
          <w:b/>
          <w:sz w:val="24"/>
          <w:szCs w:val="24"/>
          <w:shd w:val="clear" w:color="auto" w:fill="FFFFFF"/>
        </w:rPr>
        <w:t xml:space="preserve"> </w:t>
      </w:r>
      <w:r>
        <w:rPr>
          <w:rFonts w:hint="default" w:ascii="Times New Roman" w:hAnsi="Times New Roman" w:eastAsia="黑体" w:cs="Times New Roman"/>
          <w:bCs/>
          <w:sz w:val="24"/>
          <w:szCs w:val="24"/>
          <w:shd w:val="clear" w:color="auto" w:fill="FFFFFF"/>
        </w:rPr>
        <w:t>Attribute table of the molecular ratio method</w:t>
      </w:r>
    </w:p>
    <w:p>
      <w:pPr>
        <w:keepNext w:val="0"/>
        <w:keepLines w:val="0"/>
        <w:pageBreakBefore w:val="0"/>
        <w:kinsoku/>
        <w:wordWrap/>
        <w:overflowPunct/>
        <w:topLinePunct w:val="0"/>
        <w:autoSpaceDE/>
        <w:autoSpaceDN/>
        <w:bidi w:val="0"/>
        <w:adjustRightInd/>
        <w:snapToGrid/>
        <w:spacing w:line="480" w:lineRule="auto"/>
        <w:ind w:left="859" w:leftChars="-50" w:right="0" w:rightChars="0" w:hanging="964" w:hangingChars="400"/>
        <w:jc w:val="both"/>
        <w:textAlignment w:val="auto"/>
        <w:rPr>
          <w:rFonts w:hint="default" w:ascii="Times New Roman" w:hAnsi="Times New Roman" w:cs="Times New Roman"/>
          <w:b/>
          <w:szCs w:val="21"/>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Table</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S</w:t>
      </w:r>
      <w:r>
        <w:rPr>
          <w:rFonts w:hint="default" w:ascii="Times New Roman" w:hAnsi="Times New Roman" w:cs="Times New Roman"/>
          <w:b/>
          <w:bCs/>
          <w:sz w:val="24"/>
          <w:szCs w:val="24"/>
          <w:lang w:bidi="ar"/>
        </w:rPr>
        <w:t>3</w:t>
      </w:r>
      <w:r>
        <w:rPr>
          <w:rFonts w:hint="default" w:ascii="Times New Roman" w:hAnsi="Times New Roman" w:cs="Times New Roman"/>
          <w:sz w:val="24"/>
          <w:szCs w:val="24"/>
          <w:lang w:bidi="ar"/>
        </w:rPr>
        <w:t xml:space="preserve"> </w:t>
      </w:r>
      <w:r>
        <w:rPr>
          <w:rFonts w:hint="default" w:ascii="Times New Roman" w:hAnsi="Times New Roman" w:cs="Times New Roman"/>
          <w:sz w:val="24"/>
          <w:szCs w:val="24"/>
        </w:rPr>
        <w:t>Comparison of PAH concentration in the sediments</w:t>
      </w:r>
    </w:p>
    <w:p>
      <w:pPr>
        <w:keepNext w:val="0"/>
        <w:keepLines w:val="0"/>
        <w:pageBreakBefore w:val="0"/>
        <w:kinsoku/>
        <w:wordWrap/>
        <w:overflowPunct/>
        <w:topLinePunct w:val="0"/>
        <w:autoSpaceDE/>
        <w:autoSpaceDN/>
        <w:bidi w:val="0"/>
        <w:adjustRightInd/>
        <w:snapToGrid/>
        <w:spacing w:line="480" w:lineRule="auto"/>
        <w:ind w:left="859" w:leftChars="-50" w:right="0" w:rightChars="0" w:hanging="964" w:hangingChars="400"/>
        <w:jc w:val="both"/>
        <w:textAlignment w:val="auto"/>
        <w:rPr>
          <w:rFonts w:hint="default" w:ascii="Times New Roman" w:hAnsi="Times New Roman" w:cs="Times New Roman"/>
          <w:sz w:val="24"/>
          <w:szCs w:val="24"/>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Fig. S1</w:t>
      </w:r>
      <w:r>
        <w:rPr>
          <w:rFonts w:hint="default" w:ascii="Times New Roman" w:hAnsi="Times New Roman" w:cs="Times New Roman"/>
          <w:b/>
          <w:sz w:val="24"/>
          <w:szCs w:val="24"/>
        </w:rPr>
        <w:t xml:space="preserve"> </w:t>
      </w:r>
      <w:r>
        <w:rPr>
          <w:rFonts w:hint="default" w:ascii="Times New Roman" w:hAnsi="Times New Roman" w:cs="Times New Roman"/>
          <w:sz w:val="24"/>
          <w:szCs w:val="24"/>
        </w:rPr>
        <w:t>L/H, ACL, and P</w:t>
      </w:r>
      <w:r>
        <w:rPr>
          <w:rFonts w:hint="default" w:ascii="Times New Roman" w:hAnsi="Times New Roman" w:cs="Times New Roman"/>
          <w:sz w:val="24"/>
          <w:szCs w:val="24"/>
          <w:vertAlign w:val="subscript"/>
        </w:rPr>
        <w:t>aq</w:t>
      </w:r>
      <w:r>
        <w:rPr>
          <w:rFonts w:hint="default" w:ascii="Times New Roman" w:hAnsi="Times New Roman" w:cs="Times New Roman"/>
          <w:sz w:val="24"/>
          <w:szCs w:val="24"/>
        </w:rPr>
        <w:t xml:space="preserve"> value of </w:t>
      </w:r>
      <w:r>
        <w:rPr>
          <w:rFonts w:hint="default" w:ascii="Times New Roman" w:hAnsi="Times New Roman" w:cs="Times New Roman"/>
          <w:i/>
          <w:iCs/>
          <w:sz w:val="24"/>
          <w:szCs w:val="24"/>
        </w:rPr>
        <w:t>n</w:t>
      </w:r>
      <w:r>
        <w:rPr>
          <w:rFonts w:hint="default" w:ascii="Times New Roman" w:hAnsi="Times New Roman" w:cs="Times New Roman"/>
          <w:sz w:val="24"/>
          <w:szCs w:val="24"/>
        </w:rPr>
        <w:t>-alkanes</w:t>
      </w:r>
    </w:p>
    <w:p>
      <w:pPr>
        <w:keepNext w:val="0"/>
        <w:keepLines w:val="0"/>
        <w:pageBreakBefore w:val="0"/>
        <w:kinsoku/>
        <w:wordWrap/>
        <w:overflowPunct/>
        <w:topLinePunct w:val="0"/>
        <w:autoSpaceDE/>
        <w:autoSpaceDN/>
        <w:bidi w:val="0"/>
        <w:adjustRightInd/>
        <w:snapToGrid/>
        <w:spacing w:line="480" w:lineRule="auto"/>
        <w:ind w:left="859" w:leftChars="-50" w:right="0" w:rightChars="0" w:hanging="964" w:hangingChars="400"/>
        <w:jc w:val="both"/>
        <w:textAlignment w:val="auto"/>
        <w:rPr>
          <w:rFonts w:hint="default" w:ascii="Times New Roman" w:hAnsi="Times New Roman" w:cs="Times New Roman"/>
          <w:sz w:val="24"/>
          <w:szCs w:val="24"/>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Fig. S2</w:t>
      </w:r>
      <w:r>
        <w:rPr>
          <w:rFonts w:hint="default" w:ascii="Times New Roman" w:hAnsi="Times New Roman" w:cs="Times New Roman"/>
          <w:sz w:val="24"/>
          <w:szCs w:val="24"/>
        </w:rPr>
        <w:t xml:space="preserve"> Comparison of PAH concentration in the Yangtze River Basin</w:t>
      </w:r>
    </w:p>
    <w:p>
      <w:pPr>
        <w:keepNext w:val="0"/>
        <w:keepLines w:val="0"/>
        <w:pageBreakBefore w:val="0"/>
        <w:widowControl/>
        <w:kinsoku/>
        <w:wordWrap/>
        <w:overflowPunct/>
        <w:topLinePunct w:val="0"/>
        <w:autoSpaceDE/>
        <w:autoSpaceDN/>
        <w:bidi w:val="0"/>
        <w:adjustRightInd/>
        <w:snapToGrid/>
        <w:spacing w:line="480" w:lineRule="auto"/>
        <w:ind w:right="0" w:rightChars="0"/>
        <w:jc w:val="both"/>
        <w:textAlignment w:val="auto"/>
        <w:rPr>
          <w:rFonts w:hint="default" w:ascii="Times New Roman" w:hAnsi="Times New Roman" w:cs="Times New Roman"/>
          <w:b/>
          <w:color w:val="000000" w:themeColor="text1"/>
          <w:szCs w:val="21"/>
          <w14:textFill>
            <w14:solidFill>
              <w14:schemeClr w14:val="tx1"/>
            </w14:solidFill>
          </w14:textFill>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Cs w:val="21"/>
          <w14:textFill>
            <w14:solidFill>
              <w14:schemeClr w14:val="tx1"/>
            </w14:solidFill>
          </w14:textFill>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Cs w:val="21"/>
          <w14:textFill>
            <w14:solidFill>
              <w14:schemeClr w14:val="tx1"/>
            </w14:solidFill>
          </w14:textFill>
        </w:rPr>
      </w:pP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eastAsia="黑体" w:cs="Times New Roman"/>
          <w:sz w:val="24"/>
          <w:szCs w:val="24"/>
          <w:shd w:val="clear" w:color="auto" w:fill="FFFFFF"/>
        </w:rPr>
      </w:pPr>
      <w:r>
        <w:rPr>
          <w:rFonts w:hint="default" w:ascii="Times New Roman" w:hAnsi="Times New Roman" w:cs="Times New Roman"/>
          <w:b/>
          <w:color w:val="000000" w:themeColor="text1"/>
          <w:sz w:val="22"/>
          <w14:textFill>
            <w14:solidFill>
              <w14:schemeClr w14:val="tx1"/>
            </w14:solidFill>
          </w14:textFill>
        </w:rPr>
        <w:br w:type="page"/>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Table</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S</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1</w:t>
      </w:r>
      <w:r>
        <w:rPr>
          <w:rFonts w:hint="default" w:ascii="Times New Roman" w:hAnsi="Times New Roman" w:eastAsia="黑体" w:cs="Times New Roman"/>
          <w:b/>
          <w:sz w:val="24"/>
          <w:szCs w:val="24"/>
          <w:shd w:val="clear" w:color="auto" w:fill="FFFFFF"/>
        </w:rPr>
        <w:t xml:space="preserve"> </w:t>
      </w:r>
      <w:r>
        <w:rPr>
          <w:rFonts w:hint="default" w:ascii="Times New Roman" w:hAnsi="Times New Roman" w:cs="Times New Roman"/>
          <w:sz w:val="24"/>
          <w:szCs w:val="24"/>
        </w:rPr>
        <w:t>The retention time of PAH components</w:t>
      </w:r>
    </w:p>
    <w:tbl>
      <w:tblPr>
        <w:tblStyle w:val="7"/>
        <w:tblW w:w="5669"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5"/>
        <w:gridCol w:w="283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tcBorders>
              <w:top w:val="single" w:color="auto" w:sz="6" w:space="0"/>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Compounds</w:t>
            </w:r>
          </w:p>
        </w:tc>
        <w:tc>
          <w:tcPr>
            <w:tcW w:w="2834" w:type="dxa"/>
            <w:tcBorders>
              <w:top w:val="single" w:color="auto" w:sz="6" w:space="0"/>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Retention time, 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tcBorders>
              <w:top w:val="single" w:color="auto" w:sz="6" w:space="0"/>
              <w:bottom w:val="nil"/>
            </w:tcBorders>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Nap</w:t>
            </w:r>
          </w:p>
        </w:tc>
        <w:tc>
          <w:tcPr>
            <w:tcW w:w="2834" w:type="dxa"/>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16.6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tcBorders>
              <w:top w:val="nil"/>
            </w:tcBorders>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rPr>
              <w:t>Acy</w:t>
            </w:r>
          </w:p>
        </w:tc>
        <w:tc>
          <w:tcPr>
            <w:tcW w:w="2834" w:type="dxa"/>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18.5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Ace</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Flu</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Phe</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22.1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Ant</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Fla</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24.5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Pyr</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25.4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BaA</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Chr</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29.3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BbF</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31.6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BkF</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32.9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BaP</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33.9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Style w:val="18"/>
                <w:rFonts w:hint="default" w:ascii="Times New Roman" w:hAnsi="Times New Roman" w:cs="Times New Roman"/>
                <w:sz w:val="24"/>
                <w:szCs w:val="24"/>
                <w:vertAlign w:val="baseline"/>
                <w:lang w:bidi="ar"/>
              </w:rPr>
              <w:t>DahA</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35.7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2835" w:type="dxa"/>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BghiP</w:t>
            </w:r>
          </w:p>
        </w:tc>
        <w:tc>
          <w:tcPr>
            <w:tcW w:w="283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36.3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5" w:type="dxa"/>
            <w:tcBorders>
              <w:bottom w:val="single" w:color="auto" w:sz="6" w:space="0"/>
            </w:tcBorders>
            <w:vAlign w:val="bottom"/>
          </w:tcPr>
          <w:p>
            <w:pPr>
              <w:keepNext w:val="0"/>
              <w:keepLines w:val="0"/>
              <w:pageBreakBefore w:val="0"/>
              <w:widowControl/>
              <w:kinsoku/>
              <w:wordWrap/>
              <w:overflowPunct/>
              <w:topLinePunct w:val="0"/>
              <w:bidi w:val="0"/>
              <w:adjustRightInd/>
              <w:snapToGrid/>
              <w:spacing w:line="360" w:lineRule="auto"/>
              <w:ind w:right="0" w:rightChars="0"/>
              <w:jc w:val="both"/>
              <w:textAlignment w:val="bottom"/>
              <w:rPr>
                <w:rFonts w:hint="default" w:ascii="Times New Roman" w:hAnsi="Times New Roman" w:cs="Times New Roman"/>
                <w:bCs/>
                <w:sz w:val="24"/>
                <w:szCs w:val="24"/>
              </w:rPr>
            </w:pPr>
            <w:r>
              <w:rPr>
                <w:rFonts w:hint="default" w:ascii="Times New Roman" w:hAnsi="Times New Roman" w:cs="Times New Roman"/>
                <w:sz w:val="24"/>
                <w:szCs w:val="24"/>
                <w:lang w:bidi="ar"/>
              </w:rPr>
              <w:t>IcdP</w:t>
            </w:r>
          </w:p>
        </w:tc>
        <w:tc>
          <w:tcPr>
            <w:tcW w:w="2834" w:type="dxa"/>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Cs/>
                <w:sz w:val="24"/>
                <w:szCs w:val="24"/>
              </w:rPr>
            </w:pPr>
            <w:r>
              <w:rPr>
                <w:rFonts w:hint="default" w:ascii="Times New Roman" w:hAnsi="Times New Roman" w:cs="Times New Roman"/>
                <w:sz w:val="24"/>
                <w:szCs w:val="24"/>
              </w:rPr>
              <w:t>37.4</w:t>
            </w:r>
          </w:p>
        </w:tc>
      </w:tr>
    </w:tbl>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eastAsia="黑体" w:cs="Times New Roman"/>
          <w:b/>
          <w:sz w:val="24"/>
          <w:szCs w:val="24"/>
          <w:shd w:val="clear" w:color="auto" w:fill="FFFFFF"/>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Table</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S</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2</w:t>
      </w:r>
      <w:r>
        <w:rPr>
          <w:rFonts w:hint="default" w:ascii="Times New Roman" w:hAnsi="Times New Roman" w:eastAsia="黑体" w:cs="Times New Roman"/>
          <w:b/>
          <w:sz w:val="24"/>
          <w:szCs w:val="24"/>
          <w:shd w:val="clear" w:color="auto" w:fill="FFFFFF"/>
        </w:rPr>
        <w:t xml:space="preserve"> </w:t>
      </w:r>
      <w:r>
        <w:rPr>
          <w:rFonts w:hint="default" w:ascii="Times New Roman" w:hAnsi="Times New Roman" w:eastAsia="黑体" w:cs="Times New Roman"/>
          <w:bCs/>
          <w:sz w:val="24"/>
          <w:szCs w:val="24"/>
          <w:shd w:val="clear" w:color="auto" w:fill="FFFFFF"/>
        </w:rPr>
        <w:t>Attribute table of the molecular ratio method</w:t>
      </w:r>
      <w:r>
        <w:rPr>
          <w:rFonts w:hint="default" w:ascii="Times New Roman" w:hAnsi="Times New Roman" w:eastAsia="黑体" w:cs="Times New Roman"/>
          <w:bCs/>
          <w:sz w:val="24"/>
          <w:szCs w:val="24"/>
          <w:shd w:val="clear" w:color="auto" w:fill="FFFFFF"/>
          <w:lang w:val="en-US" w:eastAsia="zh-CN"/>
        </w:rPr>
        <w:t xml:space="preserve"> (</w:t>
      </w:r>
      <w:r>
        <w:rPr>
          <w:rFonts w:hint="default" w:ascii="Times New Roman" w:hAnsi="Times New Roman" w:eastAsia="宋体" w:cs="Times New Roman"/>
          <w:color w:val="000000" w:themeColor="text1"/>
          <w:kern w:val="0"/>
          <w:szCs w:val="21"/>
          <w14:textFill>
            <w14:solidFill>
              <w14:schemeClr w14:val="tx1"/>
            </w14:solidFill>
          </w14:textFill>
        </w:rPr>
        <w:t>Sun et al.</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Cs w:val="21"/>
          <w14:textFill>
            <w14:solidFill>
              <w14:schemeClr w14:val="tx1"/>
            </w14:solidFill>
          </w14:textFill>
        </w:rPr>
        <w:t>2015</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Cs w:val="21"/>
          <w14:textFill>
            <w14:solidFill>
              <w14:schemeClr w14:val="tx1"/>
            </w14:solidFill>
          </w14:textFill>
        </w:rPr>
        <w:t>Chen et al. 2022</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w:t>
      </w:r>
    </w:p>
    <w:tbl>
      <w:tblPr>
        <w:tblStyle w:val="7"/>
        <w:tblW w:w="8245"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
        <w:gridCol w:w="664"/>
        <w:gridCol w:w="998"/>
        <w:gridCol w:w="206"/>
        <w:gridCol w:w="722"/>
        <w:gridCol w:w="1280"/>
        <w:gridCol w:w="176"/>
        <w:gridCol w:w="722"/>
        <w:gridCol w:w="1517"/>
        <w:gridCol w:w="52"/>
        <w:gridCol w:w="670"/>
        <w:gridCol w:w="118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26" w:type="dxa"/>
            <w:gridSpan w:val="4"/>
            <w:tcBorders>
              <w:top w:val="single" w:color="auto" w:sz="6" w:space="0"/>
              <w:bottom w:val="single" w:color="auto" w:sz="6" w:space="0"/>
            </w:tcBorders>
          </w:tcPr>
          <w:p>
            <w:pPr>
              <w:keepNext w:val="0"/>
              <w:keepLines w:val="0"/>
              <w:pageBreakBefore w:val="0"/>
              <w:kinsoku/>
              <w:wordWrap/>
              <w:overflowPunct/>
              <w:topLinePunct w:val="0"/>
              <w:bidi w:val="0"/>
              <w:adjustRightInd/>
              <w:snapToGrid/>
              <w:spacing w:line="360" w:lineRule="auto"/>
              <w:ind w:left="186" w:leftChars="11" w:right="0" w:rightChars="0" w:hanging="163" w:hangingChars="78"/>
              <w:jc w:val="both"/>
              <w:rPr>
                <w:rFonts w:hint="default" w:ascii="Times New Roman" w:hAnsi="Times New Roman" w:cs="Times New Roman"/>
                <w:szCs w:val="21"/>
              </w:rPr>
            </w:pPr>
            <w:r>
              <w:rPr>
                <w:rFonts w:hint="default" w:ascii="Times New Roman" w:hAnsi="Times New Roman" w:cs="Times New Roman"/>
                <w:szCs w:val="21"/>
              </w:rPr>
              <w:t>Ant/(Ant+Phe)</w:t>
            </w:r>
          </w:p>
        </w:tc>
        <w:tc>
          <w:tcPr>
            <w:tcW w:w="2178" w:type="dxa"/>
            <w:gridSpan w:val="3"/>
            <w:tcBorders>
              <w:top w:val="single" w:color="auto" w:sz="6" w:space="0"/>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InP/(InP+BghiP)</w:t>
            </w:r>
          </w:p>
        </w:tc>
        <w:tc>
          <w:tcPr>
            <w:tcW w:w="2239" w:type="dxa"/>
            <w:gridSpan w:val="2"/>
            <w:tcBorders>
              <w:top w:val="single" w:color="auto" w:sz="6" w:space="0"/>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Fla/(Fla+Pyr）</w:t>
            </w:r>
          </w:p>
        </w:tc>
        <w:tc>
          <w:tcPr>
            <w:tcW w:w="1902" w:type="dxa"/>
            <w:gridSpan w:val="3"/>
            <w:tcBorders>
              <w:top w:val="single" w:color="auto" w:sz="6" w:space="0"/>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BaA/(BaA+Chr)</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 w:type="dxa"/>
          <w:jc w:val="center"/>
        </w:trPr>
        <w:tc>
          <w:tcPr>
            <w:tcW w:w="664" w:type="dxa"/>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&lt;0.1 </w:t>
            </w:r>
          </w:p>
        </w:tc>
        <w:tc>
          <w:tcPr>
            <w:tcW w:w="998" w:type="dxa"/>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Oil leakage</w:t>
            </w:r>
          </w:p>
        </w:tc>
        <w:tc>
          <w:tcPr>
            <w:tcW w:w="928" w:type="dxa"/>
            <w:gridSpan w:val="2"/>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&lt;0.2 </w:t>
            </w:r>
          </w:p>
        </w:tc>
        <w:tc>
          <w:tcPr>
            <w:tcW w:w="1280" w:type="dxa"/>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Oil leakage</w:t>
            </w:r>
          </w:p>
        </w:tc>
        <w:tc>
          <w:tcPr>
            <w:tcW w:w="898" w:type="dxa"/>
            <w:gridSpan w:val="2"/>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&lt;0.4 </w:t>
            </w:r>
          </w:p>
        </w:tc>
        <w:tc>
          <w:tcPr>
            <w:tcW w:w="1569" w:type="dxa"/>
            <w:gridSpan w:val="2"/>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Oil leakage</w:t>
            </w:r>
          </w:p>
        </w:tc>
        <w:tc>
          <w:tcPr>
            <w:tcW w:w="670" w:type="dxa"/>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&lt;0.2 </w:t>
            </w:r>
          </w:p>
        </w:tc>
        <w:tc>
          <w:tcPr>
            <w:tcW w:w="1180" w:type="dxa"/>
            <w:tcBorders>
              <w:top w:val="single" w:color="auto" w:sz="6" w:space="0"/>
              <w:bottom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Oil leakage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 w:type="dxa"/>
          <w:trHeight w:val="473" w:hRule="atLeast"/>
          <w:jc w:val="center"/>
        </w:trPr>
        <w:tc>
          <w:tcPr>
            <w:tcW w:w="664" w:type="dxa"/>
            <w:tcBorders>
              <w:top w:val="nil"/>
            </w:tcBorders>
          </w:tcPr>
          <w:p>
            <w:pPr>
              <w:keepNext w:val="0"/>
              <w:keepLines w:val="0"/>
              <w:pageBreakBefore w:val="0"/>
              <w:kinsoku/>
              <w:wordWrap/>
              <w:overflowPunct/>
              <w:topLinePunct w:val="0"/>
              <w:bidi w:val="0"/>
              <w:adjustRightInd/>
              <w:snapToGrid/>
              <w:spacing w:line="360" w:lineRule="auto"/>
              <w:ind w:left="271" w:right="0" w:rightChars="0" w:hanging="270" w:hangingChars="129"/>
              <w:jc w:val="both"/>
              <w:rPr>
                <w:rFonts w:hint="default" w:ascii="Times New Roman" w:hAnsi="Times New Roman" w:cs="Times New Roman"/>
                <w:szCs w:val="21"/>
              </w:rPr>
            </w:pPr>
            <w:r>
              <w:rPr>
                <w:rFonts w:hint="default" w:ascii="Times New Roman" w:hAnsi="Times New Roman" w:cs="Times New Roman"/>
                <w:szCs w:val="21"/>
              </w:rPr>
              <w:t>&gt;0.1</w:t>
            </w:r>
          </w:p>
        </w:tc>
        <w:tc>
          <w:tcPr>
            <w:tcW w:w="998" w:type="dxa"/>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Incomplete combustion</w:t>
            </w:r>
          </w:p>
        </w:tc>
        <w:tc>
          <w:tcPr>
            <w:tcW w:w="928" w:type="dxa"/>
            <w:gridSpan w:val="2"/>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0.2–0.5</w:t>
            </w:r>
          </w:p>
        </w:tc>
        <w:tc>
          <w:tcPr>
            <w:tcW w:w="1280" w:type="dxa"/>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Petroleum combustion</w:t>
            </w:r>
          </w:p>
        </w:tc>
        <w:tc>
          <w:tcPr>
            <w:tcW w:w="898" w:type="dxa"/>
            <w:gridSpan w:val="2"/>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&gt;0.4</w:t>
            </w:r>
          </w:p>
        </w:tc>
        <w:tc>
          <w:tcPr>
            <w:tcW w:w="1569" w:type="dxa"/>
            <w:gridSpan w:val="2"/>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Incomplete combustion</w:t>
            </w:r>
          </w:p>
        </w:tc>
        <w:tc>
          <w:tcPr>
            <w:tcW w:w="670" w:type="dxa"/>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&gt;0.2 </w:t>
            </w:r>
          </w:p>
        </w:tc>
        <w:tc>
          <w:tcPr>
            <w:tcW w:w="1180" w:type="dxa"/>
            <w:tcBorders>
              <w:top w:val="nil"/>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Incomplete combustion</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 w:type="dxa"/>
          <w:jc w:val="center"/>
        </w:trPr>
        <w:tc>
          <w:tcPr>
            <w:tcW w:w="664"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998"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928" w:type="dxa"/>
            <w:gridSpan w:val="2"/>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&gt;0.5 </w:t>
            </w:r>
          </w:p>
        </w:tc>
        <w:tc>
          <w:tcPr>
            <w:tcW w:w="1280"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Coal, wood and other biomass sources</w:t>
            </w:r>
          </w:p>
        </w:tc>
        <w:tc>
          <w:tcPr>
            <w:tcW w:w="898" w:type="dxa"/>
            <w:gridSpan w:val="2"/>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0.4–0.5 </w:t>
            </w:r>
          </w:p>
        </w:tc>
        <w:tc>
          <w:tcPr>
            <w:tcW w:w="1569" w:type="dxa"/>
            <w:gridSpan w:val="2"/>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Liquid fossil fuel</w:t>
            </w:r>
          </w:p>
        </w:tc>
        <w:tc>
          <w:tcPr>
            <w:tcW w:w="670"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1180" w:type="dxa"/>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 w:type="dxa"/>
          <w:jc w:val="center"/>
        </w:trPr>
        <w:tc>
          <w:tcPr>
            <w:tcW w:w="664" w:type="dxa"/>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998" w:type="dxa"/>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928" w:type="dxa"/>
            <w:gridSpan w:val="2"/>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1280" w:type="dxa"/>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898" w:type="dxa"/>
            <w:gridSpan w:val="2"/>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 xml:space="preserve">&gt;0.5 </w:t>
            </w:r>
          </w:p>
        </w:tc>
        <w:tc>
          <w:tcPr>
            <w:tcW w:w="1569" w:type="dxa"/>
            <w:gridSpan w:val="2"/>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r>
              <w:rPr>
                <w:rFonts w:hint="default" w:ascii="Times New Roman" w:hAnsi="Times New Roman" w:cs="Times New Roman"/>
                <w:szCs w:val="21"/>
              </w:rPr>
              <w:t>Coal, wood and other biomass sources</w:t>
            </w:r>
          </w:p>
        </w:tc>
        <w:tc>
          <w:tcPr>
            <w:tcW w:w="670" w:type="dxa"/>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c>
          <w:tcPr>
            <w:tcW w:w="1180" w:type="dxa"/>
            <w:tcBorders>
              <w:bottom w:val="single" w:color="auto" w:sz="6" w:space="0"/>
            </w:tcBorders>
          </w:tcPr>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Cs w:val="21"/>
              </w:rPr>
            </w:pPr>
          </w:p>
        </w:tc>
      </w:tr>
    </w:tbl>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p>
    <w:p>
      <w:pPr>
        <w:keepNext w:val="0"/>
        <w:keepLines w:val="0"/>
        <w:pageBreakBefore w:val="0"/>
        <w:kinsoku/>
        <w:wordWrap/>
        <w:overflowPunct/>
        <w:topLinePunct w:val="0"/>
        <w:bidi w:val="0"/>
        <w:adjustRightInd/>
        <w:snapToGrid/>
        <w:spacing w:line="360" w:lineRule="auto"/>
        <w:ind w:left="105" w:right="0" w:rightChars="0" w:hanging="120" w:hangingChars="50"/>
        <w:jc w:val="both"/>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Table</w:t>
      </w:r>
      <w:r>
        <w:rPr>
          <w:rFonts w:hint="default" w:ascii="Times New Roman" w:hAnsi="Times New Roman" w:cs="Times New Roman"/>
          <w:b/>
          <w:bCs/>
          <w:color w:val="000000" w:themeColor="text1"/>
          <w:sz w:val="24"/>
          <w:szCs w:val="24"/>
          <w:lang w:val="en-US" w:eastAsia="zh-CN" w:bidi="ar"/>
          <w14:textFill>
            <w14:solidFill>
              <w14:schemeClr w14:val="tx1"/>
            </w14:solidFill>
          </w14:textFill>
        </w:rPr>
        <w:t xml:space="preserve"> </w:t>
      </w:r>
      <w:r>
        <w:rPr>
          <w:rFonts w:hint="eastAsia" w:ascii="Times New Roman" w:hAnsi="Times New Roman" w:cs="Times New Roman"/>
          <w:b/>
          <w:bCs/>
          <w:color w:val="000000" w:themeColor="text1"/>
          <w:sz w:val="24"/>
          <w:szCs w:val="24"/>
          <w:lang w:val="en-US" w:eastAsia="zh-CN" w:bidi="ar"/>
          <w14:textFill>
            <w14:solidFill>
              <w14:schemeClr w14:val="tx1"/>
            </w14:solidFill>
          </w14:textFill>
        </w:rPr>
        <w:t>S</w:t>
      </w:r>
      <w:r>
        <w:rPr>
          <w:rFonts w:hint="default" w:ascii="Times New Roman" w:hAnsi="Times New Roman" w:cs="Times New Roman"/>
          <w:b/>
          <w:color w:val="000000" w:themeColor="text1"/>
          <w:szCs w:val="21"/>
          <w14:textFill>
            <w14:solidFill>
              <w14:schemeClr w14:val="tx1"/>
            </w14:solidFill>
          </w14:textFill>
        </w:rPr>
        <w:t xml:space="preserve">3 </w:t>
      </w:r>
      <w:r>
        <w:rPr>
          <w:rFonts w:hint="default" w:ascii="Times New Roman" w:hAnsi="Times New Roman" w:cs="Times New Roman"/>
          <w:color w:val="000000" w:themeColor="text1"/>
          <w:sz w:val="24"/>
          <w:szCs w:val="24"/>
          <w14:textFill>
            <w14:solidFill>
              <w14:schemeClr w14:val="tx1"/>
            </w14:solidFill>
          </w14:textFill>
        </w:rPr>
        <w:t>Comparison of PAH concentration in the sediments</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(Wang et al. 2020; Li et al. 2019; Wang et al. 2019; </w:t>
      </w:r>
      <w:r>
        <w:rPr>
          <w:rFonts w:hint="default" w:ascii="Times New Roman" w:hAnsi="Times New Roman" w:eastAsia="宋体" w:cs="Times New Roman"/>
          <w:color w:val="000000" w:themeColor="text1"/>
          <w:kern w:val="0"/>
          <w:sz w:val="24"/>
          <w:szCs w:val="24"/>
          <w14:textFill>
            <w14:solidFill>
              <w14:schemeClr w14:val="tx1"/>
            </w14:solidFill>
          </w14:textFill>
        </w:rPr>
        <w:t>Brewster et al. 2018</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4"/>
          <w14:textFill>
            <w14:solidFill>
              <w14:schemeClr w14:val="tx1"/>
            </w14:solidFill>
          </w14:textFill>
        </w:rPr>
        <w:t>Silva et al. 2013</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4"/>
          <w14:textFill>
            <w14:solidFill>
              <w14:schemeClr w14:val="tx1"/>
            </w14:solidFill>
          </w14:textFill>
        </w:rPr>
        <w:t>Lubecki et al. 2019</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w:t>
      </w:r>
    </w:p>
    <w:tbl>
      <w:tblPr>
        <w:tblStyle w:val="6"/>
        <w:tblW w:w="7417" w:type="dxa"/>
        <w:tblInd w:w="108" w:type="dxa"/>
        <w:tblLayout w:type="fixed"/>
        <w:tblCellMar>
          <w:top w:w="0" w:type="dxa"/>
          <w:left w:w="108" w:type="dxa"/>
          <w:bottom w:w="0" w:type="dxa"/>
          <w:right w:w="108" w:type="dxa"/>
        </w:tblCellMar>
      </w:tblPr>
      <w:tblGrid>
        <w:gridCol w:w="2977"/>
        <w:gridCol w:w="1843"/>
        <w:gridCol w:w="1026"/>
        <w:gridCol w:w="1571"/>
      </w:tblGrid>
      <w:tr>
        <w:tblPrEx>
          <w:tblCellMar>
            <w:top w:w="0" w:type="dxa"/>
            <w:left w:w="108" w:type="dxa"/>
            <w:bottom w:w="0" w:type="dxa"/>
            <w:right w:w="108" w:type="dxa"/>
          </w:tblCellMar>
        </w:tblPrEx>
        <w:trPr>
          <w:trHeight w:val="347" w:hRule="atLeast"/>
        </w:trPr>
        <w:tc>
          <w:tcPr>
            <w:tcW w:w="2977" w:type="dxa"/>
            <w:vMerge w:val="restart"/>
            <w:tcBorders>
              <w:top w:val="single" w:color="auto" w:sz="4" w:space="0"/>
              <w:left w:val="nil"/>
              <w:bottom w:val="single" w:color="000000" w:sz="4" w:space="0"/>
              <w:right w:val="nil"/>
            </w:tcBorders>
            <w:shd w:val="clear" w:color="auto" w:fill="auto"/>
            <w:vAlign w:val="center"/>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Lake/Reservoir/River</w:t>
            </w:r>
          </w:p>
        </w:tc>
        <w:tc>
          <w:tcPr>
            <w:tcW w:w="1843" w:type="dxa"/>
            <w:vMerge w:val="restart"/>
            <w:tcBorders>
              <w:top w:val="single" w:color="auto" w:sz="4" w:space="0"/>
              <w:left w:val="nil"/>
              <w:bottom w:val="single" w:color="000000" w:sz="4" w:space="0"/>
              <w:right w:val="nil"/>
            </w:tcBorders>
            <w:shd w:val="clear" w:color="auto" w:fill="auto"/>
            <w:vAlign w:val="center"/>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Location</w:t>
            </w:r>
          </w:p>
        </w:tc>
        <w:tc>
          <w:tcPr>
            <w:tcW w:w="2597" w:type="dxa"/>
            <w:gridSpan w:val="2"/>
            <w:tcBorders>
              <w:top w:val="single" w:color="auto" w:sz="4" w:space="0"/>
              <w:left w:val="nil"/>
              <w:bottom w:val="single" w:color="auto" w:sz="4" w:space="0"/>
              <w:right w:val="nil"/>
            </w:tcBorders>
            <w:shd w:val="clear" w:color="auto" w:fill="auto"/>
            <w:vAlign w:val="bottom"/>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Concentration</w:t>
            </w:r>
            <w:r>
              <w:rPr>
                <w:rFonts w:hint="default" w:ascii="Times New Roman" w:hAnsi="Times New Roman" w:eastAsia="宋体" w:cs="Times New Roman"/>
                <w:color w:val="000000" w:themeColor="text1"/>
                <w:kern w:val="0"/>
                <w:szCs w:val="21"/>
                <w14:textFill>
                  <w14:solidFill>
                    <w14:schemeClr w14:val="tx1"/>
                  </w14:solidFill>
                </w14:textFill>
              </w:rPr>
              <w:t xml:space="preserve"> (ng g</w:t>
            </w:r>
            <w:r>
              <w:rPr>
                <w:rFonts w:hint="default" w:ascii="Times New Roman" w:hAnsi="Times New Roman" w:eastAsia="宋体" w:cs="Times New Roman"/>
                <w:color w:val="000000" w:themeColor="text1"/>
                <w:kern w:val="0"/>
                <w:szCs w:val="21"/>
                <w:vertAlign w:val="superscript"/>
                <w14:textFill>
                  <w14:solidFill>
                    <w14:schemeClr w14:val="tx1"/>
                  </w14:solidFill>
                </w14:textFill>
              </w:rPr>
              <w:t>-1</w:t>
            </w:r>
            <w:r>
              <w:rPr>
                <w:rFonts w:hint="default" w:ascii="Times New Roman" w:hAnsi="Times New Roman" w:eastAsia="宋体" w:cs="Times New Roman"/>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289" w:hRule="atLeast"/>
        </w:trPr>
        <w:tc>
          <w:tcPr>
            <w:tcW w:w="2977" w:type="dxa"/>
            <w:vMerge w:val="continue"/>
            <w:tcBorders>
              <w:top w:val="single" w:color="auto" w:sz="4" w:space="0"/>
              <w:left w:val="nil"/>
              <w:bottom w:val="single" w:color="000000" w:sz="4" w:space="0"/>
              <w:right w:val="nil"/>
            </w:tcBorders>
            <w:vAlign w:val="center"/>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p>
        </w:tc>
        <w:tc>
          <w:tcPr>
            <w:tcW w:w="1843" w:type="dxa"/>
            <w:vMerge w:val="continue"/>
            <w:tcBorders>
              <w:top w:val="single" w:color="auto" w:sz="4" w:space="0"/>
              <w:left w:val="nil"/>
              <w:bottom w:val="single" w:color="000000" w:sz="4" w:space="0"/>
              <w:right w:val="nil"/>
            </w:tcBorders>
            <w:vAlign w:val="center"/>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p>
        </w:tc>
        <w:tc>
          <w:tcPr>
            <w:tcW w:w="1026" w:type="dxa"/>
            <w:tcBorders>
              <w:top w:val="nil"/>
              <w:left w:val="nil"/>
              <w:bottom w:val="single" w:color="auto" w:sz="4" w:space="0"/>
              <w:right w:val="nil"/>
            </w:tcBorders>
            <w:shd w:val="clear" w:color="auto" w:fill="auto"/>
            <w:vAlign w:val="bottom"/>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average</w:t>
            </w:r>
          </w:p>
        </w:tc>
        <w:tc>
          <w:tcPr>
            <w:tcW w:w="1571" w:type="dxa"/>
            <w:tcBorders>
              <w:top w:val="nil"/>
              <w:left w:val="nil"/>
              <w:bottom w:val="single" w:color="auto" w:sz="4" w:space="0"/>
              <w:right w:val="nil"/>
            </w:tcBorders>
            <w:shd w:val="clear" w:color="auto" w:fill="auto"/>
            <w:vAlign w:val="bottom"/>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range</w:t>
            </w:r>
          </w:p>
        </w:tc>
      </w:tr>
      <w:tr>
        <w:tblPrEx>
          <w:tblCellMar>
            <w:top w:w="0" w:type="dxa"/>
            <w:left w:w="108" w:type="dxa"/>
            <w:bottom w:w="0" w:type="dxa"/>
            <w:right w:w="108" w:type="dxa"/>
          </w:tblCellMar>
        </w:tblPrEx>
        <w:trPr>
          <w:trHeight w:val="289" w:hRule="atLeast"/>
        </w:trPr>
        <w:tc>
          <w:tcPr>
            <w:tcW w:w="2977" w:type="dxa"/>
            <w:tcBorders>
              <w:top w:val="single" w:color="auto" w:sz="4" w:space="0"/>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 xml:space="preserve">Yangzhou Catchment </w:t>
            </w:r>
          </w:p>
        </w:tc>
        <w:tc>
          <w:tcPr>
            <w:tcW w:w="1843" w:type="dxa"/>
            <w:tcBorders>
              <w:top w:val="single" w:color="auto" w:sz="4" w:space="0"/>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Yangtze River delta, China</w:t>
            </w:r>
          </w:p>
        </w:tc>
        <w:tc>
          <w:tcPr>
            <w:tcW w:w="1026" w:type="dxa"/>
            <w:tcBorders>
              <w:top w:val="single" w:color="auto" w:sz="4" w:space="0"/>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2579.96</w:t>
            </w:r>
          </w:p>
        </w:tc>
        <w:tc>
          <w:tcPr>
            <w:tcW w:w="1571" w:type="dxa"/>
            <w:tcBorders>
              <w:top w:val="single" w:color="auto" w:sz="4" w:space="0"/>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389.31–5794.06</w:t>
            </w:r>
          </w:p>
        </w:tc>
      </w:tr>
      <w:tr>
        <w:tblPrEx>
          <w:tblCellMar>
            <w:top w:w="0" w:type="dxa"/>
            <w:left w:w="108" w:type="dxa"/>
            <w:bottom w:w="0" w:type="dxa"/>
            <w:right w:w="108" w:type="dxa"/>
          </w:tblCellMar>
        </w:tblPrEx>
        <w:trPr>
          <w:trHeight w:val="289" w:hRule="atLeast"/>
        </w:trPr>
        <w:tc>
          <w:tcPr>
            <w:tcW w:w="2977" w:type="dxa"/>
            <w:tcBorders>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Yellow River Estuary</w:t>
            </w:r>
          </w:p>
        </w:tc>
        <w:tc>
          <w:tcPr>
            <w:tcW w:w="1843" w:type="dxa"/>
            <w:tcBorders>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China</w:t>
            </w:r>
          </w:p>
        </w:tc>
        <w:tc>
          <w:tcPr>
            <w:tcW w:w="1026" w:type="dxa"/>
            <w:tcBorders>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150</w:t>
            </w:r>
          </w:p>
        </w:tc>
        <w:tc>
          <w:tcPr>
            <w:tcW w:w="1571" w:type="dxa"/>
            <w:tcBorders>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40–290</w:t>
            </w:r>
          </w:p>
        </w:tc>
      </w:tr>
      <w:tr>
        <w:tblPrEx>
          <w:tblCellMar>
            <w:top w:w="0" w:type="dxa"/>
            <w:left w:w="108" w:type="dxa"/>
            <w:bottom w:w="0" w:type="dxa"/>
            <w:right w:w="108" w:type="dxa"/>
          </w:tblCellMar>
        </w:tblPrEx>
        <w:trPr>
          <w:trHeight w:val="289" w:hRule="atLeast"/>
        </w:trPr>
        <w:tc>
          <w:tcPr>
            <w:tcW w:w="2977"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Taihu Lake</w:t>
            </w:r>
          </w:p>
        </w:tc>
        <w:tc>
          <w:tcPr>
            <w:tcW w:w="1843"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Yangtze River delta, China</w:t>
            </w:r>
          </w:p>
        </w:tc>
        <w:tc>
          <w:tcPr>
            <w:tcW w:w="1026"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t>
            </w:r>
          </w:p>
        </w:tc>
        <w:tc>
          <w:tcPr>
            <w:tcW w:w="1571"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150–5000</w:t>
            </w:r>
          </w:p>
        </w:tc>
      </w:tr>
      <w:tr>
        <w:tblPrEx>
          <w:tblCellMar>
            <w:top w:w="0" w:type="dxa"/>
            <w:left w:w="108" w:type="dxa"/>
            <w:bottom w:w="0" w:type="dxa"/>
            <w:right w:w="108" w:type="dxa"/>
          </w:tblCellMar>
        </w:tblPrEx>
        <w:trPr>
          <w:trHeight w:val="289" w:hRule="atLeast"/>
        </w:trPr>
        <w:tc>
          <w:tcPr>
            <w:tcW w:w="2977"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Liaodong Peninsula</w:t>
            </w:r>
          </w:p>
        </w:tc>
        <w:tc>
          <w:tcPr>
            <w:tcW w:w="1843"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Northeast China</w:t>
            </w:r>
          </w:p>
        </w:tc>
        <w:tc>
          <w:tcPr>
            <w:tcW w:w="1026"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 xml:space="preserve">50.50 </w:t>
            </w:r>
          </w:p>
        </w:tc>
        <w:tc>
          <w:tcPr>
            <w:tcW w:w="1571"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3.90–211.50</w:t>
            </w:r>
          </w:p>
        </w:tc>
      </w:tr>
      <w:tr>
        <w:tblPrEx>
          <w:tblCellMar>
            <w:top w:w="0" w:type="dxa"/>
            <w:left w:w="108" w:type="dxa"/>
            <w:bottom w:w="0" w:type="dxa"/>
            <w:right w:w="108" w:type="dxa"/>
          </w:tblCellMar>
        </w:tblPrEx>
        <w:trPr>
          <w:trHeight w:val="289" w:hRule="atLeast"/>
        </w:trPr>
        <w:tc>
          <w:tcPr>
            <w:tcW w:w="2977"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Fox River</w:t>
            </w:r>
          </w:p>
        </w:tc>
        <w:tc>
          <w:tcPr>
            <w:tcW w:w="1843"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Wisconsin</w:t>
            </w:r>
          </w:p>
        </w:tc>
        <w:tc>
          <w:tcPr>
            <w:tcW w:w="1026"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t>
            </w:r>
          </w:p>
        </w:tc>
        <w:tc>
          <w:tcPr>
            <w:tcW w:w="1571"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519.30–5802</w:t>
            </w:r>
          </w:p>
        </w:tc>
      </w:tr>
      <w:tr>
        <w:tblPrEx>
          <w:tblCellMar>
            <w:top w:w="0" w:type="dxa"/>
            <w:left w:w="108" w:type="dxa"/>
            <w:bottom w:w="0" w:type="dxa"/>
            <w:right w:w="108" w:type="dxa"/>
          </w:tblCellMar>
        </w:tblPrEx>
        <w:trPr>
          <w:trHeight w:val="289" w:hRule="atLeast"/>
        </w:trPr>
        <w:tc>
          <w:tcPr>
            <w:tcW w:w="2977"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Mundaú River</w:t>
            </w:r>
          </w:p>
        </w:tc>
        <w:tc>
          <w:tcPr>
            <w:tcW w:w="1843"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Brazil</w:t>
            </w:r>
          </w:p>
        </w:tc>
        <w:tc>
          <w:tcPr>
            <w:tcW w:w="1026"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t>
            </w:r>
          </w:p>
        </w:tc>
        <w:tc>
          <w:tcPr>
            <w:tcW w:w="1571" w:type="dxa"/>
            <w:tcBorders>
              <w:top w:val="nil"/>
              <w:left w:val="nil"/>
              <w:bottom w:val="nil"/>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86–208.40</w:t>
            </w:r>
          </w:p>
        </w:tc>
      </w:tr>
      <w:tr>
        <w:tblPrEx>
          <w:tblCellMar>
            <w:top w:w="0" w:type="dxa"/>
            <w:left w:w="108" w:type="dxa"/>
            <w:bottom w:w="0" w:type="dxa"/>
            <w:right w:w="108" w:type="dxa"/>
          </w:tblCellMar>
        </w:tblPrEx>
        <w:trPr>
          <w:trHeight w:val="289" w:hRule="atLeast"/>
        </w:trPr>
        <w:tc>
          <w:tcPr>
            <w:tcW w:w="2977" w:type="dxa"/>
            <w:tcBorders>
              <w:top w:val="nil"/>
              <w:left w:val="nil"/>
              <w:bottom w:val="single" w:color="auto" w:sz="4" w:space="0"/>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Gdańsk Gulf</w:t>
            </w:r>
          </w:p>
        </w:tc>
        <w:tc>
          <w:tcPr>
            <w:tcW w:w="1843" w:type="dxa"/>
            <w:tcBorders>
              <w:top w:val="nil"/>
              <w:left w:val="nil"/>
              <w:bottom w:val="single" w:color="auto" w:sz="4" w:space="0"/>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Norway</w:t>
            </w:r>
          </w:p>
        </w:tc>
        <w:tc>
          <w:tcPr>
            <w:tcW w:w="1026" w:type="dxa"/>
            <w:tcBorders>
              <w:top w:val="nil"/>
              <w:left w:val="nil"/>
              <w:bottom w:val="single" w:color="auto" w:sz="4" w:space="0"/>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t>
            </w:r>
          </w:p>
        </w:tc>
        <w:tc>
          <w:tcPr>
            <w:tcW w:w="1571" w:type="dxa"/>
            <w:tcBorders>
              <w:top w:val="nil"/>
              <w:left w:val="nil"/>
              <w:bottom w:val="single" w:color="auto" w:sz="4" w:space="0"/>
              <w:right w:val="nil"/>
            </w:tcBorders>
            <w:shd w:val="clear" w:color="auto" w:fill="auto"/>
          </w:tcPr>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250–4500</w:t>
            </w:r>
          </w:p>
        </w:tc>
      </w:tr>
    </w:tbl>
    <w:p>
      <w:pPr>
        <w:keepNext w:val="0"/>
        <w:keepLines w:val="0"/>
        <w:pageBreakBefore w:val="0"/>
        <w:kinsoku/>
        <w:wordWrap/>
        <w:overflowPunct/>
        <w:topLinePunct w:val="0"/>
        <w:bidi w:val="0"/>
        <w:adjustRightInd/>
        <w:snapToGrid/>
        <w:spacing w:after="156" w:afterLines="50"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r>
        <w:rPr>
          <w:rFonts w:hint="default" w:ascii="Times New Roman" w:hAnsi="Times New Roman" w:cs="Times New Roman"/>
          <w:b/>
          <w:color w:val="000000" w:themeColor="text1"/>
          <w:sz w:val="22"/>
          <w14:textFill>
            <w14:solidFill>
              <w14:schemeClr w14:val="tx1"/>
            </w14:solidFill>
          </w14:textFill>
        </w:rPr>
        <w:br w:type="page"/>
      </w:r>
    </w:p>
    <w:p>
      <w:pPr>
        <w:keepNext w:val="0"/>
        <w:keepLines w:val="0"/>
        <w:pageBreakBefore w:val="0"/>
        <w:kinsoku/>
        <w:wordWrap/>
        <w:overflowPunct/>
        <w:topLinePunct w:val="0"/>
        <w:bidi w:val="0"/>
        <w:adjustRightInd/>
        <w:snapToGrid/>
        <w:spacing w:after="156" w:afterLines="50" w:line="360" w:lineRule="auto"/>
        <w:ind w:right="0" w:rightChars="0"/>
        <w:jc w:val="both"/>
        <w:rPr>
          <w:rFonts w:hint="default" w:ascii="Times New Roman" w:hAnsi="Times New Roman" w:cs="Times New Roman"/>
        </w:rPr>
      </w:pPr>
      <w:r>
        <w:rPr>
          <w:rFonts w:hint="default" w:ascii="Times New Roman" w:hAnsi="Times New Roman" w:cs="Times New Roman"/>
        </w:rPr>
        <w:drawing>
          <wp:inline distT="0" distB="0" distL="114300" distR="114300">
            <wp:extent cx="5270500" cy="2754630"/>
            <wp:effectExtent l="0" t="0" r="6350" b="762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5270500" cy="2754630"/>
                    </a:xfrm>
                    <a:prstGeom prst="rect">
                      <a:avLst/>
                    </a:prstGeom>
                    <a:noFill/>
                    <a:ln w="9525">
                      <a:noFill/>
                    </a:ln>
                  </pic:spPr>
                </pic:pic>
              </a:graphicData>
            </a:graphic>
          </wp:inline>
        </w:drawing>
      </w: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i/>
          <w:color w:val="000000" w:themeColor="text1"/>
          <w:sz w:val="24"/>
          <w:szCs w:val="24"/>
          <w14:textFill>
            <w14:solidFill>
              <w14:schemeClr w14:val="tx1"/>
            </w14:solidFill>
          </w14:textFill>
        </w:rPr>
        <w:t>Note:</w:t>
      </w:r>
      <w:r>
        <w:rPr>
          <w:rFonts w:hint="default" w:ascii="Times New Roman" w:hAnsi="Times New Roman" w:cs="Times New Roman"/>
          <w:color w:val="000000" w:themeColor="text1"/>
          <w:sz w:val="24"/>
          <w:szCs w:val="24"/>
          <w14:textFill>
            <w14:solidFill>
              <w14:schemeClr w14:val="tx1"/>
            </w14:solidFill>
          </w14:textFill>
        </w:rPr>
        <w:t xml:space="preserve"> Several environmental proxies for </w:t>
      </w:r>
      <w:r>
        <w:rPr>
          <w:rFonts w:hint="default" w:ascii="Times New Roman" w:hAnsi="Times New Roman" w:cs="Times New Roman"/>
          <w:i/>
          <w:color w:val="000000" w:themeColor="text1"/>
          <w:sz w:val="24"/>
          <w:szCs w:val="24"/>
          <w14:textFill>
            <w14:solidFill>
              <w14:schemeClr w14:val="tx1"/>
            </w14:solidFill>
          </w14:textFill>
        </w:rPr>
        <w:t>n</w:t>
      </w:r>
      <w:r>
        <w:rPr>
          <w:rFonts w:hint="default" w:ascii="Times New Roman" w:hAnsi="Times New Roman" w:cs="Times New Roman"/>
          <w:color w:val="000000" w:themeColor="text1"/>
          <w:sz w:val="24"/>
          <w:szCs w:val="24"/>
          <w14:textFill>
            <w14:solidFill>
              <w14:schemeClr w14:val="tx1"/>
            </w14:solidFill>
          </w14:textFill>
        </w:rPr>
        <w:t xml:space="preserve">-alkanes i.e., </w:t>
      </w:r>
      <w:r>
        <w:rPr>
          <w:rFonts w:hint="default" w:ascii="Times New Roman" w:hAnsi="Times New Roman" w:eastAsia="宋体" w:cs="Times New Roman"/>
          <w:kern w:val="0"/>
          <w:sz w:val="24"/>
          <w:szCs w:val="24"/>
        </w:rPr>
        <w:t>L/H,</w:t>
      </w:r>
      <w:r>
        <w:rPr>
          <w:rFonts w:hint="default" w:ascii="Times New Roman" w:hAnsi="Times New Roman" w:cs="Times New Roman"/>
          <w:color w:val="000000" w:themeColor="text1"/>
          <w:sz w:val="24"/>
          <w:szCs w:val="24"/>
          <w14:textFill>
            <w14:solidFill>
              <w14:schemeClr w14:val="tx1"/>
            </w14:solidFill>
          </w14:textFill>
        </w:rPr>
        <w:t xml:space="preserve"> ACL, and</w:t>
      </w:r>
      <w:r>
        <w:rPr>
          <w:rFonts w:hint="default" w:ascii="Times New Roman" w:hAnsi="Times New Roman" w:cs="Times New Roman"/>
          <w:i/>
          <w:color w:val="000000" w:themeColor="text1"/>
          <w:sz w:val="24"/>
          <w:szCs w:val="24"/>
          <w14:textFill>
            <w14:solidFill>
              <w14:schemeClr w14:val="tx1"/>
            </w14:solidFill>
          </w14:textFill>
        </w:rPr>
        <w:t xml:space="preserve"> P</w:t>
      </w:r>
      <w:r>
        <w:rPr>
          <w:rFonts w:hint="default" w:ascii="Times New Roman" w:hAnsi="Times New Roman" w:cs="Times New Roman"/>
          <w:color w:val="000000" w:themeColor="text1"/>
          <w:sz w:val="24"/>
          <w:szCs w:val="24"/>
          <w:vertAlign w:val="subscript"/>
          <w14:textFill>
            <w14:solidFill>
              <w14:schemeClr w14:val="tx1"/>
            </w14:solidFill>
          </w14:textFill>
        </w:rPr>
        <w:t>aq</w:t>
      </w:r>
      <w:r>
        <w:rPr>
          <w:rFonts w:hint="default" w:ascii="Times New Roman" w:hAnsi="Times New Roman" w:cs="Times New Roman"/>
          <w:color w:val="000000" w:themeColor="text1"/>
          <w:sz w:val="24"/>
          <w:szCs w:val="24"/>
          <w14:textFill>
            <w14:solidFill>
              <w14:schemeClr w14:val="tx1"/>
            </w14:solidFill>
          </w14:textFill>
        </w:rPr>
        <w:t xml:space="preserve"> were developed to express the </w:t>
      </w:r>
      <w:r>
        <w:rPr>
          <w:rFonts w:hint="default" w:ascii="Times New Roman" w:hAnsi="Times New Roman" w:cs="Times New Roman"/>
          <w:i/>
          <w:color w:val="000000" w:themeColor="text1"/>
          <w:sz w:val="24"/>
          <w:szCs w:val="24"/>
          <w14:textFill>
            <w14:solidFill>
              <w14:schemeClr w14:val="tx1"/>
            </w14:solidFill>
          </w14:textFill>
        </w:rPr>
        <w:t>n</w:t>
      </w:r>
      <w:r>
        <w:rPr>
          <w:rFonts w:hint="default" w:ascii="Times New Roman" w:hAnsi="Times New Roman" w:cs="Times New Roman"/>
          <w:color w:val="000000" w:themeColor="text1"/>
          <w:sz w:val="24"/>
          <w:szCs w:val="24"/>
          <w14:textFill>
            <w14:solidFill>
              <w14:schemeClr w14:val="tx1"/>
            </w14:solidFill>
          </w14:textFill>
        </w:rPr>
        <w:t>-alkane distribution in terms of numbers and odd-even predomina</w:t>
      </w:r>
      <w:r>
        <w:rPr>
          <w:rFonts w:hint="default" w:ascii="Times New Roman" w:hAnsi="Times New Roman" w:eastAsia="宋体" w:cs="Times New Roman"/>
          <w:color w:val="000000" w:themeColor="text1"/>
          <w:kern w:val="0"/>
          <w:sz w:val="24"/>
          <w:szCs w:val="24"/>
          <w14:textFill>
            <w14:solidFill>
              <w14:schemeClr w14:val="tx1"/>
            </w14:solidFill>
          </w14:textFill>
        </w:rPr>
        <w:t>nce</w:t>
      </w:r>
      <w:r>
        <w:rPr>
          <w:rFonts w:hint="default" w:ascii="Times New Roman" w:hAnsi="Times New Roman" w:cs="Times New Roman"/>
          <w:color w:val="000000" w:themeColor="text1"/>
          <w:sz w:val="24"/>
          <w:szCs w:val="24"/>
          <w14:textFill>
            <w14:solidFill>
              <w14:schemeClr w14:val="tx1"/>
            </w14:solidFill>
          </w14:textFill>
        </w:rPr>
        <w:t xml:space="preserve">, which were calculated using equations as follows. </w:t>
      </w:r>
      <w:r>
        <w:rPr>
          <w:rFonts w:hint="default" w:ascii="Times New Roman" w:hAnsi="Times New Roman" w:cs="Times New Roman"/>
          <w:i/>
          <w:color w:val="000000" w:themeColor="text1"/>
          <w:sz w:val="24"/>
          <w:szCs w:val="24"/>
          <w14:textFill>
            <w14:solidFill>
              <w14:schemeClr w14:val="tx1"/>
            </w14:solidFill>
          </w14:textFill>
        </w:rPr>
        <w:t>RA</w:t>
      </w:r>
      <w:r>
        <w:rPr>
          <w:rFonts w:hint="default" w:ascii="Times New Roman" w:hAnsi="Times New Roman" w:cs="Times New Roman"/>
          <w:color w:val="000000" w:themeColor="text1"/>
          <w:sz w:val="24"/>
          <w:szCs w:val="24"/>
          <w:vertAlign w:val="subscript"/>
          <w14:textFill>
            <w14:solidFill>
              <w14:schemeClr w14:val="tx1"/>
            </w14:solidFill>
          </w14:textFill>
        </w:rPr>
        <w:t>i</w:t>
      </w:r>
      <w:r>
        <w:rPr>
          <w:rFonts w:hint="default" w:ascii="Times New Roman" w:hAnsi="Times New Roman" w:cs="Times New Roman"/>
          <w:color w:val="000000" w:themeColor="text1"/>
          <w:sz w:val="24"/>
          <w:szCs w:val="24"/>
          <w14:textFill>
            <w14:solidFill>
              <w14:schemeClr w14:val="tx1"/>
            </w14:solidFill>
          </w14:textFill>
        </w:rPr>
        <w:t xml:space="preserve"> refers to the relative abundance of </w:t>
      </w:r>
      <w:r>
        <w:rPr>
          <w:rFonts w:hint="default" w:ascii="Times New Roman" w:hAnsi="Times New Roman" w:cs="Times New Roman"/>
          <w:i/>
          <w:color w:val="000000" w:themeColor="text1"/>
          <w:sz w:val="24"/>
          <w:szCs w:val="24"/>
          <w14:textFill>
            <w14:solidFill>
              <w14:schemeClr w14:val="tx1"/>
            </w14:solidFill>
          </w14:textFill>
        </w:rPr>
        <w:t>n</w:t>
      </w:r>
      <w:r>
        <w:rPr>
          <w:rFonts w:hint="default" w:ascii="Times New Roman" w:hAnsi="Times New Roman" w:cs="Times New Roman"/>
          <w:color w:val="000000" w:themeColor="text1"/>
          <w:sz w:val="24"/>
          <w:szCs w:val="24"/>
          <w14:textFill>
            <w14:solidFill>
              <w14:schemeClr w14:val="tx1"/>
            </w14:solidFill>
          </w14:textFill>
        </w:rPr>
        <w:t>-alkane C</w:t>
      </w:r>
      <w:r>
        <w:rPr>
          <w:rFonts w:hint="default" w:ascii="Times New Roman" w:hAnsi="Times New Roman" w:cs="Times New Roman"/>
          <w:i/>
          <w:color w:val="000000" w:themeColor="text1"/>
          <w:sz w:val="24"/>
          <w:szCs w:val="24"/>
          <w:vertAlign w:val="subscript"/>
          <w14:textFill>
            <w14:solidFill>
              <w14:schemeClr w14:val="tx1"/>
            </w14:solidFill>
          </w14:textFill>
        </w:rPr>
        <w:t>i</w:t>
      </w:r>
      <w:r>
        <w:rPr>
          <w:rFonts w:hint="default" w:ascii="Times New Roman" w:hAnsi="Times New Roman" w:cs="Times New Roman"/>
          <w:color w:val="000000" w:themeColor="text1"/>
          <w:sz w:val="24"/>
          <w:szCs w:val="24"/>
          <w14:textFill>
            <w14:solidFill>
              <w14:schemeClr w14:val="tx1"/>
            </w14:solidFill>
          </w14:textFill>
        </w:rPr>
        <w:t>.</w:t>
      </w: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position w:val="-30"/>
          <w14:textFill>
            <w14:solidFill>
              <w14:schemeClr w14:val="tx1"/>
            </w14:solidFill>
          </w14:textFill>
        </w:rPr>
        <w:object>
          <v:shape id="_x0000_i1025" o:spt="75" type="#_x0000_t75" style="height:27.05pt;width:373.4pt;" o:ole="t" filled="f" o:preferrelative="t" stroked="f" coordsize="21600,21600">
            <v:path/>
            <v:fill on="f" focussize="0,0"/>
            <v:stroke on="f" joinstyle="miter"/>
            <v:imagedata r:id="rId6" o:title=""/>
            <o:lock v:ext="edit" aspectratio="t"/>
            <w10:wrap type="none"/>
            <w10:anchorlock/>
          </v:shape>
          <o:OLEObject Type="Embed" ProgID="Equation.KSEE3" ShapeID="_x0000_i1025" DrawAspect="Content" ObjectID="_1468075725" r:id="rId5">
            <o:LockedField>false</o:LockedField>
          </o:OLEObject>
        </w:object>
      </w: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position w:val="-30"/>
          <w14:textFill>
            <w14:solidFill>
              <w14:schemeClr w14:val="tx1"/>
            </w14:solidFill>
          </w14:textFill>
        </w:rPr>
        <w:object>
          <v:shape id="_x0000_i1026" o:spt="75" type="#_x0000_t75" style="height:29.15pt;width:304.05pt;" o:ole="t" filled="f" o:preferrelative="t" stroked="f" coordsize="21600,21600">
            <v:path/>
            <v:fill on="f" focussize="0,0"/>
            <v:stroke on="f" joinstyle="miter"/>
            <v:imagedata r:id="rId8" o:title=""/>
            <o:lock v:ext="edit" aspectratio="t"/>
            <w10:wrap type="none"/>
            <w10:anchorlock/>
          </v:shape>
          <o:OLEObject Type="Embed" ProgID="Equation.KSEE3" ShapeID="_x0000_i1026" DrawAspect="Content" ObjectID="_1468075726" r:id="rId7">
            <o:LockedField>false</o:LockedField>
          </o:OLEObject>
        </w:object>
      </w: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color w:val="000000" w:themeColor="text1"/>
          <w:position w:val="-30"/>
          <w:sz w:val="24"/>
          <w:szCs w:val="24"/>
          <w14:textFill>
            <w14:solidFill>
              <w14:schemeClr w14:val="tx1"/>
            </w14:solidFill>
          </w14:textFill>
        </w:rPr>
        <w:object>
          <v:shape id="_x0000_i1027" o:spt="75" type="#_x0000_t75" style="height:27.05pt;width:104.9pt;" o:ole="t" filled="f" o:preferrelative="t" stroked="f" coordsize="21600,21600">
            <v:path/>
            <v:fill on="f" focussize="0,0"/>
            <v:stroke on="f" joinstyle="miter"/>
            <v:imagedata r:id="rId10" o:title=""/>
            <o:lock v:ext="edit" aspectratio="t"/>
            <w10:wrap type="none"/>
            <w10:anchorlock/>
          </v:shape>
          <o:OLEObject Type="Embed" ProgID="Equation.KSEE3" ShapeID="_x0000_i1027" DrawAspect="Content" ObjectID="_1468075727" r:id="rId9">
            <o:LockedField>false</o:LockedField>
          </o:OLEObject>
        </w:object>
      </w:r>
    </w:p>
    <w:p>
      <w:pPr>
        <w:keepNext w:val="0"/>
        <w:keepLines w:val="0"/>
        <w:pageBreakBefore w:val="0"/>
        <w:kinsoku/>
        <w:wordWrap/>
        <w:overflowPunct/>
        <w:topLinePunct w:val="0"/>
        <w:bidi w:val="0"/>
        <w:adjustRightInd/>
        <w:snapToGrid/>
        <w:spacing w:line="360" w:lineRule="auto"/>
        <w:ind w:right="0" w:rightChars="0"/>
        <w:jc w:val="both"/>
        <w:rPr>
          <w:rFonts w:hint="eastAsia" w:ascii="Times New Roman" w:hAnsi="Times New Roman" w:cs="Times New Roman"/>
          <w:b/>
          <w:bCs/>
          <w:color w:val="000000" w:themeColor="text1"/>
          <w:sz w:val="24"/>
          <w:szCs w:val="24"/>
          <w:lang w:val="en-US" w:eastAsia="zh-CN" w:bidi="ar"/>
          <w14:textFill>
            <w14:solidFill>
              <w14:schemeClr w14:val="tx1"/>
            </w14:solidFill>
          </w14:textFill>
        </w:rPr>
      </w:pP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sz w:val="24"/>
          <w:szCs w:val="24"/>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 xml:space="preserve">Fig. S1 </w:t>
      </w:r>
      <w:r>
        <w:rPr>
          <w:rFonts w:hint="default" w:ascii="Times New Roman" w:hAnsi="Times New Roman" w:cs="Times New Roman"/>
          <w:b/>
          <w:color w:val="000000" w:themeColor="text1"/>
          <w:szCs w:val="21"/>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L/H, ACL, and P</w:t>
      </w:r>
      <w:r>
        <w:rPr>
          <w:rFonts w:hint="default" w:ascii="Times New Roman" w:hAnsi="Times New Roman" w:cs="Times New Roman"/>
          <w:color w:val="000000" w:themeColor="text1"/>
          <w:sz w:val="24"/>
          <w:szCs w:val="24"/>
          <w:vertAlign w:val="subscript"/>
          <w14:textFill>
            <w14:solidFill>
              <w14:schemeClr w14:val="tx1"/>
            </w14:solidFill>
          </w14:textFill>
        </w:rPr>
        <w:t>aq</w:t>
      </w:r>
      <w:r>
        <w:rPr>
          <w:rFonts w:hint="default" w:ascii="Times New Roman" w:hAnsi="Times New Roman" w:cs="Times New Roman"/>
          <w:color w:val="000000" w:themeColor="text1"/>
          <w:sz w:val="24"/>
          <w:szCs w:val="24"/>
          <w14:textFill>
            <w14:solidFill>
              <w14:schemeClr w14:val="tx1"/>
            </w14:solidFill>
          </w14:textFill>
        </w:rPr>
        <w:t xml:space="preserve"> value of </w:t>
      </w:r>
      <w:r>
        <w:rPr>
          <w:rFonts w:hint="default" w:ascii="Times New Roman" w:hAnsi="Times New Roman" w:cs="Times New Roman"/>
          <w:i/>
          <w:iCs/>
          <w:color w:val="000000" w:themeColor="text1"/>
          <w:sz w:val="24"/>
          <w:szCs w:val="24"/>
          <w14:textFill>
            <w14:solidFill>
              <w14:schemeClr w14:val="tx1"/>
            </w14:solidFill>
          </w14:textFill>
        </w:rPr>
        <w:t>n</w:t>
      </w:r>
      <w:r>
        <w:rPr>
          <w:rFonts w:hint="default" w:ascii="Times New Roman" w:hAnsi="Times New Roman" w:cs="Times New Roman"/>
          <w:color w:val="000000" w:themeColor="text1"/>
          <w:sz w:val="24"/>
          <w:szCs w:val="24"/>
          <w14:textFill>
            <w14:solidFill>
              <w14:schemeClr w14:val="tx1"/>
            </w14:solidFill>
          </w14:textFill>
        </w:rPr>
        <w:t>-alkanes</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Derrien</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et al. 2017; </w:t>
      </w:r>
      <w:r>
        <w:rPr>
          <w:rFonts w:hint="default" w:ascii="Times New Roman" w:hAnsi="Times New Roman" w:cs="Times New Roman"/>
          <w:color w:val="000000" w:themeColor="text1"/>
          <w:sz w:val="24"/>
          <w:szCs w:val="24"/>
          <w14:textFill>
            <w14:solidFill>
              <w14:schemeClr w14:val="tx1"/>
            </w14:solidFill>
          </w14:textFill>
        </w:rPr>
        <w:t>Seopela</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et al. 2020; </w:t>
      </w:r>
      <w:r>
        <w:rPr>
          <w:rFonts w:hint="default" w:ascii="Times New Roman" w:hAnsi="Times New Roman" w:eastAsia="PingFangSC-Regular" w:cs="Times New Roman"/>
          <w:color w:val="000000" w:themeColor="text1"/>
          <w:sz w:val="24"/>
          <w:szCs w:val="24"/>
          <w14:textFill>
            <w14:solidFill>
              <w14:schemeClr w14:val="tx1"/>
            </w14:solidFill>
          </w14:textFill>
        </w:rPr>
        <w:t>Ficken</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et al. 2000)</w:t>
      </w:r>
    </w:p>
    <w:p>
      <w:pPr>
        <w:keepNext w:val="0"/>
        <w:keepLines w:val="0"/>
        <w:pageBreakBefore w:val="0"/>
        <w:kinsoku/>
        <w:wordWrap/>
        <w:overflowPunct/>
        <w:topLinePunct w:val="0"/>
        <w:bidi w:val="0"/>
        <w:adjustRightInd/>
        <w:snapToGrid/>
        <w:spacing w:after="156" w:afterLines="50" w:line="360" w:lineRule="auto"/>
        <w:ind w:right="0" w:rightChars="0"/>
        <w:jc w:val="both"/>
        <w:rPr>
          <w:rFonts w:hint="default" w:ascii="Times New Roman" w:hAnsi="Times New Roman" w:cs="Times New Roman"/>
          <w:color w:val="000000" w:themeColor="text1"/>
          <w:sz w:val="22"/>
          <w:vertAlign w:val="superscript"/>
          <w14:textFill>
            <w14:solidFill>
              <w14:schemeClr w14:val="tx1"/>
            </w14:solidFill>
          </w14:textFill>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r>
        <w:rPr>
          <w:rFonts w:hint="default" w:ascii="Times New Roman" w:hAnsi="Times New Roman" w:cs="Times New Roman"/>
          <w:b/>
          <w:color w:val="000000" w:themeColor="text1"/>
          <w:sz w:val="22"/>
          <w14:textFill>
            <w14:solidFill>
              <w14:schemeClr w14:val="tx1"/>
            </w14:solidFill>
          </w14:textFill>
        </w:rPr>
        <w:br w:type="page"/>
      </w:r>
    </w:p>
    <w:p>
      <w:pPr>
        <w:keepNext w:val="0"/>
        <w:keepLines w:val="0"/>
        <w:pageBreakBefore w:val="0"/>
        <w:kinsoku/>
        <w:wordWrap/>
        <w:overflowPunct/>
        <w:topLinePunct w:val="0"/>
        <w:bidi w:val="0"/>
        <w:adjustRightInd/>
        <w:snapToGrid/>
        <w:spacing w:after="156" w:afterLines="50" w:line="360" w:lineRule="auto"/>
        <w:ind w:right="0" w:rightChars="0"/>
        <w:jc w:val="both"/>
        <w:rPr>
          <w:rFonts w:hint="default" w:ascii="Times New Roman" w:hAnsi="Times New Roman" w:cs="Times New Roman"/>
          <w:color w:val="000000" w:themeColor="text1"/>
          <w:sz w:val="22"/>
          <w:vertAlign w:val="superscript"/>
          <w14:textFill>
            <w14:solidFill>
              <w14:schemeClr w14:val="tx1"/>
            </w14:solidFill>
          </w14:textFill>
        </w:rPr>
      </w:pPr>
      <w:r>
        <w:rPr>
          <w:rFonts w:hint="default" w:ascii="Times New Roman" w:hAnsi="Times New Roman" w:cs="Times New Roman"/>
          <w:color w:val="000000" w:themeColor="text1"/>
          <w:sz w:val="22"/>
          <w:vertAlign w:val="superscript"/>
          <w14:textFill>
            <w14:solidFill>
              <w14:schemeClr w14:val="tx1"/>
            </w14:solidFill>
          </w14:textFill>
        </w:rPr>
        <w:drawing>
          <wp:inline distT="0" distB="0" distL="114300" distR="114300">
            <wp:extent cx="5241925" cy="4620260"/>
            <wp:effectExtent l="0" t="0" r="15875" b="8890"/>
            <wp:docPr id="2" name="图片 2" descr="长江流域清晰全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长江流域清晰全图"/>
                    <pic:cNvPicPr>
                      <a:picLocks noChangeAspect="1"/>
                    </pic:cNvPicPr>
                  </pic:nvPicPr>
                  <pic:blipFill>
                    <a:blip r:embed="rId11"/>
                    <a:stretch>
                      <a:fillRect/>
                    </a:stretch>
                  </pic:blipFill>
                  <pic:spPr>
                    <a:xfrm>
                      <a:off x="0" y="0"/>
                      <a:ext cx="5241925" cy="4620260"/>
                    </a:xfrm>
                    <a:prstGeom prst="rect">
                      <a:avLst/>
                    </a:prstGeom>
                  </pic:spPr>
                </pic:pic>
              </a:graphicData>
            </a:graphic>
          </wp:inline>
        </w:drawing>
      </w:r>
    </w:p>
    <w:p>
      <w:pPr>
        <w:keepNext w:val="0"/>
        <w:keepLines w:val="0"/>
        <w:pageBreakBefore w:val="0"/>
        <w:kinsoku/>
        <w:wordWrap/>
        <w:overflowPunct/>
        <w:topLinePunct w:val="0"/>
        <w:bidi w:val="0"/>
        <w:adjustRightInd/>
        <w:snapToGrid/>
        <w:spacing w:line="360" w:lineRule="auto"/>
        <w:ind w:right="0" w:rightChars="0"/>
        <w:jc w:val="both"/>
        <w:rPr>
          <w:rFonts w:hint="default" w:ascii="Times New Roman" w:hAnsi="Times New Roman" w:cs="Times New Roman"/>
        </w:rPr>
      </w:pPr>
      <w:r>
        <w:rPr>
          <w:rFonts w:hint="eastAsia" w:ascii="Times New Roman" w:hAnsi="Times New Roman" w:cs="Times New Roman"/>
          <w:b/>
          <w:bCs/>
          <w:color w:val="000000" w:themeColor="text1"/>
          <w:sz w:val="24"/>
          <w:szCs w:val="24"/>
          <w:lang w:val="en-US" w:eastAsia="zh-CN" w:bidi="ar"/>
          <w14:textFill>
            <w14:solidFill>
              <w14:schemeClr w14:val="tx1"/>
            </w14:solidFill>
          </w14:textFill>
        </w:rPr>
        <w:t xml:space="preserve">Fig. S2  </w:t>
      </w:r>
      <w:r>
        <w:rPr>
          <w:rFonts w:hint="default" w:ascii="Times New Roman" w:hAnsi="Times New Roman" w:cs="Times New Roman"/>
          <w:color w:val="000000" w:themeColor="text1"/>
          <w:sz w:val="24"/>
          <w:szCs w:val="24"/>
          <w14:textFill>
            <w14:solidFill>
              <w14:schemeClr w14:val="tx1"/>
            </w14:solidFill>
          </w14:textFill>
        </w:rPr>
        <w:t>Comparison of PAH concentration in the Yangtze River Basin</w:t>
      </w:r>
    </w:p>
    <w:p>
      <w:pPr>
        <w:keepNext w:val="0"/>
        <w:keepLines w:val="0"/>
        <w:pageBreakBefore w:val="0"/>
        <w:kinsoku/>
        <w:wordWrap/>
        <w:overflowPunct/>
        <w:topLinePunct w:val="0"/>
        <w:bidi w:val="0"/>
        <w:adjustRightInd/>
        <w:snapToGrid/>
        <w:spacing w:after="156" w:afterLines="50"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p>
    <w:p>
      <w:pPr>
        <w:keepNext w:val="0"/>
        <w:keepLines w:val="0"/>
        <w:pageBreakBefore w:val="0"/>
        <w:widowControl/>
        <w:kinsoku/>
        <w:wordWrap/>
        <w:overflowPunct/>
        <w:topLinePunct w:val="0"/>
        <w:bidi w:val="0"/>
        <w:adjustRightInd/>
        <w:snapToGrid/>
        <w:spacing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r>
        <w:rPr>
          <w:rFonts w:hint="default" w:ascii="Times New Roman" w:hAnsi="Times New Roman" w:cs="Times New Roman"/>
          <w:b/>
          <w:color w:val="000000" w:themeColor="text1"/>
          <w:sz w:val="22"/>
          <w14:textFill>
            <w14:solidFill>
              <w14:schemeClr w14:val="tx1"/>
            </w14:solidFill>
          </w14:textFill>
        </w:rPr>
        <w:br w:type="page"/>
      </w:r>
    </w:p>
    <w:p>
      <w:pPr>
        <w:keepNext w:val="0"/>
        <w:keepLines w:val="0"/>
        <w:pageBreakBefore w:val="0"/>
        <w:kinsoku/>
        <w:wordWrap/>
        <w:overflowPunct/>
        <w:topLinePunct w:val="0"/>
        <w:bidi w:val="0"/>
        <w:adjustRightInd/>
        <w:snapToGrid/>
        <w:spacing w:after="156" w:afterLines="50" w:line="360" w:lineRule="auto"/>
        <w:ind w:right="0" w:rightChars="0"/>
        <w:jc w:val="both"/>
        <w:rPr>
          <w:rFonts w:hint="default" w:ascii="Times New Roman" w:hAnsi="Times New Roman" w:cs="Times New Roman"/>
          <w:b/>
          <w:color w:val="000000" w:themeColor="text1"/>
          <w:sz w:val="22"/>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References</w:t>
      </w:r>
      <w:r>
        <w:rPr>
          <w:rFonts w:hint="default" w:ascii="Times New Roman" w:hAnsi="Times New Roman" w:cs="Times New Roman"/>
          <w:b/>
          <w:color w:val="000000" w:themeColor="text1"/>
          <w:sz w:val="22"/>
          <w14:textFill>
            <w14:solidFill>
              <w14:schemeClr w14:val="tx1"/>
            </w14:solidFill>
          </w14:textFill>
        </w:rPr>
        <w:t xml:space="preserve"> </w:t>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eastAsia="宋体" w:cs="Times New Roman"/>
          <w:b w:val="0"/>
          <w:bCs w:val="0"/>
          <w:i w:val="0"/>
          <w:iCs w:val="0"/>
          <w:color w:val="000000" w:themeColor="text1"/>
          <w:kern w:val="0"/>
          <w:sz w:val="24"/>
          <w:szCs w:val="24"/>
          <w:u w:val="singl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Sun CZ, Zhen L, Wang C, Yan B, Cao XC</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Wu RZ</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(2015)</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Impacts of Ecological Restoration and Human Activities on Habitat of Overwintering Migratory Birds in the Wetland of Poyang Lake, Jiangxi Province, China. J Mount Sci 12</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(5)</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:1302-1314. </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https://doi.o</w:t>
      </w:r>
      <w:r>
        <w:rPr>
          <w:rFonts w:hint="default" w:ascii="Times New Roman" w:hAnsi="Times New Roman" w:eastAsia="宋体" w:cs="Times New Roman"/>
          <w:b w:val="0"/>
          <w:bCs w:val="0"/>
          <w:i w:val="0"/>
          <w:iCs w:val="0"/>
          <w:color w:val="000000" w:themeColor="text1"/>
          <w:kern w:val="0"/>
          <w:sz w:val="24"/>
          <w:szCs w:val="24"/>
          <w:u w:val="single"/>
          <w14:textFill>
            <w14:solidFill>
              <w14:schemeClr w14:val="tx1"/>
            </w14:solidFill>
          </w14:textFill>
        </w:rPr>
        <w:t>rg/</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"https://schlr.cnki.net/Detail/doi/GARJ2015/SSJD505AC1FEC8E201B7E075E33F2E18EC62" \t "https://schlr.cnki.net/zn/Detail/index/journal/_blank" </w:instrText>
      </w:r>
      <w:r>
        <w:rPr>
          <w:rFonts w:hint="default" w:ascii="Times New Roman" w:hAnsi="Times New Roman" w:cs="Times New Roman"/>
          <w:b w:val="0"/>
          <w:bCs w:val="0"/>
          <w:i w:val="0"/>
          <w:iCs w:val="0"/>
          <w:sz w:val="24"/>
          <w:szCs w:val="24"/>
        </w:rPr>
        <w:fldChar w:fldCharType="separate"/>
      </w:r>
      <w:r>
        <w:rPr>
          <w:rFonts w:hint="default" w:ascii="Times New Roman" w:hAnsi="Times New Roman" w:eastAsia="宋体" w:cs="Times New Roman"/>
          <w:b w:val="0"/>
          <w:bCs w:val="0"/>
          <w:i w:val="0"/>
          <w:iCs w:val="0"/>
          <w:color w:val="000000" w:themeColor="text1"/>
          <w:kern w:val="0"/>
          <w:sz w:val="24"/>
          <w:szCs w:val="24"/>
          <w:u w:val="single"/>
          <w14:textFill>
            <w14:solidFill>
              <w14:schemeClr w14:val="tx1"/>
            </w14:solidFill>
          </w14:textFill>
        </w:rPr>
        <w:t>10.1007/s11629-014-3128-8</w:t>
      </w:r>
      <w:r>
        <w:rPr>
          <w:rFonts w:hint="default" w:ascii="Times New Roman" w:hAnsi="Times New Roman" w:eastAsia="宋体" w:cs="Times New Roman"/>
          <w:b w:val="0"/>
          <w:bCs w:val="0"/>
          <w:i w:val="0"/>
          <w:iCs w:val="0"/>
          <w:color w:val="000000" w:themeColor="text1"/>
          <w:kern w:val="0"/>
          <w:sz w:val="24"/>
          <w:szCs w:val="24"/>
          <w:u w:val="single"/>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pPr>
      <w:r>
        <w:rPr>
          <w:rFonts w:hint="default" w:ascii="Times New Roman" w:hAnsi="Times New Roman" w:cs="Times New Roman"/>
          <w:b w:val="0"/>
          <w:bCs w:val="0"/>
          <w:i w:val="0"/>
          <w:iCs w:val="0"/>
          <w:sz w:val="24"/>
          <w:szCs w:val="24"/>
        </w:rPr>
        <w:t>Chen Y,Wang YH,Yu KK,</w:t>
      </w:r>
      <w:r>
        <w:rPr>
          <w:rFonts w:hint="default" w:ascii="Times New Roman" w:hAnsi="Times New Roman" w:cs="Times New Roman"/>
          <w:b w:val="0"/>
          <w:bCs w:val="0"/>
          <w:i w:val="0"/>
          <w:iCs w:val="0"/>
          <w:sz w:val="24"/>
          <w:szCs w:val="24"/>
          <w:lang w:val="en-US" w:eastAsia="zh-CN"/>
        </w:rPr>
        <w:t xml:space="preserve"> </w:t>
      </w:r>
      <w:r>
        <w:rPr>
          <w:rFonts w:hint="default" w:ascii="Times New Roman" w:hAnsi="Times New Roman" w:cs="Times New Roman"/>
          <w:b w:val="0"/>
          <w:bCs w:val="0"/>
          <w:i w:val="0"/>
          <w:iCs w:val="0"/>
          <w:sz w:val="24"/>
          <w:szCs w:val="24"/>
        </w:rPr>
        <w:t>Zhao ZH</w:t>
      </w:r>
      <w:r>
        <w:rPr>
          <w:rFonts w:hint="default" w:ascii="Times New Roman" w:hAnsi="Times New Roman" w:cs="Times New Roman"/>
          <w:b w:val="0"/>
          <w:bCs w:val="0"/>
          <w:i w:val="0"/>
          <w:iCs w:val="0"/>
          <w:sz w:val="24"/>
          <w:szCs w:val="24"/>
          <w:lang w:val="en-US" w:eastAsia="zh-CN"/>
        </w:rPr>
        <w:t>,</w:t>
      </w:r>
      <w:r>
        <w:rPr>
          <w:rFonts w:hint="default" w:ascii="Times New Roman" w:hAnsi="Times New Roman" w:cs="Times New Roman"/>
          <w:b w:val="0"/>
          <w:bCs w:val="0"/>
          <w:i w:val="0"/>
          <w:iCs w:val="0"/>
          <w:sz w:val="24"/>
          <w:szCs w:val="24"/>
        </w:rPr>
        <w:t xml:space="preserve"> Lang XL</w:t>
      </w:r>
      <w:r>
        <w:rPr>
          <w:rFonts w:hint="default" w:ascii="Times New Roman" w:hAnsi="Times New Roman" w:cs="Times New Roman"/>
          <w:b w:val="0"/>
          <w:bCs w:val="0"/>
          <w:i w:val="0"/>
          <w:iCs w:val="0"/>
          <w:sz w:val="24"/>
          <w:szCs w:val="24"/>
          <w:lang w:val="en-US" w:eastAsia="zh-CN"/>
        </w:rPr>
        <w:t xml:space="preserve"> (2022)</w:t>
      </w:r>
      <w:r>
        <w:rPr>
          <w:rFonts w:hint="default" w:ascii="Times New Roman" w:hAnsi="Times New Roman" w:cs="Times New Roman"/>
          <w:b w:val="0"/>
          <w:bCs w:val="0"/>
          <w:i w:val="0"/>
          <w:iCs w:val="0"/>
          <w:sz w:val="24"/>
          <w:szCs w:val="24"/>
        </w:rPr>
        <w:t xml:space="preserve"> Occurrence characteristics and source appointment of polycyclic aromatic hydrocarbons and n-alkanes over the past 100</w:t>
      </w:r>
      <w:r>
        <w:rPr>
          <w:rFonts w:hint="eastAsia" w:ascii="Times New Roman" w:hAnsi="Times New Roman" w:cs="Times New Roman"/>
          <w:b w:val="0"/>
          <w:bCs w:val="0"/>
          <w:i w:val="0"/>
          <w:iCs w:val="0"/>
          <w:sz w:val="24"/>
          <w:szCs w:val="24"/>
          <w:lang w:eastAsia="zh-CN"/>
        </w:rPr>
        <w:t xml:space="preserve"> </w:t>
      </w:r>
      <w:r>
        <w:rPr>
          <w:rFonts w:hint="default" w:ascii="Times New Roman" w:hAnsi="Times New Roman" w:cs="Times New Roman"/>
          <w:b w:val="0"/>
          <w:bCs w:val="0"/>
          <w:i w:val="0"/>
          <w:iCs w:val="0"/>
          <w:sz w:val="24"/>
          <w:szCs w:val="24"/>
        </w:rPr>
        <w:t xml:space="preserve">years in southwest China. Sci Total Environ 808:151905-151905. </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https://doi.o</w:t>
      </w:r>
      <w:r>
        <w:rPr>
          <w:rFonts w:hint="default" w:ascii="Times New Roman" w:hAnsi="Times New Roman" w:eastAsia="宋体" w:cs="Times New Roman"/>
          <w:b w:val="0"/>
          <w:bCs w:val="0"/>
          <w:i w:val="0"/>
          <w:iCs w:val="0"/>
          <w:color w:val="000000" w:themeColor="text1"/>
          <w:kern w:val="0"/>
          <w:sz w:val="24"/>
          <w:szCs w:val="24"/>
          <w:u w:val="single"/>
          <w14:textFill>
            <w14:solidFill>
              <w14:schemeClr w14:val="tx1"/>
            </w14:solidFill>
          </w14:textFill>
        </w:rPr>
        <w:t>r</w:t>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t>g</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"https://schlr.cnki.net/Detail/doi/GARJ2021_2/SJES8250176A77D63B63EB043419A7C3C5FF" \t "https://schlr.cnki.net/zn/Detail/index/journal/_blank"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10.1016/J.SCITOTENV.2021.151905</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Wang CY, Yu LJ, Zou YM, Ji L</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Li YW</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(2020)</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Sources and historical sedimentary record: Temporal variability of n-alkane and PAHs from the Yellow River Estuary, China. Appl</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Geochem 114</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104475.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"https://doi.org/10.1016/j.apgeochem.2019.104475"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https://doi.org/10.1016/j.apgeochem.2019.104475</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Li A, Beek T, Schubert M, Yu ZY, Schiedek T</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Schüth C</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(2019)</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Sedimentary archive of Polycyclic Aromatic Hydrocarbons and perylene sources in the northern part of Taihu Lake, China. Environ</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Pollut 246</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198–206.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"https://doi.org/10.1016/j.envpol.2018.11.112(2019)"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微软雅黑" w:cs="Times New Roman"/>
          <w:b w:val="0"/>
          <w:bCs w:val="0"/>
          <w:i w:val="0"/>
          <w:iCs w:val="0"/>
          <w:color w:val="000000" w:themeColor="text1"/>
          <w:sz w:val="24"/>
          <w:szCs w:val="24"/>
          <w:shd w:val="clear" w:color="auto" w:fill="FBFBFB"/>
          <w14:textFill>
            <w14:solidFill>
              <w14:schemeClr w14:val="tx1"/>
            </w14:solidFill>
          </w14:textFill>
        </w:rPr>
        <w:t>https://doi.org/10.1016/j.envpol.2018.11.112</w:t>
      </w:r>
      <w:r>
        <w:rPr>
          <w:rStyle w:val="11"/>
          <w:rFonts w:hint="default" w:ascii="Times New Roman" w:hAnsi="Times New Roman" w:eastAsia="微软雅黑" w:cs="Times New Roman"/>
          <w:b w:val="0"/>
          <w:bCs w:val="0"/>
          <w:i w:val="0"/>
          <w:iCs w:val="0"/>
          <w:color w:val="000000" w:themeColor="text1"/>
          <w:sz w:val="24"/>
          <w:szCs w:val="24"/>
          <w:u w:val="none"/>
          <w:shd w:val="clear" w:color="auto" w:fill="FBFBFB"/>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Wang CL, Liu Q, Gao JH, Sheng H, Ai Q, Shi Y, Zhang DL</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Wang YP</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(2019)</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Sedimentary record of polycyclic aromatic hydrocarbons in mud deposits along the southeastern coast of Liaodong Peninsula and its relation to the anthropogenic and natural activities in the Northeast China. Chemosphere 216</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31–39.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"https://doi.org/10.1016/j.chemosphere.2018.10.093"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https://doi.org/10.1016/j.chemosphere.2018.10.093</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Brewster CS, Sharma VK, Cizmas L</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McDonald TJ</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(2018)</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Occurrence, distribution and composition of aliphatic and polycyclic aromatic hydrocarbons in sediment cores from the Lower Fox River, Wisconsin, US. Environ. Sci</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Pollut Res 25</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(5):</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4974–4988.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"https://doi.org/10.1007/s11356-017-0819-z"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t>https://doi.org/10.1007/s11356-017-0819-z</w:t>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fldChar w:fldCharType="end"/>
      </w:r>
    </w:p>
    <w:p>
      <w:pPr>
        <w:keepNext w:val="0"/>
        <w:keepLines w:val="0"/>
        <w:pageBreakBefore w:val="0"/>
        <w:numPr>
          <w:ilvl w:val="0"/>
          <w:numId w:val="0"/>
        </w:numPr>
        <w:kinsoku/>
        <w:wordWrap/>
        <w:overflowPunct/>
        <w:topLinePunct w:val="0"/>
        <w:bidi w:val="0"/>
        <w:adjustRightInd/>
        <w:snapToGrid/>
        <w:spacing w:line="360" w:lineRule="auto"/>
        <w:ind w:leftChars="0" w:right="0" w:rightChars="0"/>
        <w:jc w:val="both"/>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Silva TR, Lopes SRP, Spörl G, Knoppers BK</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Azevedo DA</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(2013)</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Evaluation of anthropogenic inputs of hydrocarbons in sediment cores from a tropical Brazilian estuarine system. Microchem J</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109</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178–188.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"http://doi.org/10.1016/j.microc.2012.02.012"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http://doi.org/10.1016/j.microc.2012.02.012</w:t>
      </w:r>
      <w:r>
        <w:rPr>
          <w:rStyle w:val="11"/>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cs="Times New Roman"/>
          <w:b w:val="0"/>
          <w:bCs w:val="0"/>
          <w:i w:val="0"/>
          <w:i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Lubecki L, Oen AMP, Breedveld GD</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Zamojska A</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(2019)</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 Vertical profiles of sedimentary polycyclic aromatic hydrocarbons and black carbon in the Gulf of Gdańsk (Poland) and Oslofjord/Drammensfjord (Norway), and their relation to regional energy transitions. Sci</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Total Environ 646</w:t>
      </w:r>
      <w:r>
        <w:rPr>
          <w:rFonts w:hint="default" w:ascii="Times New Roman" w:hAnsi="Times New Roman" w:eastAsia="宋体" w:cs="Times New Roman"/>
          <w:b w:val="0"/>
          <w:bCs w:val="0"/>
          <w:i w:val="0"/>
          <w:iCs w:val="0"/>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b w:val="0"/>
          <w:bCs w:val="0"/>
          <w:i w:val="0"/>
          <w:iCs w:val="0"/>
          <w:color w:val="000000" w:themeColor="text1"/>
          <w:kern w:val="0"/>
          <w:sz w:val="24"/>
          <w:szCs w:val="24"/>
          <w14:textFill>
            <w14:solidFill>
              <w14:schemeClr w14:val="tx1"/>
            </w14:solidFill>
          </w14:textFill>
        </w:rPr>
        <w:t xml:space="preserve">336–346.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"https://doi.org/10.1016/j.scitotenv.2018.07.300"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微软雅黑" w:cs="Times New Roman"/>
          <w:b w:val="0"/>
          <w:bCs w:val="0"/>
          <w:i w:val="0"/>
          <w:iCs w:val="0"/>
          <w:color w:val="000000" w:themeColor="text1"/>
          <w:sz w:val="24"/>
          <w:szCs w:val="24"/>
          <w:shd w:val="clear" w:color="auto" w:fill="FBFBFB"/>
          <w14:textFill>
            <w14:solidFill>
              <w14:schemeClr w14:val="tx1"/>
            </w14:solidFill>
          </w14:textFill>
        </w:rPr>
        <w:t>https://doi.org/10.1016/j.scitotenv.2018.07.300</w:t>
      </w:r>
      <w:r>
        <w:rPr>
          <w:rStyle w:val="11"/>
          <w:rFonts w:hint="default" w:ascii="Times New Roman" w:hAnsi="Times New Roman" w:eastAsia="微软雅黑" w:cs="Times New Roman"/>
          <w:b w:val="0"/>
          <w:bCs w:val="0"/>
          <w:i w:val="0"/>
          <w:iCs w:val="0"/>
          <w:color w:val="000000" w:themeColor="text1"/>
          <w:sz w:val="24"/>
          <w:szCs w:val="24"/>
          <w:shd w:val="clear" w:color="auto" w:fill="FBFBFB"/>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cs="Times New Roman"/>
          <w:b w:val="0"/>
          <w:bCs w:val="0"/>
          <w:i w:val="0"/>
          <w:iCs w:val="0"/>
          <w:color w:val="000000" w:themeColor="text1"/>
          <w:sz w:val="24"/>
          <w:szCs w:val="24"/>
          <w14:textFill>
            <w14:solidFill>
              <w14:schemeClr w14:val="tx1"/>
            </w14:solidFill>
          </w14:textFill>
        </w:rPr>
      </w:pPr>
      <w:r>
        <w:rPr>
          <w:rFonts w:hint="default" w:ascii="Times New Roman" w:hAnsi="Times New Roman" w:cs="Times New Roman"/>
          <w:b w:val="0"/>
          <w:bCs w:val="0"/>
          <w:i w:val="0"/>
          <w:iCs w:val="0"/>
          <w:color w:val="000000" w:themeColor="text1"/>
          <w:sz w:val="24"/>
          <w:szCs w:val="24"/>
          <w14:textFill>
            <w14:solidFill>
              <w14:schemeClr w14:val="tx1"/>
            </w14:solidFill>
          </w14:textFill>
        </w:rPr>
        <w:t>Derrien M, Yang LY</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i w:val="0"/>
          <w:iCs w:val="0"/>
          <w:color w:val="000000" w:themeColor="text1"/>
          <w:sz w:val="24"/>
          <w:szCs w:val="24"/>
          <w14:textFill>
            <w14:solidFill>
              <w14:schemeClr w14:val="tx1"/>
            </w14:solidFill>
          </w14:textFill>
        </w:rPr>
        <w:t xml:space="preserve"> Hur J</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 xml:space="preserve"> (2017)</w:t>
      </w:r>
      <w:r>
        <w:rPr>
          <w:rFonts w:hint="default" w:ascii="Times New Roman" w:hAnsi="Times New Roman" w:cs="Times New Roman"/>
          <w:b w:val="0"/>
          <w:bCs w:val="0"/>
          <w:i w:val="0"/>
          <w:iCs w:val="0"/>
          <w:color w:val="000000" w:themeColor="text1"/>
          <w:sz w:val="24"/>
          <w:szCs w:val="24"/>
          <w14:textFill>
            <w14:solidFill>
              <w14:schemeClr w14:val="tx1"/>
            </w14:solidFill>
          </w14:textFill>
        </w:rPr>
        <w:t xml:space="preserve"> Lipid biomarkers and spectroscopic indices for identifying organic matter sources in aquatic environments: A review. Water Res 112</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i w:val="0"/>
          <w:iCs w:val="0"/>
          <w:color w:val="000000" w:themeColor="text1"/>
          <w:sz w:val="24"/>
          <w:szCs w:val="24"/>
          <w14:textFill>
            <w14:solidFill>
              <w14:schemeClr w14:val="tx1"/>
            </w14:solidFill>
          </w14:textFill>
        </w:rPr>
        <w:t xml:space="preserve">58–71.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"https://doi.org/10.1016/j.watres.2017.01.023" \t "_blank" \o "Persistent link using digital object identifier"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t>https://doi.org/10.1016/j.watres.2017.01.023</w:t>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cs="Times New Roman"/>
          <w:b w:val="0"/>
          <w:bCs w:val="0"/>
          <w:i w:val="0"/>
          <w:iCs w:val="0"/>
          <w:color w:val="000000" w:themeColor="text1"/>
          <w:sz w:val="24"/>
          <w:szCs w:val="24"/>
          <w14:textFill>
            <w14:solidFill>
              <w14:schemeClr w14:val="tx1"/>
            </w14:solidFill>
          </w14:textFill>
        </w:rPr>
      </w:pPr>
      <w:r>
        <w:rPr>
          <w:rFonts w:hint="default" w:ascii="Times New Roman" w:hAnsi="Times New Roman" w:cs="Times New Roman"/>
          <w:b w:val="0"/>
          <w:bCs w:val="0"/>
          <w:i w:val="0"/>
          <w:iCs w:val="0"/>
          <w:color w:val="000000" w:themeColor="text1"/>
          <w:sz w:val="24"/>
          <w:szCs w:val="24"/>
          <w14:textFill>
            <w14:solidFill>
              <w14:schemeClr w14:val="tx1"/>
            </w14:solidFill>
          </w14:textFill>
        </w:rPr>
        <w:t>Seopela MP, McCrindle RI, Combrinck S</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i w:val="0"/>
          <w:iCs w:val="0"/>
          <w:color w:val="000000" w:themeColor="text1"/>
          <w:sz w:val="24"/>
          <w:szCs w:val="24"/>
          <w14:textFill>
            <w14:solidFill>
              <w14:schemeClr w14:val="tx1"/>
            </w14:solidFill>
          </w14:textFill>
        </w:rPr>
        <w:t xml:space="preserve"> Augustyn W</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 xml:space="preserve"> (2020)</w:t>
      </w:r>
      <w:r>
        <w:rPr>
          <w:rFonts w:hint="default" w:ascii="Times New Roman" w:hAnsi="Times New Roman" w:cs="Times New Roman"/>
          <w:b w:val="0"/>
          <w:bCs w:val="0"/>
          <w:i w:val="0"/>
          <w:iCs w:val="0"/>
          <w:color w:val="000000" w:themeColor="text1"/>
          <w:sz w:val="24"/>
          <w:szCs w:val="24"/>
          <w14:textFill>
            <w14:solidFill>
              <w14:schemeClr w14:val="tx1"/>
            </w14:solidFill>
          </w14:textFill>
        </w:rPr>
        <w:t xml:space="preserve"> Occurrence, distribution, spatio-temporal variability and source identification of n-alkanes and polycyclic aromatic hydrocarbons in water and sediment from Loskop dam, South Africa. Water Res</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b w:val="0"/>
          <w:bCs w:val="0"/>
          <w:i w:val="0"/>
          <w:iCs w:val="0"/>
          <w:color w:val="000000" w:themeColor="text1"/>
          <w:sz w:val="24"/>
          <w:szCs w:val="24"/>
          <w14:textFill>
            <w14:solidFill>
              <w14:schemeClr w14:val="tx1"/>
            </w14:solidFill>
          </w14:textFill>
        </w:rPr>
        <w:t>186</w:t>
      </w:r>
      <w:r>
        <w:rPr>
          <w:rFonts w:hint="default" w:ascii="Times New Roman" w:hAnsi="Times New Roman" w:cs="Times New Roman"/>
          <w:b w:val="0"/>
          <w:bCs w:val="0"/>
          <w:i w:val="0"/>
          <w:iCs w:val="0"/>
          <w:color w:val="000000" w:themeColor="text1"/>
          <w:sz w:val="24"/>
          <w:szCs w:val="24"/>
          <w:lang w:val="en-US" w:eastAsia="zh-CN"/>
          <w14:textFill>
            <w14:solidFill>
              <w14:schemeClr w14:val="tx1"/>
            </w14:solidFill>
          </w14:textFill>
        </w:rPr>
        <w:t>:</w:t>
      </w:r>
      <w:r>
        <w:rPr>
          <w:rFonts w:hint="default" w:ascii="Times New Roman" w:hAnsi="Times New Roman" w:cs="Times New Roman"/>
          <w:b w:val="0"/>
          <w:bCs w:val="0"/>
          <w:i w:val="0"/>
          <w:iCs w:val="0"/>
          <w:color w:val="000000" w:themeColor="text1"/>
          <w:sz w:val="24"/>
          <w:szCs w:val="24"/>
          <w14:textFill>
            <w14:solidFill>
              <w14:schemeClr w14:val="tx1"/>
            </w14:solidFill>
          </w14:textFill>
        </w:rPr>
        <w:t>116350.</w:t>
      </w:r>
      <w:r>
        <w:rPr>
          <w:rFonts w:hint="default" w:ascii="Times New Roman" w:hAnsi="Times New Roman" w:eastAsia="宋体" w:cs="Times New Roman"/>
          <w:b w:val="0"/>
          <w:bCs w:val="0"/>
          <w:i w:val="0"/>
          <w:iCs w:val="0"/>
          <w:color w:val="000000" w:themeColor="text1"/>
          <w:sz w:val="24"/>
          <w:szCs w:val="24"/>
          <w14:textFill>
            <w14:solidFill>
              <w14:schemeClr w14:val="tx1"/>
            </w14:solidFill>
          </w14:textFill>
        </w:rPr>
        <w:t xml:space="preserve">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"https://doi.org/10.1016/j.watres.2020.116350"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t>https://doi.org/10.1016/j.watres.2020.116350</w:t>
      </w:r>
      <w:r>
        <w:rPr>
          <w:rStyle w:val="11"/>
          <w:rFonts w:hint="default" w:ascii="Times New Roman" w:hAnsi="Times New Roman" w:cs="Times New Roman"/>
          <w:b w:val="0"/>
          <w:bCs w:val="0"/>
          <w:i w:val="0"/>
          <w:iCs w:val="0"/>
          <w:color w:val="000000" w:themeColor="text1"/>
          <w:sz w:val="24"/>
          <w:szCs w:val="24"/>
          <w14:textFill>
            <w14:solidFill>
              <w14:schemeClr w14:val="tx1"/>
            </w14:solidFill>
          </w14:textFill>
        </w:rPr>
        <w:fldChar w:fldCharType="end"/>
      </w:r>
    </w:p>
    <w:p>
      <w:pPr>
        <w:keepNext w:val="0"/>
        <w:keepLines w:val="0"/>
        <w:pageBreakBefore w:val="0"/>
        <w:widowControl/>
        <w:numPr>
          <w:ilvl w:val="0"/>
          <w:numId w:val="0"/>
        </w:numPr>
        <w:kinsoku/>
        <w:wordWrap/>
        <w:overflowPunct/>
        <w:topLinePunct w:val="0"/>
        <w:bidi w:val="0"/>
        <w:adjustRightInd/>
        <w:snapToGrid/>
        <w:spacing w:line="360" w:lineRule="auto"/>
        <w:ind w:leftChars="0" w:right="0" w:rightChars="0"/>
        <w:jc w:val="both"/>
        <w:rPr>
          <w:rFonts w:hint="default" w:ascii="Times New Roman" w:hAnsi="Times New Roman" w:cs="Times New Roman"/>
          <w:b w:val="0"/>
          <w:bCs w:val="0"/>
          <w:i w:val="0"/>
          <w:iCs w:val="0"/>
          <w:color w:val="000000" w:themeColor="text1"/>
          <w:sz w:val="22"/>
          <w14:textFill>
            <w14:solidFill>
              <w14:schemeClr w14:val="tx1"/>
            </w14:solidFill>
          </w14:textFill>
        </w:rPr>
      </w:pPr>
      <w:r>
        <w:rPr>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Ficken KJ, Li B, Swain DL</w:t>
      </w:r>
      <w:r>
        <w:rPr>
          <w:rFonts w:hint="default" w:ascii="Times New Roman" w:hAnsi="Times New Roman" w:eastAsia="宋体" w:cs="Times New Roman"/>
          <w:b w:val="0"/>
          <w:bCs w:val="0"/>
          <w:i w:val="0"/>
          <w:iCs w:val="0"/>
          <w:color w:val="000000" w:themeColor="text1"/>
          <w:sz w:val="24"/>
          <w:szCs w:val="24"/>
          <w:lang w:val="en-US" w:eastAsia="zh-CN"/>
          <w14:textFill>
            <w14:solidFill>
              <w14:schemeClr w14:val="tx1"/>
            </w14:solidFill>
          </w14:textFill>
        </w:rPr>
        <w:t>,</w:t>
      </w:r>
      <w:r>
        <w:rPr>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 xml:space="preserve"> Eglinton G</w:t>
      </w:r>
      <w:r>
        <w:rPr>
          <w:rFonts w:hint="default" w:ascii="Times New Roman" w:hAnsi="Times New Roman" w:eastAsia="宋体" w:cs="Times New Roman"/>
          <w:b w:val="0"/>
          <w:bCs w:val="0"/>
          <w:i w:val="0"/>
          <w:iCs w:val="0"/>
          <w:color w:val="000000" w:themeColor="text1"/>
          <w:sz w:val="24"/>
          <w:szCs w:val="24"/>
          <w:lang w:val="en-US" w:eastAsia="zh-CN"/>
          <w14:textFill>
            <w14:solidFill>
              <w14:schemeClr w14:val="tx1"/>
            </w14:solidFill>
          </w14:textFill>
        </w:rPr>
        <w:t xml:space="preserve"> (2000)</w:t>
      </w:r>
      <w:r>
        <w:rPr>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 xml:space="preserve"> An n-alkane proxy for the sedimentary input of submerged/floating freshwater aquatic macrophytes. Org Geochem 31</w:t>
      </w:r>
      <w:r>
        <w:rPr>
          <w:rFonts w:hint="default" w:ascii="Times New Roman" w:hAnsi="Times New Roman" w:eastAsia="宋体" w:cs="Times New Roman"/>
          <w:b w:val="0"/>
          <w:bCs w:val="0"/>
          <w:i w:val="0"/>
          <w:iCs w:val="0"/>
          <w:color w:val="000000" w:themeColor="text1"/>
          <w:sz w:val="24"/>
          <w:szCs w:val="24"/>
          <w:lang w:val="en-US" w:eastAsia="zh-CN"/>
          <w14:textFill>
            <w14:solidFill>
              <w14:schemeClr w14:val="tx1"/>
            </w14:solidFill>
          </w14:textFill>
        </w:rPr>
        <w:t>(7):</w:t>
      </w:r>
      <w:r>
        <w:rPr>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745</w:t>
      </w:r>
      <w:r>
        <w:rPr>
          <w:rFonts w:hint="default" w:ascii="Times New Roman" w:hAnsi="Times New Roman" w:cs="Times New Roman"/>
          <w:b w:val="0"/>
          <w:bCs w:val="0"/>
          <w:i w:val="0"/>
          <w:iCs w:val="0"/>
          <w:color w:val="000000" w:themeColor="text1"/>
          <w:sz w:val="24"/>
          <w:szCs w:val="24"/>
          <w14:textFill>
            <w14:solidFill>
              <w14:schemeClr w14:val="tx1"/>
            </w14:solidFill>
          </w14:textFill>
        </w:rPr>
        <w:t>–</w:t>
      </w:r>
      <w:r>
        <w:rPr>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749.</w:t>
      </w:r>
      <w:r>
        <w:rPr>
          <w:rFonts w:hint="default" w:ascii="Times New Roman" w:hAnsi="Times New Roman" w:eastAsia="宋体" w:cs="Times New Roman"/>
          <w:b w:val="0"/>
          <w:bCs w:val="0"/>
          <w:i w:val="0"/>
          <w:iCs w:val="0"/>
          <w:color w:val="000000" w:themeColor="text1"/>
          <w:sz w:val="24"/>
          <w:szCs w:val="24"/>
          <w14:textFill>
            <w14:solidFill>
              <w14:schemeClr w14:val="tx1"/>
            </w14:solidFill>
          </w14:textFill>
        </w:rPr>
        <w:t xml:space="preserve"> </w:t>
      </w:r>
      <w:r>
        <w:rPr>
          <w:rFonts w:hint="default" w:ascii="Times New Roman" w:hAnsi="Times New Roman" w:cs="Times New Roman"/>
          <w:b w:val="0"/>
          <w:bCs w:val="0"/>
          <w:i w:val="0"/>
          <w:iCs w:val="0"/>
          <w:sz w:val="24"/>
          <w:szCs w:val="24"/>
        </w:rPr>
        <w:fldChar w:fldCharType="begin"/>
      </w:r>
      <w:r>
        <w:rPr>
          <w:rFonts w:hint="default" w:ascii="Times New Roman" w:hAnsi="Times New Roman" w:cs="Times New Roman"/>
          <w:b w:val="0"/>
          <w:bCs w:val="0"/>
          <w:i w:val="0"/>
          <w:iCs w:val="0"/>
          <w:sz w:val="24"/>
          <w:szCs w:val="24"/>
        </w:rPr>
        <w:instrText xml:space="preserve"> HYPERLINK "https://doi.org/10.1016/S0146-6380(00)00081-" </w:instrText>
      </w:r>
      <w:r>
        <w:rPr>
          <w:rFonts w:hint="default" w:ascii="Times New Roman" w:hAnsi="Times New Roman" w:cs="Times New Roman"/>
          <w:b w:val="0"/>
          <w:bCs w:val="0"/>
          <w:i w:val="0"/>
          <w:iCs w:val="0"/>
          <w:sz w:val="24"/>
          <w:szCs w:val="24"/>
        </w:rPr>
        <w:fldChar w:fldCharType="separate"/>
      </w:r>
      <w:r>
        <w:rPr>
          <w:rStyle w:val="11"/>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https://doi.org/10.1016/S0146-6380(00)00081-</w:t>
      </w:r>
      <w:r>
        <w:rPr>
          <w:rStyle w:val="11"/>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fldChar w:fldCharType="end"/>
      </w:r>
      <w:r>
        <w:rPr>
          <w:rFonts w:hint="default" w:ascii="Times New Roman" w:hAnsi="Times New Roman" w:eastAsia="PingFangSC-Regular" w:cs="Times New Roman"/>
          <w:b w:val="0"/>
          <w:bCs w:val="0"/>
          <w:i w:val="0"/>
          <w:iCs w:val="0"/>
          <w:color w:val="000000" w:themeColor="text1"/>
          <w:sz w:val="24"/>
          <w:szCs w:val="24"/>
          <w14:textFill>
            <w14:solidFill>
              <w14:schemeClr w14:val="tx1"/>
            </w14:solidFill>
          </w14:textFill>
        </w:rPr>
        <w:t>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vTT887faa2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dvTT883820da.I">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Arial Unicode MS">
    <w:panose1 w:val="020B0604020202020204"/>
    <w:charset w:val="80"/>
    <w:family w:val="swiss"/>
    <w:pitch w:val="default"/>
    <w:sig w:usb0="FFFFFFFF" w:usb1="E9FFFFFF" w:usb2="0000003F" w:usb3="00000000" w:csb0="603F01FF" w:csb1="FFFF0000"/>
  </w:font>
  <w:font w:name="MS Mincho">
    <w:panose1 w:val="02020609040205080304"/>
    <w:charset w:val="80"/>
    <w:family w:val="modern"/>
    <w:pitch w:val="default"/>
    <w:sig w:usb0="E00002FF" w:usb1="6AC7FDFB" w:usb2="00000012" w:usb3="00000000" w:csb0="4002009F" w:csb1="DFD70000"/>
  </w:font>
  <w:font w:name="PingFangSC-Regular">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I2M7AwNbcwNLQwMjNV0lEKTi0uzszPAykwNqwFABCiBW0tAAAA"/>
    <w:docVar w:name="commondata" w:val="eyJoZGlkIjoiMmY4ZGYzMjU4ZjcxOGZlM2FlZjZmZjg3ZTQ5MmE3MDUifQ=="/>
  </w:docVars>
  <w:rsids>
    <w:rsidRoot w:val="005C35C9"/>
    <w:rsid w:val="00004566"/>
    <w:rsid w:val="00005B35"/>
    <w:rsid w:val="00011B16"/>
    <w:rsid w:val="00020B33"/>
    <w:rsid w:val="00035A6B"/>
    <w:rsid w:val="000375D5"/>
    <w:rsid w:val="00041287"/>
    <w:rsid w:val="00044CF8"/>
    <w:rsid w:val="00045F74"/>
    <w:rsid w:val="000463F2"/>
    <w:rsid w:val="0005293C"/>
    <w:rsid w:val="0005437C"/>
    <w:rsid w:val="00057830"/>
    <w:rsid w:val="00064B38"/>
    <w:rsid w:val="00070E8C"/>
    <w:rsid w:val="000A1B43"/>
    <w:rsid w:val="000A39BA"/>
    <w:rsid w:val="000E0A62"/>
    <w:rsid w:val="000F4084"/>
    <w:rsid w:val="0010539D"/>
    <w:rsid w:val="00105BF0"/>
    <w:rsid w:val="00121AA9"/>
    <w:rsid w:val="00125312"/>
    <w:rsid w:val="00171A0C"/>
    <w:rsid w:val="0018617C"/>
    <w:rsid w:val="0019083C"/>
    <w:rsid w:val="00194FAF"/>
    <w:rsid w:val="00196BAE"/>
    <w:rsid w:val="00197800"/>
    <w:rsid w:val="001A3B2F"/>
    <w:rsid w:val="001C7344"/>
    <w:rsid w:val="001D2AA4"/>
    <w:rsid w:val="001D2E1D"/>
    <w:rsid w:val="001D42AC"/>
    <w:rsid w:val="001D4943"/>
    <w:rsid w:val="001D5AAB"/>
    <w:rsid w:val="001E4B0B"/>
    <w:rsid w:val="001E6C32"/>
    <w:rsid w:val="002C789B"/>
    <w:rsid w:val="00307112"/>
    <w:rsid w:val="00307988"/>
    <w:rsid w:val="003108F3"/>
    <w:rsid w:val="00332ADA"/>
    <w:rsid w:val="0037180B"/>
    <w:rsid w:val="003A4834"/>
    <w:rsid w:val="003A5A4C"/>
    <w:rsid w:val="003B013B"/>
    <w:rsid w:val="004150C4"/>
    <w:rsid w:val="00443770"/>
    <w:rsid w:val="0044726A"/>
    <w:rsid w:val="00466681"/>
    <w:rsid w:val="00471818"/>
    <w:rsid w:val="00475C58"/>
    <w:rsid w:val="0048247D"/>
    <w:rsid w:val="004862F6"/>
    <w:rsid w:val="004A41F7"/>
    <w:rsid w:val="004A5D18"/>
    <w:rsid w:val="004C4745"/>
    <w:rsid w:val="005233C9"/>
    <w:rsid w:val="0052519E"/>
    <w:rsid w:val="00534E93"/>
    <w:rsid w:val="00544E42"/>
    <w:rsid w:val="005646BC"/>
    <w:rsid w:val="00574BC0"/>
    <w:rsid w:val="005C35C9"/>
    <w:rsid w:val="005C7DB7"/>
    <w:rsid w:val="005D59F2"/>
    <w:rsid w:val="005F3B9D"/>
    <w:rsid w:val="006206A6"/>
    <w:rsid w:val="00621C0C"/>
    <w:rsid w:val="00623E54"/>
    <w:rsid w:val="0064456C"/>
    <w:rsid w:val="00653609"/>
    <w:rsid w:val="00657A61"/>
    <w:rsid w:val="006602AD"/>
    <w:rsid w:val="006914D4"/>
    <w:rsid w:val="0069564D"/>
    <w:rsid w:val="006A5723"/>
    <w:rsid w:val="006B2FC6"/>
    <w:rsid w:val="006D6429"/>
    <w:rsid w:val="007043CC"/>
    <w:rsid w:val="00760A92"/>
    <w:rsid w:val="007843D2"/>
    <w:rsid w:val="007B7B3A"/>
    <w:rsid w:val="00822AB1"/>
    <w:rsid w:val="00845762"/>
    <w:rsid w:val="00862876"/>
    <w:rsid w:val="00880AA5"/>
    <w:rsid w:val="0089103C"/>
    <w:rsid w:val="008B7DA8"/>
    <w:rsid w:val="008C0522"/>
    <w:rsid w:val="008D0F85"/>
    <w:rsid w:val="009011EA"/>
    <w:rsid w:val="00901420"/>
    <w:rsid w:val="009116DA"/>
    <w:rsid w:val="009133A0"/>
    <w:rsid w:val="0091367C"/>
    <w:rsid w:val="00915BB4"/>
    <w:rsid w:val="0094480F"/>
    <w:rsid w:val="00951863"/>
    <w:rsid w:val="009562F3"/>
    <w:rsid w:val="00981EED"/>
    <w:rsid w:val="009851C6"/>
    <w:rsid w:val="009B1DFC"/>
    <w:rsid w:val="00A00564"/>
    <w:rsid w:val="00A0221C"/>
    <w:rsid w:val="00A32C45"/>
    <w:rsid w:val="00A4539D"/>
    <w:rsid w:val="00A45D74"/>
    <w:rsid w:val="00A60557"/>
    <w:rsid w:val="00A60AF1"/>
    <w:rsid w:val="00A64870"/>
    <w:rsid w:val="00A66CE0"/>
    <w:rsid w:val="00A71E7B"/>
    <w:rsid w:val="00A835B8"/>
    <w:rsid w:val="00AC5CD1"/>
    <w:rsid w:val="00AC7496"/>
    <w:rsid w:val="00AF5F86"/>
    <w:rsid w:val="00B023EC"/>
    <w:rsid w:val="00B037AF"/>
    <w:rsid w:val="00B03A64"/>
    <w:rsid w:val="00B34F7C"/>
    <w:rsid w:val="00B531C8"/>
    <w:rsid w:val="00B73A20"/>
    <w:rsid w:val="00B76E44"/>
    <w:rsid w:val="00B8006D"/>
    <w:rsid w:val="00BB4A5E"/>
    <w:rsid w:val="00BD190D"/>
    <w:rsid w:val="00BE609A"/>
    <w:rsid w:val="00C14182"/>
    <w:rsid w:val="00C23641"/>
    <w:rsid w:val="00C44579"/>
    <w:rsid w:val="00C45297"/>
    <w:rsid w:val="00C64E7E"/>
    <w:rsid w:val="00C80CA7"/>
    <w:rsid w:val="00CA71B8"/>
    <w:rsid w:val="00CC6F98"/>
    <w:rsid w:val="00CE3C1A"/>
    <w:rsid w:val="00CE75B9"/>
    <w:rsid w:val="00D30F54"/>
    <w:rsid w:val="00D44E8C"/>
    <w:rsid w:val="00D50628"/>
    <w:rsid w:val="00D5711D"/>
    <w:rsid w:val="00D62858"/>
    <w:rsid w:val="00D7004A"/>
    <w:rsid w:val="00D80BFA"/>
    <w:rsid w:val="00D836D9"/>
    <w:rsid w:val="00D85AA4"/>
    <w:rsid w:val="00D9561C"/>
    <w:rsid w:val="00DC690D"/>
    <w:rsid w:val="00E162E1"/>
    <w:rsid w:val="00E17EF2"/>
    <w:rsid w:val="00E41AF7"/>
    <w:rsid w:val="00E70555"/>
    <w:rsid w:val="00E95F88"/>
    <w:rsid w:val="00EB3530"/>
    <w:rsid w:val="00ED613C"/>
    <w:rsid w:val="00ED647E"/>
    <w:rsid w:val="00EE1C69"/>
    <w:rsid w:val="00EE3FB1"/>
    <w:rsid w:val="00EF2652"/>
    <w:rsid w:val="00EF2F91"/>
    <w:rsid w:val="00EF3B99"/>
    <w:rsid w:val="00F029FB"/>
    <w:rsid w:val="00F04066"/>
    <w:rsid w:val="00F15540"/>
    <w:rsid w:val="00F24424"/>
    <w:rsid w:val="00F511C2"/>
    <w:rsid w:val="00F927D3"/>
    <w:rsid w:val="00FB00B0"/>
    <w:rsid w:val="00FB6205"/>
    <w:rsid w:val="00FC732F"/>
    <w:rsid w:val="00FD06E0"/>
    <w:rsid w:val="00FD2F41"/>
    <w:rsid w:val="00FD2F48"/>
    <w:rsid w:val="00FD7307"/>
    <w:rsid w:val="04DF4943"/>
    <w:rsid w:val="111B5BC5"/>
    <w:rsid w:val="15B00DDF"/>
    <w:rsid w:val="1AD60DEE"/>
    <w:rsid w:val="1D582FCF"/>
    <w:rsid w:val="1F9D1DB7"/>
    <w:rsid w:val="20DA639E"/>
    <w:rsid w:val="24FC13C0"/>
    <w:rsid w:val="253B7D19"/>
    <w:rsid w:val="2A717C65"/>
    <w:rsid w:val="2AB0436D"/>
    <w:rsid w:val="2EE72F86"/>
    <w:rsid w:val="32071A71"/>
    <w:rsid w:val="376B17F8"/>
    <w:rsid w:val="379A4556"/>
    <w:rsid w:val="397C0964"/>
    <w:rsid w:val="3A722CE9"/>
    <w:rsid w:val="3CEC1FB4"/>
    <w:rsid w:val="3D161F43"/>
    <w:rsid w:val="3D30124F"/>
    <w:rsid w:val="424A4EF5"/>
    <w:rsid w:val="442200CF"/>
    <w:rsid w:val="48266131"/>
    <w:rsid w:val="4A2C6B83"/>
    <w:rsid w:val="4B6A2D12"/>
    <w:rsid w:val="5074335C"/>
    <w:rsid w:val="53433DA5"/>
    <w:rsid w:val="586F4772"/>
    <w:rsid w:val="5E2622B6"/>
    <w:rsid w:val="630D5111"/>
    <w:rsid w:val="67E96CE9"/>
    <w:rsid w:val="6D87196E"/>
    <w:rsid w:val="6EEC50BF"/>
    <w:rsid w:val="722F63FA"/>
    <w:rsid w:val="72CF7208"/>
    <w:rsid w:val="75F72EF2"/>
    <w:rsid w:val="790C3193"/>
    <w:rsid w:val="7C5A2E2C"/>
    <w:rsid w:val="7D341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alloon Text"/>
    <w:basedOn w:val="1"/>
    <w:link w:val="17"/>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unhideWhenUsed/>
    <w:qFormat/>
    <w:uiPriority w:val="99"/>
    <w:rPr>
      <w:color w:val="800080" w:themeColor="followedHyperlink"/>
      <w:u w:val="single"/>
      <w14:textFill>
        <w14:solidFill>
          <w14:schemeClr w14:val="folHlink"/>
        </w14:solidFill>
      </w14:textFill>
    </w:rPr>
  </w:style>
  <w:style w:type="character" w:styleId="10">
    <w:name w:val="Emphasis"/>
    <w:basedOn w:val="8"/>
    <w:qFormat/>
    <w:uiPriority w:val="20"/>
    <w:rPr>
      <w:i/>
      <w:iCs/>
    </w:rPr>
  </w:style>
  <w:style w:type="character" w:styleId="11">
    <w:name w:val="Hyperlink"/>
    <w:basedOn w:val="8"/>
    <w:unhideWhenUsed/>
    <w:qFormat/>
    <w:uiPriority w:val="99"/>
    <w:rPr>
      <w:color w:val="0000FF"/>
      <w:u w:val="single"/>
    </w:rPr>
  </w:style>
  <w:style w:type="character" w:customStyle="1" w:styleId="12">
    <w:name w:val="fontstyle01"/>
    <w:basedOn w:val="8"/>
    <w:qFormat/>
    <w:uiPriority w:val="0"/>
    <w:rPr>
      <w:rFonts w:hint="default" w:ascii="AdvTT887faa2e" w:hAnsi="AdvTT887faa2e"/>
      <w:color w:val="231F20"/>
      <w:sz w:val="14"/>
      <w:szCs w:val="14"/>
    </w:rPr>
  </w:style>
  <w:style w:type="character" w:customStyle="1" w:styleId="13">
    <w:name w:val="fontstyle11"/>
    <w:basedOn w:val="8"/>
    <w:qFormat/>
    <w:uiPriority w:val="0"/>
    <w:rPr>
      <w:rFonts w:hint="default" w:ascii="AdvTT883820da.I" w:hAnsi="AdvTT883820da.I"/>
      <w:color w:val="231F20"/>
      <w:sz w:val="14"/>
      <w:szCs w:val="14"/>
    </w:rPr>
  </w:style>
  <w:style w:type="character" w:customStyle="1" w:styleId="14">
    <w:name w:val="页眉 字符"/>
    <w:basedOn w:val="8"/>
    <w:link w:val="5"/>
    <w:qFormat/>
    <w:uiPriority w:val="99"/>
    <w:rPr>
      <w:sz w:val="18"/>
      <w:szCs w:val="18"/>
    </w:rPr>
  </w:style>
  <w:style w:type="character" w:customStyle="1" w:styleId="15">
    <w:name w:val="页脚 字符"/>
    <w:basedOn w:val="8"/>
    <w:link w:val="4"/>
    <w:qFormat/>
    <w:uiPriority w:val="99"/>
    <w:rPr>
      <w:sz w:val="18"/>
      <w:szCs w:val="18"/>
    </w:rPr>
  </w:style>
  <w:style w:type="paragraph" w:customStyle="1" w:styleId="16">
    <w:name w:val="src"/>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7">
    <w:name w:val="批注框文本 字符"/>
    <w:basedOn w:val="8"/>
    <w:link w:val="3"/>
    <w:semiHidden/>
    <w:qFormat/>
    <w:uiPriority w:val="99"/>
    <w:rPr>
      <w:sz w:val="18"/>
      <w:szCs w:val="18"/>
    </w:rPr>
  </w:style>
  <w:style w:type="character" w:customStyle="1" w:styleId="18">
    <w:name w:val="font11"/>
    <w:basedOn w:val="8"/>
    <w:qFormat/>
    <w:uiPriority w:val="0"/>
    <w:rPr>
      <w:rFonts w:hint="default" w:ascii="Times New Roman" w:hAnsi="Times New Roman" w:cs="Times New Roman"/>
      <w:color w:val="000000"/>
      <w:sz w:val="21"/>
      <w:szCs w:val="21"/>
      <w:u w:val="none"/>
      <w:vertAlign w:val="superscript"/>
    </w:rPr>
  </w:style>
  <w:style w:type="paragraph" w:customStyle="1" w:styleId="19">
    <w:name w:val="正文 A"/>
    <w:qFormat/>
    <w:uiPriority w:val="0"/>
    <w:pPr>
      <w:pBdr>
        <w:top w:val="none" w:color="FFFFFF" w:sz="0" w:space="31"/>
        <w:left w:val="none" w:color="FFFFFF" w:sz="0" w:space="31"/>
        <w:bottom w:val="none" w:color="FFFFFF" w:sz="0" w:space="31"/>
        <w:right w:val="none" w:color="FFFFFF" w:sz="0" w:space="31"/>
      </w:pBdr>
    </w:pPr>
    <w:rPr>
      <w:rFonts w:ascii="Times New Roman" w:hAnsi="Arial Unicode MS" w:eastAsia="Times New Roman"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3.wmf"/><Relationship Id="rId7" Type="http://schemas.openxmlformats.org/officeDocument/2006/relationships/oleObject" Target="embeddings/oleObject2.bin"/><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5.jpeg"/><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njnu</Company>
  <Pages>8</Pages>
  <Words>786</Words>
  <Characters>4878</Characters>
  <Lines>45</Lines>
  <Paragraphs>12</Paragraphs>
  <TotalTime>0</TotalTime>
  <ScaleCrop>false</ScaleCrop>
  <LinksUpToDate>false</LinksUpToDate>
  <CharactersWithSpaces>5553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2021-12-08T02:10:00Z</dcterms:created>
  <dc:creator>admin</dc:creator>
  <cp:lastModifiedBy>wangyanhua</cp:lastModifiedBy>
  <dcterms:modified xsi:type="dcterms:W3CDTF">2022-09-12T05:49:11Z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9CB07BABC35E4F5F8801E48E72312FC7</vt:lpwstr>
  </property>
</Properties>
</file>