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64587" w14:textId="77777777" w:rsidR="006F49E4" w:rsidRDefault="006F49E4" w:rsidP="006F49E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6117">
        <w:rPr>
          <w:rFonts w:ascii="Times New Roman" w:hAnsi="Times New Roman" w:cs="Times New Roman"/>
          <w:b/>
          <w:bCs/>
          <w:sz w:val="24"/>
          <w:szCs w:val="24"/>
        </w:rPr>
        <w:t>Supplemental Figures</w:t>
      </w:r>
    </w:p>
    <w:p w14:paraId="57E62F9F" w14:textId="0AF8102E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BDCFF6" w14:textId="61B6DE8D" w:rsidR="006F49E4" w:rsidRPr="00E94FD2" w:rsidRDefault="00B12269" w:rsidP="006F49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BB71249" wp14:editId="595FEBFA">
            <wp:extent cx="5274310" cy="56216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8853" w14:textId="0A56CB1D" w:rsidR="006F49E4" w:rsidRDefault="00B12269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S1. </w:t>
      </w:r>
      <w:r w:rsidRPr="00E94FD2">
        <w:rPr>
          <w:rFonts w:ascii="Times New Roman" w:hAnsi="Times New Roman" w:cs="Times New Roman"/>
          <w:sz w:val="24"/>
          <w:szCs w:val="24"/>
        </w:rPr>
        <w:t>Study flowchart.</w:t>
      </w:r>
    </w:p>
    <w:p w14:paraId="3EBACA90" w14:textId="1EF9C48A" w:rsidR="00B12269" w:rsidRDefault="00B12269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F5ADE2" w14:textId="42A7B990" w:rsidR="00B12269" w:rsidRPr="00E94FD2" w:rsidRDefault="00B12269" w:rsidP="006F49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A29E64" wp14:editId="7FC7C0AC">
            <wp:extent cx="5274310" cy="30873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D5FA4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A6B0DA4" w14:textId="528E486E" w:rsidR="006F49E4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S2.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sz w:val="24"/>
          <w:szCs w:val="24"/>
        </w:rPr>
        <w:t xml:space="preserve">Confirmation of the association of </w:t>
      </w:r>
      <w:proofErr w:type="spellStart"/>
      <w:r w:rsidRPr="00E94FD2">
        <w:rPr>
          <w:rFonts w:ascii="Times New Roman" w:hAnsi="Times New Roman" w:cs="Times New Roman"/>
          <w:sz w:val="24"/>
          <w:szCs w:val="24"/>
        </w:rPr>
        <w:t>pyroptosis</w:t>
      </w:r>
      <w:proofErr w:type="spellEnd"/>
      <w:r w:rsidRPr="00E94FD2">
        <w:rPr>
          <w:rFonts w:ascii="Times New Roman" w:hAnsi="Times New Roman" w:cs="Times New Roman"/>
          <w:sz w:val="24"/>
          <w:szCs w:val="24"/>
        </w:rPr>
        <w:t xml:space="preserve"> with the overall survival (OS) outcomes among the SKCM patients in the TCGA dataset. (A)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Hazard ratios (HR) for 20 hallmarks of cancer prognosis determined using a forest plot.</w:t>
      </w:r>
      <w:r w:rsidRPr="00E94FD2">
        <w:rPr>
          <w:rFonts w:ascii="Times New Roman" w:hAnsi="Times New Roman" w:cs="Times New Roman"/>
          <w:sz w:val="24"/>
          <w:szCs w:val="24"/>
        </w:rPr>
        <w:t xml:space="preserve"> (B) Kaplan–Meier curves for the patients with high and low </w:t>
      </w:r>
      <w:proofErr w:type="spellStart"/>
      <w:r w:rsidRPr="00E94FD2">
        <w:rPr>
          <w:rFonts w:ascii="Times New Roman" w:hAnsi="Times New Roman" w:cs="Times New Roman"/>
          <w:sz w:val="24"/>
          <w:szCs w:val="24"/>
        </w:rPr>
        <w:t>pyroptosis</w:t>
      </w:r>
      <w:proofErr w:type="spellEnd"/>
      <w:r w:rsidRPr="00E94FD2">
        <w:rPr>
          <w:rFonts w:ascii="Times New Roman" w:hAnsi="Times New Roman" w:cs="Times New Roman"/>
          <w:sz w:val="24"/>
          <w:szCs w:val="24"/>
        </w:rPr>
        <w:t xml:space="preserve"> scores. (C) Comparison of the </w:t>
      </w:r>
      <w:proofErr w:type="spellStart"/>
      <w:r w:rsidRPr="00E94FD2">
        <w:rPr>
          <w:rFonts w:ascii="Times New Roman" w:hAnsi="Times New Roman" w:cs="Times New Roman"/>
          <w:sz w:val="24"/>
          <w:szCs w:val="24"/>
        </w:rPr>
        <w:t>pyroptosis</w:t>
      </w:r>
      <w:proofErr w:type="spellEnd"/>
      <w:r w:rsidRPr="00E94FD2">
        <w:rPr>
          <w:rFonts w:ascii="Times New Roman" w:hAnsi="Times New Roman" w:cs="Times New Roman"/>
          <w:sz w:val="24"/>
          <w:szCs w:val="24"/>
        </w:rPr>
        <w:t xml:space="preserve"> scores in the living and deceased patients.</w:t>
      </w:r>
      <w:r w:rsidRPr="00BF4B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14:paraId="377D7D47" w14:textId="643BD40C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2C698" w14:textId="2AC9A730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1F9A7B" w14:textId="78762371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3AA02F" w14:textId="4F2007E9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DC5182" w14:textId="112FB63B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6EAC47" w14:textId="26D41E80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A2CDF9" w14:textId="2AC48926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CE396A" w14:textId="77777777" w:rsidR="00B12269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11D850" w14:textId="0EA81F06" w:rsidR="00B12269" w:rsidRPr="00E94FD2" w:rsidRDefault="00B12269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03DAAF" wp14:editId="05C430BC">
            <wp:extent cx="5274310" cy="17297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0ECFD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E095A0" w14:textId="77777777" w:rsidR="006F49E4" w:rsidRPr="00E94FD2" w:rsidRDefault="006F49E4" w:rsidP="006F49E4">
      <w:pPr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S3.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sz w:val="24"/>
          <w:szCs w:val="24"/>
        </w:rPr>
        <w:t>Selection of the optimal soft-threshold power and clustered dendrogram of the genes identified by WGCNA. (A) Calculation of the scale-free index for different soft-threshold powers (β). (B) Calculation of the mean connectivity for different soft-threshold powers. (C) Clustered dendrogram for differentially expressed genes.</w:t>
      </w:r>
    </w:p>
    <w:p w14:paraId="7FD914A8" w14:textId="74327551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FA62B3" w14:textId="77777777" w:rsidR="006F49E4" w:rsidRPr="00E94FD2" w:rsidRDefault="006F49E4" w:rsidP="006F49E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94FD2">
        <w:rPr>
          <w:rFonts w:ascii="Times New Roman" w:hAnsi="Times New Roman" w:cs="Times New Roman"/>
          <w:sz w:val="24"/>
          <w:szCs w:val="24"/>
        </w:rPr>
        <w:br w:type="page"/>
      </w:r>
    </w:p>
    <w:p w14:paraId="38EC8481" w14:textId="56715512" w:rsidR="00B12269" w:rsidRDefault="00B12269" w:rsidP="0099518A">
      <w:pPr>
        <w:keepNext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D03814" wp14:editId="1199DAF3">
            <wp:extent cx="2438400" cy="19558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935A2" w14:textId="7391BC2A" w:rsidR="006F49E4" w:rsidRPr="00E94FD2" w:rsidRDefault="006F49E4" w:rsidP="006F49E4">
      <w:pPr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S4.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sz w:val="24"/>
          <w:szCs w:val="24"/>
        </w:rPr>
        <w:t xml:space="preserve">Principal component analysis for the expression of </w:t>
      </w:r>
      <w:proofErr w:type="spellStart"/>
      <w:r w:rsidRPr="00E94FD2">
        <w:rPr>
          <w:rFonts w:ascii="Times New Roman" w:hAnsi="Times New Roman" w:cs="Times New Roman"/>
          <w:sz w:val="24"/>
          <w:szCs w:val="24"/>
        </w:rPr>
        <w:t>pyroptosis</w:t>
      </w:r>
      <w:proofErr w:type="spellEnd"/>
      <w:r w:rsidRPr="00E94FD2">
        <w:rPr>
          <w:rFonts w:ascii="Times New Roman" w:hAnsi="Times New Roman" w:cs="Times New Roman"/>
          <w:sz w:val="24"/>
          <w:szCs w:val="24"/>
        </w:rPr>
        <w:t>-related regulators that distinguish the PGS-low (n = 39) from the PGS-high (n = 38) SKCM patient groups in the GSE54467 dataset.</w:t>
      </w:r>
    </w:p>
    <w:p w14:paraId="437B6211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6DF453" w14:textId="4ECB97F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2FF4C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8FD38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73BCA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2D8456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3A8373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D1B310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CF2FF2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6F4D86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FDFC34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C1075F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448EFF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2E8B0D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995754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B7F0AF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9921C5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1653F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860431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5BB1A2" w14:textId="77777777" w:rsidR="006F49E4" w:rsidRPr="00E94FD2" w:rsidRDefault="006F49E4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A418E" w14:textId="68C8273E" w:rsidR="006F49E4" w:rsidRPr="00E94FD2" w:rsidRDefault="00B12269" w:rsidP="006F49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5F1509" wp14:editId="1D40AFAA">
            <wp:extent cx="5274310" cy="166814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1DD26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S5.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sz w:val="24"/>
          <w:szCs w:val="24"/>
        </w:rPr>
        <w:t xml:space="preserve">Validation of the PGS score in the GSE19234 dataset. (A) Kaplan–Meier 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</w:t>
      </w:r>
      <w:r w:rsidRPr="00E94FD2">
        <w:rPr>
          <w:rFonts w:ascii="Times New Roman" w:hAnsi="Times New Roman" w:cs="Times New Roman"/>
          <w:sz w:val="24"/>
          <w:szCs w:val="24"/>
        </w:rPr>
        <w:t xml:space="preserve">curves for the SKCM patients in PGS-high and -low groups. (B) Comparison of the PGS scores 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in the living and deceased patients</w:t>
      </w:r>
      <w:r w:rsidRPr="00E94FD2">
        <w:rPr>
          <w:rFonts w:ascii="Times New Roman" w:hAnsi="Times New Roman" w:cs="Times New Roman"/>
          <w:sz w:val="24"/>
          <w:szCs w:val="24"/>
        </w:rPr>
        <w:t xml:space="preserve">. (C) </w:t>
      </w:r>
      <w:r w:rsidRPr="00E94FD2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Time-dependent ROC curves at 1, 3 and 5 years.</w:t>
      </w:r>
      <w:r w:rsidRPr="00056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0.05.</w:t>
      </w:r>
    </w:p>
    <w:p w14:paraId="113DB840" w14:textId="77777777" w:rsidR="006F49E4" w:rsidRPr="00056117" w:rsidRDefault="006F49E4" w:rsidP="006F49E4">
      <w:pPr>
        <w:keepNext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D220A2" w14:textId="54D9879A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3A8EDE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878DFA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5E738F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83F037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A361D2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EC883B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33428F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8D3CFD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69BC55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6ADDA0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C5074F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B646C6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C61B68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1639D2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B533B6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8DA1DD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875F78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6663AC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0A9898" w14:textId="7666F558" w:rsidR="006F49E4" w:rsidRPr="00E94FD2" w:rsidRDefault="00B12269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A72CB6" wp14:editId="52BF1F85">
            <wp:extent cx="5274310" cy="21558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CFAA0" w14:textId="77777777" w:rsidR="006F49E4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02F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3C3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S6.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（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A-B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）</w:t>
      </w:r>
      <w:r w:rsidRPr="00E94FD2">
        <w:rPr>
          <w:rFonts w:ascii="Times New Roman" w:hAnsi="Times New Roman" w:cs="Times New Roman"/>
          <w:sz w:val="24"/>
          <w:szCs w:val="24"/>
        </w:rPr>
        <w:t xml:space="preserve">Evaluation of immune cell infiltration using </w:t>
      </w:r>
      <w:proofErr w:type="spellStart"/>
      <w:r w:rsidRPr="00E94FD2">
        <w:rPr>
          <w:rFonts w:ascii="Times New Roman" w:hAnsi="Times New Roman" w:cs="Times New Roman"/>
          <w:sz w:val="24"/>
          <w:szCs w:val="24"/>
        </w:rPr>
        <w:t>MCPcount</w:t>
      </w:r>
      <w:proofErr w:type="spellEnd"/>
      <w:r w:rsidRPr="00E94FD2">
        <w:rPr>
          <w:rFonts w:ascii="Times New Roman" w:hAnsi="Times New Roman" w:cs="Times New Roman"/>
          <w:sz w:val="24"/>
          <w:szCs w:val="24"/>
        </w:rPr>
        <w:t xml:space="preserve">  and </w:t>
      </w:r>
      <w:proofErr w:type="spellStart"/>
      <w:r w:rsidRPr="00E94FD2">
        <w:rPr>
          <w:rFonts w:ascii="Times New Roman" w:hAnsi="Times New Roman" w:cs="Times New Roman"/>
          <w:sz w:val="24"/>
          <w:szCs w:val="24"/>
        </w:rPr>
        <w:t>Cibersort</w:t>
      </w:r>
      <w:proofErr w:type="spellEnd"/>
      <w:r w:rsidRPr="00E94FD2">
        <w:rPr>
          <w:rFonts w:ascii="Times New Roman" w:hAnsi="Times New Roman" w:cs="Times New Roman"/>
          <w:sz w:val="24"/>
          <w:szCs w:val="24"/>
        </w:rPr>
        <w:t xml:space="preserve"> in the PGS-low and -high groups.</w:t>
      </w:r>
      <w:r w:rsidRPr="00056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0.01, ***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14:paraId="7A77AC2E" w14:textId="77777777" w:rsidR="006F49E4" w:rsidRPr="00056117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155BAB" w14:textId="559FD4FD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6A8BCF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24825220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36956BDE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1D58001D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5409118E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7AF35730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6464CE23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0A44FEBE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13ED7354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176E08C1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7352802B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3F0BEA55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47298A55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1FACB559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3FB5E256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3FB8D043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301A7E12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03634951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13005490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0EB8CB44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625AB6F5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4D29CB3E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5766D520" w14:textId="77777777" w:rsidR="006F49E4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1F0B1108" w14:textId="77777777" w:rsidR="006F49E4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069922AC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3BD3CDE4" w14:textId="39160AC4" w:rsidR="006F49E4" w:rsidRPr="00E94FD2" w:rsidRDefault="00B12269" w:rsidP="006F49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4253CA" wp14:editId="11CD277D">
            <wp:extent cx="5274310" cy="4112895"/>
            <wp:effectExtent l="0" t="0" r="254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E8084" w14:textId="77777777" w:rsidR="006F49E4" w:rsidRPr="00E94FD2" w:rsidRDefault="006F49E4" w:rsidP="006F49E4">
      <w:pPr>
        <w:rPr>
          <w:rFonts w:ascii="Times New Roman" w:hAnsi="Times New Roman" w:cs="Times New Roman"/>
          <w:sz w:val="24"/>
          <w:szCs w:val="24"/>
        </w:rPr>
      </w:pPr>
    </w:p>
    <w:p w14:paraId="40E515E1" w14:textId="77777777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65F9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Pr="002D65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S7.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Correlation between the </w:t>
      </w:r>
      <w:r w:rsidRPr="00E94FD2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PGS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score and stromal cell infiltration. (A)  Interrelationship between </w:t>
      </w:r>
      <w:proofErr w:type="spellStart"/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pyroptosis</w:t>
      </w:r>
      <w:proofErr w:type="spellEnd"/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cancer hallmarks. (B) Interrelationship between the PGS score and various stromal cell types. (C) </w:t>
      </w:r>
      <w:bookmarkStart w:id="0" w:name="_Hlk101422402"/>
      <w:r w:rsidRPr="00E94FD2">
        <w:rPr>
          <w:rFonts w:ascii="Times New Roman" w:hAnsi="Times New Roman" w:cs="Times New Roman"/>
          <w:sz w:val="24"/>
          <w:szCs w:val="24"/>
        </w:rPr>
        <w:t>Multivariate Cox regression analysis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identify various prognostic stromal cell types in a HR forest plot.</w:t>
      </w:r>
      <w:bookmarkEnd w:id="0"/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(D)  Infiltration level of 11 stromal cell types </w:t>
      </w:r>
      <w:r w:rsidRPr="00E94FD2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in the PGS-low and -high groups</w:t>
      </w:r>
      <w:r w:rsidRPr="00E94F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9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Statistical analysis: 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0.01, *** </w:t>
      </w:r>
      <w:r w:rsidRPr="00D545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A30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14:paraId="2F852EFB" w14:textId="4F076D1F" w:rsidR="006F49E4" w:rsidRPr="00E94FD2" w:rsidRDefault="006F49E4" w:rsidP="006F49E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7E0C3D" w14:textId="2A21F4D2" w:rsidR="00F2637F" w:rsidRDefault="00F2637F" w:rsidP="006F49E4"/>
    <w:sectPr w:rsidR="00F2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2818C" w14:textId="77777777" w:rsidR="00F907F7" w:rsidRDefault="00F907F7" w:rsidP="006F49E4">
      <w:r>
        <w:separator/>
      </w:r>
    </w:p>
  </w:endnote>
  <w:endnote w:type="continuationSeparator" w:id="0">
    <w:p w14:paraId="6045DAC4" w14:textId="77777777" w:rsidR="00F907F7" w:rsidRDefault="00F907F7" w:rsidP="006F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d86a71d2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8EE47" w14:textId="77777777" w:rsidR="00F907F7" w:rsidRDefault="00F907F7" w:rsidP="006F49E4">
      <w:r>
        <w:separator/>
      </w:r>
    </w:p>
  </w:footnote>
  <w:footnote w:type="continuationSeparator" w:id="0">
    <w:p w14:paraId="33CEA5EF" w14:textId="77777777" w:rsidR="00F907F7" w:rsidRDefault="00F907F7" w:rsidP="006F4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63"/>
    <w:rsid w:val="001B149E"/>
    <w:rsid w:val="005D5AB2"/>
    <w:rsid w:val="006F49E4"/>
    <w:rsid w:val="0089292A"/>
    <w:rsid w:val="00901B92"/>
    <w:rsid w:val="0099518A"/>
    <w:rsid w:val="00A76F63"/>
    <w:rsid w:val="00B12269"/>
    <w:rsid w:val="00B972ED"/>
    <w:rsid w:val="00F2637F"/>
    <w:rsid w:val="00F9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2292A"/>
  <w15:chartTrackingRefBased/>
  <w15:docId w15:val="{90655854-BCBF-4FC8-953E-0C0CC346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4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4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49E4"/>
    <w:rPr>
      <w:sz w:val="18"/>
      <w:szCs w:val="18"/>
    </w:rPr>
  </w:style>
  <w:style w:type="character" w:customStyle="1" w:styleId="fontstyle21">
    <w:name w:val="fontstyle21"/>
    <w:basedOn w:val="a0"/>
    <w:rsid w:val="006F49E4"/>
    <w:rPr>
      <w:rFonts w:ascii="AdvOTd86a71d2" w:hAnsi="AdvOTd86a71d2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zhoubinying@outlook.com</dc:creator>
  <cp:keywords/>
  <dc:description/>
  <cp:lastModifiedBy>Sha Shanshan</cp:lastModifiedBy>
  <cp:revision>7</cp:revision>
  <dcterms:created xsi:type="dcterms:W3CDTF">2022-07-18T10:57:00Z</dcterms:created>
  <dcterms:modified xsi:type="dcterms:W3CDTF">2022-07-21T15:38:00Z</dcterms:modified>
</cp:coreProperties>
</file>