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8853" w14:textId="429FED56" w:rsidR="006F49E4" w:rsidRDefault="00B12269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S1. </w:t>
      </w:r>
      <w:r w:rsidRPr="00E94FD2">
        <w:rPr>
          <w:rFonts w:ascii="Times New Roman" w:hAnsi="Times New Roman" w:cs="Times New Roman"/>
          <w:sz w:val="24"/>
          <w:szCs w:val="24"/>
        </w:rPr>
        <w:t>Study flowchart.</w:t>
      </w:r>
    </w:p>
    <w:p w14:paraId="3EBACA90" w14:textId="1EF9C48A" w:rsidR="00B12269" w:rsidRDefault="00B12269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6B0DA4" w14:textId="5259049B" w:rsidR="006F49E4" w:rsidRDefault="00B5485E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F49E4"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S2.</w:t>
      </w:r>
      <w:r w:rsidR="006F49E4"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9E4" w:rsidRPr="00E94FD2">
        <w:rPr>
          <w:rFonts w:ascii="Times New Roman" w:hAnsi="Times New Roman" w:cs="Times New Roman"/>
          <w:sz w:val="24"/>
          <w:szCs w:val="24"/>
        </w:rPr>
        <w:t>Confirmation of the association of pyroptosis with the overall survival (OS) outcomes among the SKCM patients in the TCGA dataset. (A)</w:t>
      </w:r>
      <w:r w:rsidR="006F49E4"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Hazard ratios (HR) for 20 hallmarks of cancer prognosis determined using a forest plot.</w:t>
      </w:r>
      <w:r w:rsidR="006F49E4" w:rsidRPr="00E94FD2">
        <w:rPr>
          <w:rFonts w:ascii="Times New Roman" w:hAnsi="Times New Roman" w:cs="Times New Roman"/>
          <w:sz w:val="24"/>
          <w:szCs w:val="24"/>
        </w:rPr>
        <w:t xml:space="preserve"> (B) Kaplan–Meier curves for the patients with high and low pyroptosis scores. (C) Comparison of the pyroptosis scores in the living and deceased patients.</w:t>
      </w:r>
      <w:r w:rsidR="006F49E4" w:rsidRPr="00BF4B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9E4"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="006F49E4"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*** </w:t>
      </w:r>
      <w:r w:rsidR="006F49E4"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6F49E4"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377D7D47" w14:textId="643BD40C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E095A0" w14:textId="1D6F9147" w:rsidR="006F49E4" w:rsidRPr="00E94FD2" w:rsidRDefault="006F49E4" w:rsidP="006F49E4">
      <w:pPr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S3.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>Selection of the optimal soft-threshold power and clustered dendrogram of the genes identified by WGCNA. (A) Calculation of the scale-free index for different soft-threshold powers (β). (B) Calculation of the mean connectivity for different soft-threshold powers. (C) Clustered dendrogram for differentially expressed genes.</w:t>
      </w:r>
    </w:p>
    <w:p w14:paraId="7FD914A8" w14:textId="74327551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A935A2" w14:textId="0520AC03" w:rsidR="006F49E4" w:rsidRPr="00E94FD2" w:rsidRDefault="006F49E4" w:rsidP="001773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S4.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>Principal component analysis for the expression of pyroptosis-related regulators that distinguish the PGS-low (n = 39) from the PGS-high (n = 38) SKCM patient groups in the GSE54467 dataset.</w:t>
      </w:r>
    </w:p>
    <w:p w14:paraId="437B6211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1DD26" w14:textId="5C362616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S5.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 xml:space="preserve">Validation of the PGS score in the GSE19234 dataset. (A) Kaplan–Meier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</w:t>
      </w:r>
      <w:r w:rsidRPr="00E94FD2">
        <w:rPr>
          <w:rFonts w:ascii="Times New Roman" w:hAnsi="Times New Roman" w:cs="Times New Roman"/>
          <w:sz w:val="24"/>
          <w:szCs w:val="24"/>
        </w:rPr>
        <w:t xml:space="preserve">curves for the SKCM patients in PGS-high and -low groups. (B) Comparison of the PGS scores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in the living and deceased patients</w:t>
      </w:r>
      <w:r w:rsidRPr="00E94FD2">
        <w:rPr>
          <w:rFonts w:ascii="Times New Roman" w:hAnsi="Times New Roman" w:cs="Times New Roman"/>
          <w:sz w:val="24"/>
          <w:szCs w:val="24"/>
        </w:rPr>
        <w:t xml:space="preserve">. (C)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Time-dependent ROC curves at 1, 3 and 5 years.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</w:t>
      </w:r>
    </w:p>
    <w:p w14:paraId="1126770F" w14:textId="77777777" w:rsidR="00177351" w:rsidRDefault="00177351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8CFAA0" w14:textId="66060CD0" w:rsidR="006F49E4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S6.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（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A-B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）</w:t>
      </w:r>
      <w:r w:rsidRPr="00E94FD2">
        <w:rPr>
          <w:rFonts w:ascii="Times New Roman" w:hAnsi="Times New Roman" w:cs="Times New Roman"/>
          <w:sz w:val="24"/>
          <w:szCs w:val="24"/>
        </w:rPr>
        <w:t>Evaluation of immune cell infiltration using MCPcount  and Cibersort in the PGS-low and -high groups.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03DF4D53" w14:textId="77777777" w:rsidR="00177351" w:rsidRDefault="00177351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E515E1" w14:textId="15CD666E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65F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2D6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S7.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Correlation between the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PGS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score and stromal cell infiltration. (A)  Interrelationship between pyroptosis and cancer hallmarks. (B) Interrelationship between the PGS score and various stromal cell types. (C) </w:t>
      </w:r>
      <w:bookmarkStart w:id="0" w:name="_Hlk101422402"/>
      <w:r w:rsidRPr="00E94FD2">
        <w:rPr>
          <w:rFonts w:ascii="Times New Roman" w:hAnsi="Times New Roman" w:cs="Times New Roman"/>
          <w:sz w:val="24"/>
          <w:szCs w:val="24"/>
        </w:rPr>
        <w:t>Multivariate Cox regression analysis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identify various prognostic stromal cell types in a HR forest plot.</w:t>
      </w:r>
      <w:bookmarkEnd w:id="0"/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(D)  Infiltration level of 11 stromal cell types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 the PGS-low and -high groups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2F852EFB" w14:textId="7D112535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7E0C3D" w14:textId="2A21F4D2" w:rsidR="00F2637F" w:rsidRDefault="00F2637F" w:rsidP="006F49E4"/>
    <w:sectPr w:rsidR="00F2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504EA" w14:textId="77777777" w:rsidR="003F6648" w:rsidRDefault="003F6648" w:rsidP="006F49E4">
      <w:r>
        <w:separator/>
      </w:r>
    </w:p>
  </w:endnote>
  <w:endnote w:type="continuationSeparator" w:id="0">
    <w:p w14:paraId="4060E108" w14:textId="77777777" w:rsidR="003F6648" w:rsidRDefault="003F6648" w:rsidP="006F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d86a71d2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4051" w14:textId="77777777" w:rsidR="003F6648" w:rsidRDefault="003F6648" w:rsidP="006F49E4">
      <w:r>
        <w:separator/>
      </w:r>
    </w:p>
  </w:footnote>
  <w:footnote w:type="continuationSeparator" w:id="0">
    <w:p w14:paraId="64D04426" w14:textId="77777777" w:rsidR="003F6648" w:rsidRDefault="003F6648" w:rsidP="006F4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63"/>
    <w:rsid w:val="00177351"/>
    <w:rsid w:val="001B149E"/>
    <w:rsid w:val="00204AE7"/>
    <w:rsid w:val="003F6648"/>
    <w:rsid w:val="006F49E4"/>
    <w:rsid w:val="0089292A"/>
    <w:rsid w:val="00901B92"/>
    <w:rsid w:val="00A76F63"/>
    <w:rsid w:val="00B12269"/>
    <w:rsid w:val="00B5485E"/>
    <w:rsid w:val="00F2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2292A"/>
  <w15:chartTrackingRefBased/>
  <w15:docId w15:val="{90655854-BCBF-4FC8-953E-0C0CC346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4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49E4"/>
    <w:rPr>
      <w:sz w:val="18"/>
      <w:szCs w:val="18"/>
    </w:rPr>
  </w:style>
  <w:style w:type="character" w:customStyle="1" w:styleId="fontstyle21">
    <w:name w:val="fontstyle21"/>
    <w:basedOn w:val="a0"/>
    <w:rsid w:val="006F49E4"/>
    <w:rPr>
      <w:rFonts w:ascii="AdvOTd86a71d2" w:hAnsi="AdvOTd86a71d2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zhoubinying@outlook.com</dc:creator>
  <cp:keywords/>
  <dc:description/>
  <cp:lastModifiedBy>Sha Shanshan</cp:lastModifiedBy>
  <cp:revision>6</cp:revision>
  <dcterms:created xsi:type="dcterms:W3CDTF">2022-07-18T10:57:00Z</dcterms:created>
  <dcterms:modified xsi:type="dcterms:W3CDTF">2022-07-29T09:15:00Z</dcterms:modified>
</cp:coreProperties>
</file>