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1C0DD" w14:textId="77777777" w:rsidR="00B12E01" w:rsidRPr="00425DF7" w:rsidRDefault="00B12E01" w:rsidP="00B12E01">
      <w:pPr>
        <w:pStyle w:val="Heading3"/>
        <w:rPr>
          <w:rFonts w:ascii="Times New Roman" w:hAnsi="Times New Roman" w:cs="Times New Roman"/>
          <w:color w:val="000000" w:themeColor="text1"/>
        </w:rPr>
      </w:pPr>
      <w:r w:rsidRPr="00425DF7">
        <w:rPr>
          <w:rFonts w:ascii="Times New Roman" w:hAnsi="Times New Roman" w:cs="Times New Roman"/>
          <w:color w:val="000000" w:themeColor="text1"/>
        </w:rPr>
        <w:t>Supplementary Information</w:t>
      </w:r>
    </w:p>
    <w:p w14:paraId="0260B86E" w14:textId="77777777" w:rsidR="00B12E01" w:rsidRPr="00425DF7" w:rsidRDefault="00B12E01" w:rsidP="00B12E01">
      <w:pPr>
        <w:pStyle w:val="Heading4"/>
        <w:rPr>
          <w:rFonts w:ascii="Times New Roman" w:hAnsi="Times New Roman" w:cs="Times New Roman"/>
          <w:color w:val="000000" w:themeColor="text1"/>
        </w:rPr>
      </w:pPr>
      <w:bookmarkStart w:id="0" w:name="supplementary-methods"/>
      <w:r w:rsidRPr="00425DF7">
        <w:rPr>
          <w:rFonts w:ascii="Times New Roman" w:hAnsi="Times New Roman" w:cs="Times New Roman"/>
          <w:color w:val="000000" w:themeColor="text1"/>
        </w:rPr>
        <w:t>Supplementary Methods</w:t>
      </w:r>
    </w:p>
    <w:p w14:paraId="538FF4C7" w14:textId="77777777" w:rsidR="00B12E01" w:rsidRPr="00B12E01" w:rsidRDefault="00B12E01" w:rsidP="00B12E01">
      <w:pPr>
        <w:pStyle w:val="FirstParagraph"/>
        <w:rPr>
          <w:rFonts w:ascii="Times New Roman" w:hAnsi="Times New Roman" w:cs="Times New Roman"/>
          <w:b/>
          <w:bCs/>
          <w:color w:val="000000" w:themeColor="text1"/>
        </w:rPr>
      </w:pPr>
      <w:r w:rsidRPr="00B12E01">
        <w:rPr>
          <w:rFonts w:ascii="Times New Roman" w:hAnsi="Times New Roman" w:cs="Times New Roman"/>
          <w:b/>
          <w:bCs/>
          <w:color w:val="000000" w:themeColor="text1"/>
        </w:rPr>
        <w:t>Data</w:t>
      </w:r>
    </w:p>
    <w:p w14:paraId="54AE6590"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Abundance data were downloaded from the Ecological Register (</w:t>
      </w:r>
      <w:hyperlink r:id="rId4">
        <w:r w:rsidRPr="00425DF7">
          <w:rPr>
            <w:rStyle w:val="Hyperlink"/>
            <w:rFonts w:ascii="Times New Roman" w:hAnsi="Times New Roman" w:cs="Times New Roman"/>
            <w:color w:val="000000" w:themeColor="text1"/>
          </w:rPr>
          <w:t>http://ecoregister.org</w:t>
        </w:r>
      </w:hyperlink>
      <w:r w:rsidRPr="00425DF7">
        <w:rPr>
          <w:rFonts w:ascii="Times New Roman" w:hAnsi="Times New Roman" w:cs="Times New Roman"/>
          <w:color w:val="000000" w:themeColor="text1"/>
        </w:rPr>
        <w:t xml:space="preserve">) on 7 June 2020 for mist-netted bats and birds from the Neotropics, defined as all areas in the western hemisphere south of the Tropic of Cancer (23.44˚N). We also downloaded Register metadata for the species and sites in the abundance data, including coordinates and habitat alteration categories for sites and dietary guild assignments for species. Guild assignments were based on a large set of recently published papers. These </w:t>
      </w:r>
      <w:proofErr w:type="spellStart"/>
      <w:r w:rsidRPr="00425DF7">
        <w:rPr>
          <w:rFonts w:ascii="Times New Roman" w:hAnsi="Times New Roman" w:cs="Times New Roman"/>
          <w:color w:val="000000" w:themeColor="text1"/>
        </w:rPr>
        <w:t>categorisations</w:t>
      </w:r>
      <w:proofErr w:type="spellEnd"/>
      <w:r w:rsidRPr="00425DF7">
        <w:rPr>
          <w:rFonts w:ascii="Times New Roman" w:hAnsi="Times New Roman" w:cs="Times New Roman"/>
          <w:color w:val="000000" w:themeColor="text1"/>
        </w:rPr>
        <w:t xml:space="preserve"> are based on primary literature, with the most recently published and detailed assignments being drawn automatically from the database by the website’s downloading routine. The status of each site is based on the ‘</w:t>
      </w:r>
      <w:proofErr w:type="spellStart"/>
      <w:r w:rsidRPr="00425DF7">
        <w:rPr>
          <w:rFonts w:ascii="Times New Roman" w:hAnsi="Times New Roman" w:cs="Times New Roman"/>
          <w:color w:val="000000" w:themeColor="text1"/>
        </w:rPr>
        <w:t>altered.habitat</w:t>
      </w:r>
      <w:proofErr w:type="spellEnd"/>
      <w:r w:rsidRPr="00425DF7">
        <w:rPr>
          <w:rFonts w:ascii="Times New Roman" w:hAnsi="Times New Roman" w:cs="Times New Roman"/>
          <w:color w:val="000000" w:themeColor="text1"/>
        </w:rPr>
        <w:t>’ field in the site metadata, which is empty if the site is intact and filled with a land use category if the site is altered. Altered sites included cropland, disturbed forest, fragment, pasture, plantation, secondary forest, inhabited area, and combined categories</w:t>
      </w:r>
      <w:r w:rsidRPr="00425DF7">
        <w:rPr>
          <w:rFonts w:ascii="Times New Roman" w:hAnsi="Times New Roman" w:cs="Times New Roman"/>
          <w:color w:val="000000" w:themeColor="text1"/>
          <w:vertAlign w:val="superscript"/>
        </w:rPr>
        <w:t>63</w:t>
      </w:r>
      <w:r w:rsidRPr="00425DF7">
        <w:rPr>
          <w:rFonts w:ascii="Times New Roman" w:hAnsi="Times New Roman" w:cs="Times New Roman"/>
          <w:color w:val="000000" w:themeColor="text1"/>
        </w:rPr>
        <w:t>, and none of them had sufficient sites to be evaluated individually.</w:t>
      </w:r>
    </w:p>
    <w:p w14:paraId="417B2C0A"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The Ecological Register provides methodologically consistent abundance data. Thus, sampling and reporting were </w:t>
      </w:r>
      <w:proofErr w:type="spellStart"/>
      <w:r w:rsidRPr="00425DF7">
        <w:rPr>
          <w:rFonts w:ascii="Times New Roman" w:hAnsi="Times New Roman" w:cs="Times New Roman"/>
          <w:color w:val="000000" w:themeColor="text1"/>
        </w:rPr>
        <w:t>standardised</w:t>
      </w:r>
      <w:proofErr w:type="spellEnd"/>
      <w:r w:rsidRPr="00425DF7">
        <w:rPr>
          <w:rFonts w:ascii="Times New Roman" w:hAnsi="Times New Roman" w:cs="Times New Roman"/>
          <w:color w:val="000000" w:themeColor="text1"/>
        </w:rPr>
        <w:t xml:space="preserve"> across the samples: all were mist-netted samples with consistent mesh size, harp net samples were excluded, and almost all nets were placed at ground level. Every sample consisted of a minimum of 20 individuals, and most sites had more than 50, with the median number of individuals per sample being 208 for bats and 254 for birds. Samples were combined if they were less than 1 km from one another, sourced from the same study, and represented the same habitat and alteration category. The combined data set consisted of 56</w:t>
      </w:r>
      <w:r>
        <w:rPr>
          <w:rFonts w:ascii="Times New Roman" w:hAnsi="Times New Roman" w:cs="Times New Roman"/>
          <w:color w:val="000000" w:themeColor="text1"/>
        </w:rPr>
        <w:t>,</w:t>
      </w:r>
      <w:r w:rsidRPr="00425DF7">
        <w:rPr>
          <w:rFonts w:ascii="Times New Roman" w:hAnsi="Times New Roman" w:cs="Times New Roman"/>
          <w:color w:val="000000" w:themeColor="text1"/>
        </w:rPr>
        <w:t>737 bat and 49</w:t>
      </w:r>
      <w:r>
        <w:rPr>
          <w:rFonts w:ascii="Times New Roman" w:hAnsi="Times New Roman" w:cs="Times New Roman"/>
          <w:color w:val="000000" w:themeColor="text1"/>
        </w:rPr>
        <w:t>,</w:t>
      </w:r>
      <w:r w:rsidRPr="00425DF7">
        <w:rPr>
          <w:rFonts w:ascii="Times New Roman" w:hAnsi="Times New Roman" w:cs="Times New Roman"/>
          <w:color w:val="000000" w:themeColor="text1"/>
        </w:rPr>
        <w:t>099 bird individuals constituting 2</w:t>
      </w:r>
      <w:r>
        <w:rPr>
          <w:rFonts w:ascii="Times New Roman" w:hAnsi="Times New Roman" w:cs="Times New Roman"/>
          <w:color w:val="000000" w:themeColor="text1"/>
        </w:rPr>
        <w:t>,</w:t>
      </w:r>
      <w:r w:rsidRPr="00425DF7">
        <w:rPr>
          <w:rFonts w:ascii="Times New Roman" w:hAnsi="Times New Roman" w:cs="Times New Roman"/>
          <w:color w:val="000000" w:themeColor="text1"/>
        </w:rPr>
        <w:t>396 bat and 4</w:t>
      </w:r>
      <w:r>
        <w:rPr>
          <w:rFonts w:ascii="Times New Roman" w:hAnsi="Times New Roman" w:cs="Times New Roman"/>
          <w:color w:val="000000" w:themeColor="text1"/>
        </w:rPr>
        <w:t>,</w:t>
      </w:r>
      <w:r w:rsidRPr="00425DF7">
        <w:rPr>
          <w:rFonts w:ascii="Times New Roman" w:hAnsi="Times New Roman" w:cs="Times New Roman"/>
          <w:color w:val="000000" w:themeColor="text1"/>
        </w:rPr>
        <w:t>371 bird records from 132 and 91 sites, respectively.</w:t>
      </w:r>
    </w:p>
    <w:p w14:paraId="2D555699"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lastRenderedPageBreak/>
        <w:t>The geographic layout of sites can influence the results of any community ecology analysis, including co-occurrence analysis. For instance, if sites are clustered in two regions with no sites in between, there is a possibility that the co-occurrence structure of the assemblage will reflect this clustered layout by creating strong aggregations within the clusters and segregations between clusters. Ideally, we would like to have even sampling over our entire study area, but when this is not possible, we must at least make sure that any comparisons are not influenced by geographic sampling bias. One way to achieve this is to ensure that the sites used to calculate co-occurrences have roughly the same geographic coverage when comparing different types of sites.</w:t>
      </w:r>
    </w:p>
    <w:p w14:paraId="3DE7F2B0"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In this paper, the study extent covers Central and South America south of the Tropic of Cancer. This includes large swathes of the Brazilian Amazon, where there are no samples in altered habitats. As a result, the intact sites cover more area than the altered sites, and the geographic coverage of the latter is nested within that of the former. To correct for these biases before calculating co-occurrences, we removed the intact sites covering areas that were not covered by altered sites using the following algorithm: (1) we measured the distance to the closest altered site for all intact sites and vice versa; (2) we found the altered site farthest from its closest intact site; (3) we removed all intact sites whose closest altered neighbors were farther than the distance in step 2. Note that this approach only works because the geographic coverages are nested; site types that are offset in space would require a different approach. The resulting dataset had 1</w:t>
      </w:r>
      <w:r>
        <w:rPr>
          <w:rFonts w:ascii="Times New Roman" w:hAnsi="Times New Roman" w:cs="Times New Roman"/>
          <w:color w:val="000000" w:themeColor="text1"/>
        </w:rPr>
        <w:t>,</w:t>
      </w:r>
      <w:r w:rsidRPr="00425DF7">
        <w:rPr>
          <w:rFonts w:ascii="Times New Roman" w:hAnsi="Times New Roman" w:cs="Times New Roman"/>
          <w:color w:val="000000" w:themeColor="text1"/>
        </w:rPr>
        <w:t>876 occurrences of bats and 3</w:t>
      </w:r>
      <w:r>
        <w:rPr>
          <w:rFonts w:ascii="Times New Roman" w:hAnsi="Times New Roman" w:cs="Times New Roman"/>
          <w:color w:val="000000" w:themeColor="text1"/>
        </w:rPr>
        <w:t>,</w:t>
      </w:r>
      <w:r w:rsidRPr="00425DF7">
        <w:rPr>
          <w:rFonts w:ascii="Times New Roman" w:hAnsi="Times New Roman" w:cs="Times New Roman"/>
          <w:color w:val="000000" w:themeColor="text1"/>
        </w:rPr>
        <w:t>986 occurrences of birds at 106 and 84 sites, respectively. Our original and final sites are plotted in Extended Data Fig. 1.</w:t>
      </w:r>
    </w:p>
    <w:p w14:paraId="0656323E" w14:textId="77777777" w:rsidR="00B12E01" w:rsidRPr="00B12E01" w:rsidRDefault="00B12E01" w:rsidP="00B12E01">
      <w:pPr>
        <w:pStyle w:val="BodyText"/>
        <w:spacing w:line="480" w:lineRule="auto"/>
        <w:rPr>
          <w:rFonts w:ascii="Times New Roman" w:hAnsi="Times New Roman" w:cs="Times New Roman"/>
          <w:b/>
          <w:bCs/>
          <w:color w:val="000000" w:themeColor="text1"/>
        </w:rPr>
      </w:pPr>
      <w:r w:rsidRPr="00B12E01">
        <w:rPr>
          <w:rFonts w:ascii="Times New Roman" w:hAnsi="Times New Roman" w:cs="Times New Roman"/>
          <w:b/>
          <w:bCs/>
          <w:color w:val="000000" w:themeColor="text1"/>
        </w:rPr>
        <w:t>Performance of the NHD parameter</w:t>
      </w:r>
    </w:p>
    <w:p w14:paraId="33D22202"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To demonstrate the </w:t>
      </w:r>
      <w:proofErr w:type="spellStart"/>
      <w:r w:rsidRPr="00425DF7">
        <w:rPr>
          <w:rFonts w:ascii="Times New Roman" w:hAnsi="Times New Roman" w:cs="Times New Roman"/>
          <w:color w:val="000000" w:themeColor="text1"/>
        </w:rPr>
        <w:t>behaviour</w:t>
      </w:r>
      <w:proofErr w:type="spellEnd"/>
      <w:r w:rsidRPr="00425DF7">
        <w:rPr>
          <w:rFonts w:ascii="Times New Roman" w:hAnsi="Times New Roman" w:cs="Times New Roman"/>
          <w:color w:val="000000" w:themeColor="text1"/>
        </w:rPr>
        <w:t xml:space="preserve"> of the NHD, we calculate how the distribution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(the number of sites in which co-occurrence is observed) values varies when the underlying association </w:t>
      </w:r>
      <w:r w:rsidRPr="00425DF7">
        <w:rPr>
          <w:rFonts w:ascii="Times New Roman" w:hAnsi="Times New Roman" w:cs="Times New Roman"/>
          <w:color w:val="000000" w:themeColor="text1"/>
        </w:rPr>
        <w:lastRenderedPageBreak/>
        <w:t xml:space="preserve">ranges from strong repulsion to strong attraction (i.e.,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ranging from -2 to 2). For these simulations, we used occurrence values that span most species in our datasets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oMath>
      <w:r w:rsidRPr="00425DF7">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oMath>
      <w:r w:rsidRPr="00425DF7">
        <w:rPr>
          <w:rFonts w:ascii="Times New Roman" w:hAnsi="Times New Roman" w:cs="Times New Roman"/>
          <w:color w:val="000000" w:themeColor="text1"/>
        </w:rPr>
        <w:t xml:space="preserve"> ranging from 2 to 8; Extended Data Figure 3). The total number of sites was set at 50, which is similar to the values for the bird and bat datasets we analysed. Aside from demonstrating that increases in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correspond to higher probabilities of more frequent co-occurrences, as we would expect from a reliable metric, two noteworthy observations arise from these calculations. First, if occurrences of the two species are low relative to the total number of sites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425DF7">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425DF7">
        <w:rPr>
          <w:rFonts w:ascii="Times New Roman" w:hAnsi="Times New Roman" w:cs="Times New Roman"/>
          <w:color w:val="000000" w:themeColor="text1"/>
        </w:rPr>
        <w:t xml:space="preserve"> is the most likely outcome even when </w:t>
      </w:r>
      <m:oMath>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425DF7">
        <w:rPr>
          <w:rFonts w:ascii="Times New Roman" w:hAnsi="Times New Roman" w:cs="Times New Roman"/>
          <w:color w:val="000000" w:themeColor="text1"/>
        </w:rPr>
        <w:t xml:space="preserve">, which corresponds to over 7-fold higher odds of species B occurring at a site if species A is present (solid red line in Extended Data Figure 3). Second, as the numbers of sites occupied by the two species increases, the distribution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values exhibits a greater shift in mode with changes in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425DF7">
        <w:rPr>
          <w:rFonts w:ascii="Times New Roman" w:hAnsi="Times New Roman" w:cs="Times New Roman"/>
          <w:color w:val="000000" w:themeColor="text1"/>
        </w:rPr>
        <w:t xml:space="preserve">, the mode for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remains at 0 for all three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values (-2, 0, 2), whereas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r>
          <w:rPr>
            <w:rFonts w:ascii="Cambria Math" w:hAnsi="Cambria Math" w:cs="Times New Roman"/>
            <w:color w:val="000000" w:themeColor="text1"/>
          </w:rPr>
          <m:t>8</m:t>
        </m:r>
      </m:oMath>
      <w:r w:rsidRPr="00425DF7">
        <w:rPr>
          <w:rFonts w:ascii="Times New Roman" w:hAnsi="Times New Roman" w:cs="Times New Roman"/>
          <w:color w:val="000000" w:themeColor="text1"/>
        </w:rPr>
        <w:t xml:space="preserve">, the mode shifts from 0 (at </w:t>
      </w:r>
      <m:oMath>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425DF7">
        <w:rPr>
          <w:rFonts w:ascii="Times New Roman" w:hAnsi="Times New Roman" w:cs="Times New Roman"/>
          <w:color w:val="000000" w:themeColor="text1"/>
        </w:rPr>
        <w:t xml:space="preserve">) to 4 (at </w:t>
      </w:r>
      <m:oMath>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2</m:t>
        </m:r>
      </m:oMath>
      <w:r w:rsidRPr="00425DF7">
        <w:rPr>
          <w:rFonts w:ascii="Times New Roman" w:hAnsi="Times New Roman" w:cs="Times New Roman"/>
          <w:color w:val="000000" w:themeColor="text1"/>
        </w:rPr>
        <w:t>).</w:t>
      </w:r>
    </w:p>
    <w:p w14:paraId="1F6F6405" w14:textId="77777777" w:rsidR="00B12E01"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To understand how maximum likelihood of the NHD behaves in relation to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we take logarithms of both sides of Eq. 1a, and differentiate with respect to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yielding an expression for what is known as the </w:t>
      </w:r>
      <w:r w:rsidRPr="00425DF7">
        <w:rPr>
          <w:rFonts w:ascii="Times New Roman" w:hAnsi="Times New Roman" w:cs="Times New Roman"/>
          <w:i/>
          <w:iCs/>
          <w:color w:val="000000" w:themeColor="text1"/>
        </w:rPr>
        <w:t>score</w:t>
      </w:r>
      <w:r w:rsidRPr="00425DF7">
        <w:rPr>
          <w:rFonts w:ascii="Times New Roman" w:hAnsi="Times New Roman" w:cs="Times New Roman"/>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42"/>
      </w:tblGrid>
      <w:tr w:rsidR="00B12E01" w14:paraId="6ABBA92D" w14:textId="77777777" w:rsidTr="00173228">
        <w:tc>
          <w:tcPr>
            <w:tcW w:w="7508" w:type="dxa"/>
          </w:tcPr>
          <w:p w14:paraId="0F5CDDA0" w14:textId="77777777" w:rsidR="00B12E01" w:rsidRPr="0081696A" w:rsidRDefault="00000000" w:rsidP="00173228">
            <w:pPr>
              <w:pStyle w:val="BodyText"/>
              <w:spacing w:line="480" w:lineRule="auto"/>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∂log</m:t>
                    </m:r>
                    <m:r>
                      <w:rPr>
                        <w:rFonts w:ascii="Cambria Math" w:hAnsi="Cambria Math" w:cs="Times New Roman"/>
                        <w:color w:val="000000" w:themeColor="text1"/>
                      </w:rPr>
                      <m:t>f</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t>
                        </m:r>
                        <m:r>
                          <w:rPr>
                            <w:rFonts w:ascii="Cambria Math" w:hAnsi="Cambria Math" w:cs="Times New Roman"/>
                            <w:color w:val="000000" w:themeColor="text1"/>
                          </w:rPr>
                          <m:t>θ</m:t>
                        </m:r>
                      </m:e>
                    </m:d>
                  </m:num>
                  <m:den>
                    <m:r>
                      <m:rPr>
                        <m:sty m:val="p"/>
                      </m:rPr>
                      <w:rPr>
                        <w:rFonts w:ascii="Cambria Math" w:hAnsi="Cambria Math" w:cs="Times New Roman"/>
                        <w:color w:val="000000" w:themeColor="text1"/>
                      </w:rPr>
                      <m:t>∂</m:t>
                    </m:r>
                    <m:r>
                      <w:rPr>
                        <w:rFonts w:ascii="Cambria Math" w:hAnsi="Cambria Math" w:cs="Times New Roman"/>
                        <w:color w:val="000000" w:themeColor="text1"/>
                      </w:rPr>
                      <m:t>θ</m:t>
                    </m:r>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1</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0</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oMath>
            </m:oMathPara>
          </w:p>
        </w:tc>
        <w:tc>
          <w:tcPr>
            <w:tcW w:w="1842" w:type="dxa"/>
            <w:vAlign w:val="center"/>
          </w:tcPr>
          <w:p w14:paraId="78AEF360" w14:textId="77777777" w:rsidR="00B12E01" w:rsidRDefault="00B12E01" w:rsidP="00173228">
            <w:pPr>
              <w:pStyle w:val="BodyText"/>
              <w:jc w:val="center"/>
              <w:rPr>
                <w:rFonts w:ascii="Times New Roman" w:hAnsi="Times New Roman" w:cs="Times New Roman"/>
                <w:color w:val="000000" w:themeColor="text1"/>
              </w:rPr>
            </w:pPr>
            <w:r>
              <w:rPr>
                <w:rFonts w:ascii="Times New Roman" w:hAnsi="Times New Roman" w:cs="Times New Roman"/>
                <w:color w:val="000000" w:themeColor="text1"/>
              </w:rPr>
              <w:t>Eq. S1</w:t>
            </w:r>
          </w:p>
        </w:tc>
      </w:tr>
    </w:tbl>
    <w:p w14:paraId="3C561491" w14:textId="77777777" w:rsidR="00B12E01" w:rsidRPr="00425DF7" w:rsidRDefault="00B12E01" w:rsidP="00B12E01">
      <w:pPr>
        <w:pStyle w:val="FirstParagraph"/>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1</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0</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oMath>
      <w:r w:rsidRPr="00425DF7">
        <w:rPr>
          <w:rFonts w:ascii="Times New Roman" w:hAnsi="Times New Roman" w:cs="Times New Roman"/>
          <w:color w:val="000000" w:themeColor="text1"/>
        </w:rPr>
        <w:t xml:space="preserve"> (see Eq. 1b) is the average number of co-occurrences for the NHD</w:t>
      </w:r>
      <w:r w:rsidRPr="00425DF7">
        <w:rPr>
          <w:rFonts w:ascii="Times New Roman" w:hAnsi="Times New Roman" w:cs="Times New Roman"/>
          <w:color w:val="000000" w:themeColor="text1"/>
          <w:vertAlign w:val="superscript"/>
        </w:rPr>
        <w:t>56</w:t>
      </w:r>
      <w:r w:rsidRPr="00425DF7">
        <w:rPr>
          <w:rFonts w:ascii="Times New Roman" w:hAnsi="Times New Roman" w:cs="Times New Roman"/>
          <w:color w:val="000000" w:themeColor="text1"/>
        </w:rPr>
        <w:t xml:space="preserve">. Given that the maximum likelihood for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w:t>
      </w:r>
      <m:oMath>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oMath>
      <w:r w:rsidRPr="00425DF7">
        <w:rPr>
          <w:rFonts w:ascii="Times New Roman" w:hAnsi="Times New Roman" w:cs="Times New Roman"/>
          <w:color w:val="000000" w:themeColor="text1"/>
        </w:rPr>
        <w:t xml:space="preserve">, is achieved when </w:t>
      </w:r>
      <m:oMath>
        <m:r>
          <m:rPr>
            <m:sty m:val="p"/>
          </m:rPr>
          <w:rPr>
            <w:rFonts w:ascii="Cambria Math" w:hAnsi="Cambria Math" w:cs="Times New Roman"/>
            <w:color w:val="000000" w:themeColor="text1"/>
          </w:rPr>
          <m:t>∂log</m:t>
        </m:r>
        <m:r>
          <w:rPr>
            <w:rFonts w:ascii="Cambria Math" w:hAnsi="Cambria Math" w:cs="Times New Roman"/>
            <w:color w:val="000000" w:themeColor="text1"/>
          </w:rPr>
          <m:t>f</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t>
            </m:r>
            <m:r>
              <w:rPr>
                <w:rFonts w:ascii="Cambria Math" w:hAnsi="Cambria Math" w:cs="Times New Roman"/>
                <w:color w:val="000000" w:themeColor="text1"/>
              </w:rPr>
              <m:t>θ</m:t>
            </m:r>
          </m:e>
        </m:d>
        <m:r>
          <m:rPr>
            <m:sty m:val="p"/>
          </m:rPr>
          <w:rPr>
            <w:rFonts w:ascii="Cambria Math" w:hAnsi="Cambria Math" w:cs="Times New Roman"/>
            <w:color w:val="000000" w:themeColor="text1"/>
          </w:rPr>
          <m:t>/∂</m:t>
        </m:r>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425DF7">
        <w:rPr>
          <w:rFonts w:ascii="Times New Roman" w:hAnsi="Times New Roman" w:cs="Times New Roman"/>
          <w:color w:val="000000" w:themeColor="text1"/>
        </w:rPr>
        <w:t xml:space="preserve">, Eq. S1 implies that </w:t>
      </w:r>
      <m:oMath>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oMath>
      <w:r w:rsidRPr="00425DF7">
        <w:rPr>
          <w:rFonts w:ascii="Times New Roman" w:hAnsi="Times New Roman" w:cs="Times New Roman"/>
          <w:color w:val="000000" w:themeColor="text1"/>
        </w:rPr>
        <w:t xml:space="preserve"> corresponds to the NHD with a mean equal to the observed number of co-occurrences,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(While there is no exact analytical expression for this mean, accurate approximations have </w:t>
      </w:r>
      <w:r w:rsidRPr="00425DF7">
        <w:rPr>
          <w:rFonts w:ascii="Times New Roman" w:hAnsi="Times New Roman" w:cs="Times New Roman"/>
          <w:color w:val="000000" w:themeColor="text1"/>
        </w:rPr>
        <w:lastRenderedPageBreak/>
        <w:t>been derived</w:t>
      </w:r>
      <w:r w:rsidRPr="00425DF7">
        <w:rPr>
          <w:rFonts w:ascii="Times New Roman" w:hAnsi="Times New Roman" w:cs="Times New Roman"/>
          <w:color w:val="000000" w:themeColor="text1"/>
          <w:vertAlign w:val="superscript"/>
        </w:rPr>
        <w:t>64</w:t>
      </w:r>
      <w:r w:rsidRPr="00425DF7">
        <w:rPr>
          <w:rFonts w:ascii="Times New Roman" w:hAnsi="Times New Roman" w:cs="Times New Roman"/>
          <w:color w:val="000000" w:themeColor="text1"/>
        </w:rPr>
        <w:t xml:space="preserve">.) Because the mean of the distribution cannot be equal to its minimum or maximum value if there is more than one possible number of co-occurrences, the estimate of </w:t>
      </w:r>
      <m:oMath>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oMath>
      <w:r w:rsidRPr="00425DF7">
        <w:rPr>
          <w:rFonts w:ascii="Times New Roman" w:hAnsi="Times New Roman" w:cs="Times New Roman"/>
          <w:color w:val="000000" w:themeColor="text1"/>
        </w:rPr>
        <w:t xml:space="preserve"> inferred from a single observation is biologically uninformative whenever the observed number of co-occurring sites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is equal to the minimum or maximum possible values. For example, when one species is only found where the other is present (i.e., </w:t>
      </w:r>
      <m:oMath>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r>
          <m:rPr>
            <m:sty m:val="p"/>
          </m:rPr>
          <w:rPr>
            <w:rFonts w:ascii="Cambria Math" w:hAnsi="Cambria Math" w:cs="Times New Roman"/>
            <w:color w:val="000000" w:themeColor="text1"/>
          </w:rPr>
          <m:t>=∞</m:t>
        </m:r>
      </m:oMath>
      <w:r w:rsidRPr="00425DF7">
        <w:rPr>
          <w:rFonts w:ascii="Times New Roman" w:hAnsi="Times New Roman" w:cs="Times New Roman"/>
          <w:color w:val="000000" w:themeColor="text1"/>
        </w:rPr>
        <w:t xml:space="preserve"> if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=min</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e>
        </m:d>
      </m:oMath>
      <w:r w:rsidRPr="00425DF7">
        <w:rPr>
          <w:rFonts w:ascii="Times New Roman" w:hAnsi="Times New Roman" w:cs="Times New Roman"/>
          <w:color w:val="000000" w:themeColor="text1"/>
        </w:rPr>
        <w:t xml:space="preserve">) or when a pair has no co-occurrences (i.e., </w:t>
      </w:r>
      <m:oMath>
        <m:acc>
          <m:accPr>
            <m:ctrlPr>
              <w:rPr>
                <w:rFonts w:ascii="Cambria Math" w:hAnsi="Cambria Math" w:cs="Times New Roman"/>
                <w:color w:val="000000" w:themeColor="text1"/>
              </w:rPr>
            </m:ctrlPr>
          </m:accPr>
          <m:e>
            <m:r>
              <w:rPr>
                <w:rFonts w:ascii="Cambria Math" w:hAnsi="Cambria Math" w:cs="Times New Roman"/>
                <w:color w:val="000000" w:themeColor="text1"/>
              </w:rPr>
              <m:t>θ</m:t>
            </m:r>
          </m:e>
        </m:acc>
        <m:r>
          <m:rPr>
            <m:sty m:val="p"/>
          </m:rPr>
          <w:rPr>
            <w:rFonts w:ascii="Cambria Math" w:hAnsi="Cambria Math" w:cs="Times New Roman"/>
            <w:color w:val="000000" w:themeColor="text1"/>
          </w:rPr>
          <m:t>=-∞</m:t>
        </m:r>
      </m:oMath>
      <w:r w:rsidRPr="00425DF7">
        <w:rPr>
          <w:rFonts w:ascii="Times New Roman" w:hAnsi="Times New Roman" w:cs="Times New Roman"/>
          <w:color w:val="000000" w:themeColor="text1"/>
        </w:rPr>
        <w:t xml:space="preserve"> if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=max</m:t>
        </m:r>
        <m:d>
          <m:dPr>
            <m:ctrlPr>
              <w:rPr>
                <w:rFonts w:ascii="Cambria Math" w:hAnsi="Cambria Math" w:cs="Times New Roman"/>
                <w:color w:val="000000" w:themeColor="text1"/>
              </w:rPr>
            </m:ctrlPr>
          </m:dPr>
          <m:e>
            <m:r>
              <w:rPr>
                <w:rFonts w:ascii="Cambria Math" w:hAnsi="Cambria Math" w:cs="Times New Roman"/>
                <w:color w:val="000000" w:themeColor="text1"/>
              </w:rPr>
              <m:t>0</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d>
                  <m:dPr>
                    <m:ctrlPr>
                      <w:rPr>
                        <w:rFonts w:ascii="Cambria Math" w:hAnsi="Cambria Math" w:cs="Times New Roman"/>
                        <w:color w:val="000000" w:themeColor="text1"/>
                      </w:rPr>
                    </m:ctrlPr>
                  </m:dPr>
                  <m:e>
                    <m:r>
                      <w:rPr>
                        <w:rFonts w:ascii="Cambria Math" w:hAnsi="Cambria Math" w:cs="Times New Roman"/>
                        <w:color w:val="000000" w:themeColor="text1"/>
                      </w:rPr>
                      <m:t>A</m:t>
                    </m:r>
                  </m:e>
                </m:d>
              </m:sub>
            </m:sSub>
          </m:e>
        </m:d>
      </m:oMath>
      <w:r w:rsidRPr="00425DF7">
        <w:rPr>
          <w:rFonts w:ascii="Times New Roman" w:hAnsi="Times New Roman" w:cs="Times New Roman"/>
          <w:color w:val="000000" w:themeColor="text1"/>
        </w:rPr>
        <w:t xml:space="preserve">). While this behaviour is desirable because it means that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accurately represents co-occurrence configurations that cannot statistically provide biological information, it highlights an overarching difficulty of traditional co-occurrence analysis: namely, that such edge cases are extremely common in most empirical datasets.</w:t>
      </w:r>
    </w:p>
    <w:p w14:paraId="4D5FC3C2" w14:textId="77777777" w:rsidR="00B12E01"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These analyses bring to the forefront a key question: how reliably can we estimate species association using occurrence data alone? Our capacity to infer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from observations is fundamentally constrained by the Fisher Information, which is the variance of the score</w:t>
      </w:r>
      <w:r w:rsidRPr="00425DF7">
        <w:rPr>
          <w:rFonts w:ascii="Times New Roman" w:hAnsi="Times New Roman" w:cs="Times New Roman"/>
          <w:color w:val="000000" w:themeColor="text1"/>
          <w:vertAlign w:val="superscript"/>
        </w:rPr>
        <w:t>58</w:t>
      </w:r>
      <w:r w:rsidRPr="00425DF7">
        <w:rPr>
          <w:rFonts w:ascii="Times New Roman" w:hAnsi="Times New Roman" w:cs="Times New Roman"/>
          <w:color w:val="000000" w:themeColor="text1"/>
        </w:rPr>
        <w:t xml:space="preserve">. We can </w:t>
      </w:r>
      <w:proofErr w:type="spellStart"/>
      <w:r w:rsidRPr="00425DF7">
        <w:rPr>
          <w:rFonts w:ascii="Times New Roman" w:hAnsi="Times New Roman" w:cs="Times New Roman"/>
          <w:color w:val="000000" w:themeColor="text1"/>
        </w:rPr>
        <w:t>characterise</w:t>
      </w:r>
      <w:proofErr w:type="spellEnd"/>
      <w:r w:rsidRPr="00425DF7">
        <w:rPr>
          <w:rFonts w:ascii="Times New Roman" w:hAnsi="Times New Roman" w:cs="Times New Roman"/>
          <w:color w:val="000000" w:themeColor="text1"/>
        </w:rPr>
        <w:t xml:space="preserve"> how the Fisher information varies with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w:t>
      </w:r>
      <m:oMath>
        <m:r>
          <w:rPr>
            <w:rFonts w:ascii="Cambria Math" w:hAnsi="Cambria Math" w:cs="Times New Roman"/>
            <w:color w:val="000000" w:themeColor="text1"/>
          </w:rPr>
          <m:t>I</m:t>
        </m:r>
        <m:d>
          <m:dPr>
            <m:ctrlPr>
              <w:rPr>
                <w:rFonts w:ascii="Cambria Math" w:hAnsi="Cambria Math" w:cs="Times New Roman"/>
                <w:color w:val="000000" w:themeColor="text1"/>
              </w:rPr>
            </m:ctrlPr>
          </m:dPr>
          <m:e>
            <m:r>
              <w:rPr>
                <w:rFonts w:ascii="Cambria Math" w:hAnsi="Cambria Math" w:cs="Times New Roman"/>
                <w:color w:val="000000" w:themeColor="text1"/>
              </w:rPr>
              <m:t>θ</m:t>
            </m:r>
          </m:e>
        </m:d>
      </m:oMath>
      <w:r w:rsidRPr="00425DF7">
        <w:rPr>
          <w:rFonts w:ascii="Times New Roman" w:hAnsi="Times New Roman" w:cs="Times New Roman"/>
          <w:color w:val="000000" w:themeColor="text1"/>
        </w:rPr>
        <w:t>, by combining Eqs. 1 and S1: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42"/>
      </w:tblGrid>
      <w:tr w:rsidR="00B12E01" w14:paraId="62282540" w14:textId="77777777" w:rsidTr="00173228">
        <w:tc>
          <w:tcPr>
            <w:tcW w:w="7508" w:type="dxa"/>
          </w:tcPr>
          <w:p w14:paraId="6DE5D572" w14:textId="77777777" w:rsidR="00B12E01" w:rsidRPr="0081696A" w:rsidRDefault="00B12E01" w:rsidP="00173228">
            <w:pPr>
              <w:pStyle w:val="BodyText"/>
              <w:spacing w:line="480" w:lineRule="auto"/>
              <w:rPr>
                <w:rFonts w:ascii="Times New Roman" w:eastAsiaTheme="minorEastAsia" w:hAnsi="Times New Roman" w:cs="Times New Roman"/>
                <w:color w:val="000000" w:themeColor="text1"/>
              </w:rPr>
            </w:pPr>
            <m:oMathPara>
              <m:oMathParaPr>
                <m:jc m:val="center"/>
              </m:oMathParaPr>
              <m:oMath>
                <m:r>
                  <w:rPr>
                    <w:rFonts w:ascii="Cambria Math" w:hAnsi="Cambria Math" w:cs="Times New Roman"/>
                    <w:color w:val="000000" w:themeColor="text1"/>
                  </w:rPr>
                  <m:t>I</m:t>
                </m:r>
                <m:d>
                  <m:dPr>
                    <m:ctrlPr>
                      <w:rPr>
                        <w:rFonts w:ascii="Cambria Math" w:hAnsi="Cambria Math" w:cs="Times New Roman"/>
                        <w:color w:val="000000" w:themeColor="text1"/>
                      </w:rPr>
                    </m:ctrlPr>
                  </m:dPr>
                  <m:e>
                    <m:r>
                      <w:rPr>
                        <w:rFonts w:ascii="Cambria Math" w:hAnsi="Cambria Math" w:cs="Times New Roman"/>
                        <w:color w:val="000000" w:themeColor="text1"/>
                      </w:rPr>
                      <m:t>θ</m:t>
                    </m:r>
                  </m:e>
                </m:d>
                <m:r>
                  <m:rPr>
                    <m:sty m:val="p"/>
                  </m:rPr>
                  <w:rPr>
                    <w:rFonts w:ascii="Cambria Math" w:hAnsi="Cambria Math" w:cs="Times New Roman"/>
                    <w:color w:val="000000" w:themeColor="text1"/>
                  </w:rPr>
                  <m:t>=</m:t>
                </m:r>
                <m:r>
                  <w:rPr>
                    <w:rFonts w:ascii="Cambria Math" w:hAnsi="Cambria Math" w:cs="Times New Roman"/>
                    <w:color w:val="000000" w:themeColor="text1"/>
                  </w:rPr>
                  <m:t>E</m:t>
                </m:r>
                <m:d>
                  <m:dPr>
                    <m:begChr m:val="["/>
                    <m:endChr m:val="]"/>
                    <m:ctrlPr>
                      <w:rPr>
                        <w:rFonts w:ascii="Cambria Math" w:hAnsi="Cambria Math" w:cs="Times New Roman"/>
                        <w:color w:val="000000" w:themeColor="text1"/>
                      </w:rPr>
                    </m:ctrlPr>
                  </m:dPr>
                  <m:e>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∂log</m:t>
                                </m:r>
                                <m:r>
                                  <w:rPr>
                                    <w:rFonts w:ascii="Cambria Math" w:hAnsi="Cambria Math" w:cs="Times New Roman"/>
                                    <w:color w:val="000000" w:themeColor="text1"/>
                                  </w:rPr>
                                  <m:t>f</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t>
                                    </m:r>
                                    <m:r>
                                      <w:rPr>
                                        <w:rFonts w:ascii="Cambria Math" w:hAnsi="Cambria Math" w:cs="Times New Roman"/>
                                        <w:color w:val="000000" w:themeColor="text1"/>
                                      </w:rPr>
                                      <m:t>θ</m:t>
                                    </m:r>
                                  </m:e>
                                </m:d>
                              </m:num>
                              <m:den>
                                <m:r>
                                  <m:rPr>
                                    <m:sty m:val="p"/>
                                  </m:rPr>
                                  <w:rPr>
                                    <w:rFonts w:ascii="Cambria Math" w:hAnsi="Cambria Math" w:cs="Times New Roman"/>
                                    <w:color w:val="000000" w:themeColor="text1"/>
                                  </w:rPr>
                                  <m:t>∂</m:t>
                                </m:r>
                                <m:r>
                                  <w:rPr>
                                    <w:rFonts w:ascii="Cambria Math" w:hAnsi="Cambria Math" w:cs="Times New Roman"/>
                                    <w:color w:val="000000" w:themeColor="text1"/>
                                  </w:rPr>
                                  <m:t>θ</m:t>
                                </m:r>
                              </m:den>
                            </m:f>
                          </m:e>
                        </m:d>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r>
                      <w:rPr>
                        <w:rFonts w:ascii="Cambria Math" w:hAnsi="Cambria Math" w:cs="Times New Roman"/>
                        <w:color w:val="000000" w:themeColor="text1"/>
                      </w:rPr>
                      <m:t>θ</m:t>
                    </m:r>
                  </m:e>
                </m:d>
                <m:r>
                  <m:rPr>
                    <m:sty m:val="p"/>
                  </m:rPr>
                  <w:rPr>
                    <w:rFonts w:ascii="Cambria Math" w:hAnsi="Cambria Math" w:cs="Times New Roman"/>
                    <w:color w:val="000000" w:themeColor="text1"/>
                  </w:rPr>
                  <m:t>=</m:t>
                </m:r>
              </m:oMath>
            </m:oMathPara>
          </w:p>
          <w:p w14:paraId="253A6CCD" w14:textId="77777777" w:rsidR="00B12E01" w:rsidRPr="0081696A" w:rsidRDefault="00000000" w:rsidP="00173228">
            <w:pPr>
              <w:pStyle w:val="BodyText"/>
              <w:spacing w:line="480" w:lineRule="auto"/>
              <w:rPr>
                <w:rFonts w:ascii="Times New Roman" w:hAnsi="Times New Roman" w:cs="Times New Roman"/>
                <w:color w:val="000000" w:themeColor="text1"/>
              </w:rPr>
            </w:pPr>
            <m:oMathPara>
              <m:oMathParaPr>
                <m:jc m:val="center"/>
              </m:oMathParaPr>
              <m:oMath>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max</m:t>
                    </m:r>
                    <m:d>
                      <m:dPr>
                        <m:ctrlPr>
                          <w:rPr>
                            <w:rFonts w:ascii="Cambria Math" w:hAnsi="Cambria Math" w:cs="Times New Roman"/>
                            <w:color w:val="000000" w:themeColor="text1"/>
                          </w:rPr>
                        </m:ctrlPr>
                      </m:dPr>
                      <m:e>
                        <m:r>
                          <w:rPr>
                            <w:rFonts w:ascii="Cambria Math" w:hAnsi="Cambria Math" w:cs="Times New Roman"/>
                            <w:color w:val="000000" w:themeColor="text1"/>
                          </w:rPr>
                          <m:t>0</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d>
                              <m:dPr>
                                <m:ctrlPr>
                                  <w:rPr>
                                    <w:rFonts w:ascii="Cambria Math" w:hAnsi="Cambria Math" w:cs="Times New Roman"/>
                                    <w:color w:val="000000" w:themeColor="text1"/>
                                  </w:rPr>
                                </m:ctrlPr>
                              </m:dPr>
                              <m:e>
                                <m:r>
                                  <w:rPr>
                                    <w:rFonts w:ascii="Cambria Math" w:hAnsi="Cambria Math" w:cs="Times New Roman"/>
                                    <w:color w:val="000000" w:themeColor="text1"/>
                                  </w:rPr>
                                  <m:t>A</m:t>
                                </m:r>
                              </m:e>
                            </m:d>
                          </m:sub>
                        </m:sSub>
                      </m:e>
                    </m:d>
                  </m:sub>
                  <m:sup>
                    <m:r>
                      <w:rPr>
                        <w:rFonts w:ascii="Cambria Math" w:hAnsi="Cambria Math" w:cs="Times New Roman"/>
                        <w:color w:val="000000" w:themeColor="text1"/>
                      </w:rPr>
                      <m:t>min</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e>
                    </m:d>
                  </m:sup>
                  <m:e>
                    <m:r>
                      <w:rPr>
                        <w:rFonts w:ascii="Cambria Math" w:hAnsi="Cambria Math" w:cs="Times New Roman"/>
                        <w:color w:val="000000" w:themeColor="text1"/>
                      </w:rPr>
                      <m:t>f</m:t>
                    </m:r>
                    <m:d>
                      <m:dPr>
                        <m:ctrlPr>
                          <w:rPr>
                            <w:rFonts w:ascii="Cambria Math" w:hAnsi="Cambria Math" w:cs="Times New Roman"/>
                            <w:color w:val="000000" w:themeColor="text1"/>
                          </w:rPr>
                        </m:ctrlPr>
                      </m:dPr>
                      <m:e>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θ</m:t>
                        </m:r>
                      </m:e>
                    </m:d>
                  </m:e>
                </m:nary>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∂log</m:t>
                            </m:r>
                            <m:r>
                              <w:rPr>
                                <w:rFonts w:ascii="Cambria Math" w:hAnsi="Cambria Math" w:cs="Times New Roman"/>
                                <w:color w:val="000000" w:themeColor="text1"/>
                              </w:rPr>
                              <m:t>f</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r>
                                  <m:rPr>
                                    <m:sty m:val="p"/>
                                  </m:rPr>
                                  <w:rPr>
                                    <w:rFonts w:ascii="Cambria Math" w:hAnsi="Cambria Math" w:cs="Times New Roman"/>
                                    <w:color w:val="000000" w:themeColor="text1"/>
                                  </w:rPr>
                                  <m:t>∣</m:t>
                                </m:r>
                                <m:r>
                                  <w:rPr>
                                    <w:rFonts w:ascii="Cambria Math" w:hAnsi="Cambria Math" w:cs="Times New Roman"/>
                                    <w:color w:val="000000" w:themeColor="text1"/>
                                  </w:rPr>
                                  <m:t>θ</m:t>
                                </m:r>
                              </m:e>
                            </m:d>
                          </m:num>
                          <m:den>
                            <m:r>
                              <m:rPr>
                                <m:sty m:val="p"/>
                              </m:rPr>
                              <w:rPr>
                                <w:rFonts w:ascii="Cambria Math" w:hAnsi="Cambria Math" w:cs="Times New Roman"/>
                                <w:color w:val="000000" w:themeColor="text1"/>
                              </w:rPr>
                              <m:t>∂</m:t>
                            </m:r>
                            <m:r>
                              <w:rPr>
                                <w:rFonts w:ascii="Cambria Math" w:hAnsi="Cambria Math" w:cs="Times New Roman"/>
                                <w:color w:val="000000" w:themeColor="text1"/>
                              </w:rPr>
                              <m:t>θ</m:t>
                            </m:r>
                          </m:den>
                        </m:f>
                      </m:e>
                    </m:d>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2</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num>
                  <m:den>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0</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den>
                </m:f>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1</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num>
                          <m:den>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0</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den>
                        </m:f>
                      </m:e>
                    </m:d>
                  </m:e>
                  <m:sup>
                    <m:r>
                      <w:rPr>
                        <w:rFonts w:ascii="Cambria Math" w:hAnsi="Cambria Math" w:cs="Times New Roman"/>
                        <w:color w:val="000000" w:themeColor="text1"/>
                      </w:rPr>
                      <m:t>2</m:t>
                    </m:r>
                  </m:sup>
                </m:sSup>
              </m:oMath>
            </m:oMathPara>
          </w:p>
        </w:tc>
        <w:tc>
          <w:tcPr>
            <w:tcW w:w="1842" w:type="dxa"/>
            <w:vAlign w:val="center"/>
          </w:tcPr>
          <w:p w14:paraId="4D6CCE03" w14:textId="77777777" w:rsidR="00B12E01" w:rsidRDefault="00B12E01" w:rsidP="00173228">
            <w:pPr>
              <w:pStyle w:val="BodyText"/>
              <w:jc w:val="center"/>
              <w:rPr>
                <w:rFonts w:ascii="Times New Roman" w:hAnsi="Times New Roman" w:cs="Times New Roman"/>
                <w:color w:val="000000" w:themeColor="text1"/>
              </w:rPr>
            </w:pPr>
            <w:r>
              <w:rPr>
                <w:rFonts w:ascii="Times New Roman" w:hAnsi="Times New Roman" w:cs="Times New Roman"/>
                <w:color w:val="000000" w:themeColor="text1"/>
              </w:rPr>
              <w:t>Eq. S2</w:t>
            </w:r>
          </w:p>
        </w:tc>
      </w:tr>
    </w:tbl>
    <w:p w14:paraId="3929F220" w14:textId="77777777" w:rsidR="00B12E01" w:rsidRPr="00425DF7" w:rsidRDefault="00B12E01" w:rsidP="00B12E01">
      <w:pPr>
        <w:pStyle w:val="FirstParagraph"/>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Remarkably, Eq. S2 demonstrates that, when the NHD is </w:t>
      </w:r>
      <w:proofErr w:type="spellStart"/>
      <w:r w:rsidRPr="00425DF7">
        <w:rPr>
          <w:rFonts w:ascii="Times New Roman" w:hAnsi="Times New Roman" w:cs="Times New Roman"/>
          <w:color w:val="000000" w:themeColor="text1"/>
        </w:rPr>
        <w:t>parameterised</w:t>
      </w:r>
      <w:proofErr w:type="spellEnd"/>
      <w:r w:rsidRPr="00425DF7">
        <w:rPr>
          <w:rFonts w:ascii="Times New Roman" w:hAnsi="Times New Roman" w:cs="Times New Roman"/>
          <w:color w:val="000000" w:themeColor="text1"/>
        </w:rPr>
        <w:t xml:space="preserve"> using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the Fisher Information is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2</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0</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1</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0</m:t>
                    </m:r>
                  </m:sub>
                </m:sSub>
                <m:d>
                  <m:dPr>
                    <m:ctrlPr>
                      <w:rPr>
                        <w:rFonts w:ascii="Cambria Math" w:hAnsi="Cambria Math" w:cs="Times New Roman"/>
                        <w:color w:val="000000" w:themeColor="text1"/>
                      </w:rPr>
                    </m:ctrlPr>
                  </m:dPr>
                  <m:e>
                    <m:r>
                      <w:rPr>
                        <w:rFonts w:ascii="Cambria Math" w:hAnsi="Cambria Math" w:cs="Times New Roman"/>
                        <w:color w:val="000000" w:themeColor="text1"/>
                      </w:rPr>
                      <m:t>θ</m:t>
                    </m:r>
                  </m:e>
                </m:d>
              </m:e>
            </m:d>
          </m:e>
          <m:sup>
            <m:r>
              <w:rPr>
                <w:rFonts w:ascii="Cambria Math" w:hAnsi="Cambria Math" w:cs="Times New Roman"/>
                <w:color w:val="000000" w:themeColor="text1"/>
              </w:rPr>
              <m:t>2</m:t>
            </m:r>
          </m:sup>
        </m:sSup>
      </m:oMath>
      <w:r w:rsidRPr="00425DF7">
        <w:rPr>
          <w:rFonts w:ascii="Times New Roman" w:hAnsi="Times New Roman" w:cs="Times New Roman"/>
          <w:color w:val="000000" w:themeColor="text1"/>
        </w:rPr>
        <w:t>, which is also the variance of the NHD</w:t>
      </w:r>
      <w:r w:rsidRPr="00425DF7">
        <w:rPr>
          <w:rFonts w:ascii="Times New Roman" w:hAnsi="Times New Roman" w:cs="Times New Roman"/>
          <w:color w:val="000000" w:themeColor="text1"/>
          <w:vertAlign w:val="superscript"/>
        </w:rPr>
        <w:t>56</w:t>
      </w:r>
      <w:r w:rsidRPr="00425DF7">
        <w:rPr>
          <w:rFonts w:ascii="Times New Roman" w:hAnsi="Times New Roman" w:cs="Times New Roman"/>
          <w:color w:val="000000" w:themeColor="text1"/>
        </w:rPr>
        <w:t xml:space="preserve">. </w:t>
      </w:r>
      <w:r w:rsidRPr="00425DF7">
        <w:rPr>
          <w:rFonts w:ascii="Times New Roman" w:hAnsi="Times New Roman" w:cs="Times New Roman"/>
          <w:color w:val="000000" w:themeColor="text1"/>
        </w:rPr>
        <w:lastRenderedPageBreak/>
        <w:t xml:space="preserve">Parameterizing the NHD using the odds ratio </w:t>
      </w:r>
      <m:oMath>
        <m:r>
          <w:rPr>
            <w:rFonts w:ascii="Cambria Math" w:hAnsi="Cambria Math" w:cs="Times New Roman"/>
            <w:color w:val="000000" w:themeColor="text1"/>
          </w:rPr>
          <m:t>ψ</m:t>
        </m:r>
      </m:oMath>
      <w:r w:rsidRPr="00425DF7">
        <w:rPr>
          <w:rFonts w:ascii="Times New Roman" w:hAnsi="Times New Roman" w:cs="Times New Roman"/>
          <w:color w:val="000000" w:themeColor="text1"/>
        </w:rPr>
        <w:t xml:space="preserve"> would yield a different expression for the Fisher Information.</w:t>
      </w:r>
    </w:p>
    <w:p w14:paraId="193A825B"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Calculations performed using Eq. S2 demonstrate that the Fisher Information generally increases with the species occurrences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oMath>
      <w:r w:rsidRPr="00425DF7">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oMath>
      <w:r w:rsidRPr="00425DF7">
        <w:rPr>
          <w:rFonts w:ascii="Times New Roman" w:hAnsi="Times New Roman" w:cs="Times New Roman"/>
          <w:color w:val="000000" w:themeColor="text1"/>
        </w:rPr>
        <w:t xml:space="preserve"> (Extended Data Figure 4). Loosely speaking, this result indicates that the distribution of co-occurrence values,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changes more rapidly with changes in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for species pairs with greater numbers of occurrences, consistent with Extended Data Figure 3. Thus,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can be estimated more efficiently from species pairs with more occurrences. Importantly, however, Fisher Information eventually declines as the numbers of occurrences for the two species approach the total number of sites (note the depressed yellow curve for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r>
          <w:rPr>
            <w:rFonts w:ascii="Cambria Math" w:hAnsi="Cambria Math" w:cs="Times New Roman"/>
            <w:color w:val="000000" w:themeColor="text1"/>
          </w:rPr>
          <m:t>40</m:t>
        </m:r>
      </m:oMath>
      <w:r w:rsidRPr="00425DF7">
        <w:rPr>
          <w:rFonts w:ascii="Times New Roman" w:hAnsi="Times New Roman" w:cs="Times New Roman"/>
          <w:color w:val="000000" w:themeColor="text1"/>
        </w:rPr>
        <w:t xml:space="preserve"> in Extended Data Figure 4). This decline occurs due to an increasing lower bound on the minimum number of co-occurrences (</w:t>
      </w:r>
      <m:oMath>
        <m:r>
          <m:rPr>
            <m:sty m:val="p"/>
          </m:rPr>
          <w:rPr>
            <w:rFonts w:ascii="Cambria Math" w:hAnsi="Cambria Math" w:cs="Times New Roman"/>
            <w:color w:val="000000" w:themeColor="text1"/>
          </w:rPr>
          <m:t>=max(</m:t>
        </m:r>
        <m:r>
          <w:rPr>
            <w:rFonts w:ascii="Cambria Math" w:hAnsi="Cambria Math" w:cs="Times New Roman"/>
            <w:color w:val="000000" w:themeColor="text1"/>
          </w:rPr>
          <m:t>0</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d>
              <m:dPr>
                <m:ctrlPr>
                  <w:rPr>
                    <w:rFonts w:ascii="Cambria Math" w:hAnsi="Cambria Math" w:cs="Times New Roman"/>
                    <w:color w:val="000000" w:themeColor="text1"/>
                  </w:rPr>
                </m:ctrlPr>
              </m:dPr>
              <m:e>
                <m:r>
                  <w:rPr>
                    <w:rFonts w:ascii="Cambria Math" w:hAnsi="Cambria Math" w:cs="Times New Roman"/>
                    <w:color w:val="000000" w:themeColor="text1"/>
                  </w:rPr>
                  <m:t>A</m:t>
                </m:r>
              </m:e>
            </m:d>
          </m:sub>
        </m:sSub>
      </m:oMath>
      <w:r w:rsidRPr="00425DF7">
        <w:rPr>
          <w:rFonts w:ascii="Times New Roman" w:hAnsi="Times New Roman" w:cs="Times New Roman"/>
          <w:color w:val="000000" w:themeColor="text1"/>
        </w:rPr>
        <w:t xml:space="preserve">). Also notably, the Fisher Information eventually approaches 0 for very low and very high values of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regardless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oMath>
      <w:r w:rsidRPr="00425DF7">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oMath>
      <w:r w:rsidRPr="00425DF7">
        <w:rPr>
          <w:rFonts w:ascii="Times New Roman" w:hAnsi="Times New Roman" w:cs="Times New Roman"/>
          <w:color w:val="000000" w:themeColor="text1"/>
        </w:rPr>
        <w:t xml:space="preserve">, because the distributions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AB</m:t>
            </m:r>
          </m:sub>
        </m:sSub>
      </m:oMath>
      <w:r w:rsidRPr="00425DF7">
        <w:rPr>
          <w:rFonts w:ascii="Times New Roman" w:hAnsi="Times New Roman" w:cs="Times New Roman"/>
          <w:color w:val="000000" w:themeColor="text1"/>
        </w:rPr>
        <w:t xml:space="preserve"> values eventually become concentrated on this lower bound as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declines, and on the upper bound </w:t>
      </w:r>
      <m:oMath>
        <m:r>
          <m:rPr>
            <m:sty m:val="p"/>
          </m:rPr>
          <w:rPr>
            <w:rFonts w:ascii="Cambria Math" w:hAnsi="Cambria Math" w:cs="Times New Roman"/>
            <w:color w:val="000000" w:themeColor="text1"/>
          </w:rPr>
          <m:t>min</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B</m:t>
                </m:r>
              </m:sub>
            </m:sSub>
          </m:e>
        </m:d>
      </m:oMath>
      <w:r w:rsidRPr="00425DF7">
        <w:rPr>
          <w:rFonts w:ascii="Times New Roman" w:hAnsi="Times New Roman" w:cs="Times New Roman"/>
          <w:color w:val="000000" w:themeColor="text1"/>
        </w:rPr>
        <w:t xml:space="preserve"> as </w:t>
      </w:r>
      <m:oMath>
        <m:r>
          <w:rPr>
            <w:rFonts w:ascii="Cambria Math" w:hAnsi="Cambria Math" w:cs="Times New Roman"/>
            <w:color w:val="000000" w:themeColor="text1"/>
          </w:rPr>
          <m:t>θ</m:t>
        </m:r>
      </m:oMath>
      <w:r w:rsidRPr="00425DF7">
        <w:rPr>
          <w:rFonts w:ascii="Times New Roman" w:hAnsi="Times New Roman" w:cs="Times New Roman"/>
          <w:color w:val="000000" w:themeColor="text1"/>
        </w:rPr>
        <w:t xml:space="preserve"> increases.</w:t>
      </w:r>
    </w:p>
    <w:p w14:paraId="74A79088" w14:textId="77777777" w:rsidR="00B12E01" w:rsidRPr="00B12E01" w:rsidRDefault="00B12E01" w:rsidP="00B12E01">
      <w:pPr>
        <w:pStyle w:val="BodyText"/>
        <w:spacing w:line="480" w:lineRule="auto"/>
        <w:rPr>
          <w:rFonts w:ascii="Times New Roman" w:hAnsi="Times New Roman" w:cs="Times New Roman"/>
          <w:b/>
          <w:bCs/>
          <w:color w:val="000000" w:themeColor="text1"/>
        </w:rPr>
      </w:pPr>
      <w:r w:rsidRPr="00B12E01">
        <w:rPr>
          <w:rFonts w:ascii="Times New Roman" w:hAnsi="Times New Roman" w:cs="Times New Roman"/>
          <w:b/>
          <w:bCs/>
          <w:color w:val="000000" w:themeColor="text1"/>
        </w:rPr>
        <w:t>Model robustness checks</w:t>
      </w:r>
    </w:p>
    <w:p w14:paraId="5B60A971"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t xml:space="preserve">We ran a series of checks to test that our Bayesian model is robust and not subject to common biases. First, we estimated the shrinkage present in our model results by comparing the </w:t>
      </w:r>
      <w:proofErr w:type="spellStart"/>
      <w:r w:rsidRPr="00425DF7">
        <w:rPr>
          <w:rFonts w:ascii="Times New Roman" w:hAnsi="Times New Roman" w:cs="Times New Roman"/>
          <w:color w:val="000000" w:themeColor="text1"/>
        </w:rPr>
        <w:t>bayesian</w:t>
      </w:r>
      <w:proofErr w:type="spellEnd"/>
      <w:r w:rsidRPr="00425DF7">
        <w:rPr>
          <w:rFonts w:ascii="Times New Roman" w:hAnsi="Times New Roman" w:cs="Times New Roman"/>
          <w:color w:val="000000" w:themeColor="text1"/>
        </w:rPr>
        <w:t xml:space="preserve"> model output to the same model calculated using maximum likelihood. Shrinkage refers to the tendency of observations with less information to gravitate toward the group mean in </w:t>
      </w:r>
      <w:proofErr w:type="spellStart"/>
      <w:r w:rsidRPr="00425DF7">
        <w:rPr>
          <w:rFonts w:ascii="Times New Roman" w:hAnsi="Times New Roman" w:cs="Times New Roman"/>
          <w:color w:val="000000" w:themeColor="text1"/>
        </w:rPr>
        <w:t>hierachical</w:t>
      </w:r>
      <w:proofErr w:type="spellEnd"/>
      <w:r w:rsidRPr="00425DF7">
        <w:rPr>
          <w:rFonts w:ascii="Times New Roman" w:hAnsi="Times New Roman" w:cs="Times New Roman"/>
          <w:color w:val="000000" w:themeColor="text1"/>
        </w:rPr>
        <w:t xml:space="preserve"> models. We want to see relatively little shrinkage in most sets, but more in occupancy sets with fewer pairs. We also want to see increased shrinkage in sets that fall farther from the group mean. These properties were observed for both bats and birds (Extended Data Fig. 5).</w:t>
      </w:r>
    </w:p>
    <w:p w14:paraId="26512D98" w14:textId="77777777" w:rsidR="00B12E01" w:rsidRPr="00425DF7" w:rsidRDefault="00B12E01" w:rsidP="00B12E01">
      <w:pPr>
        <w:pStyle w:val="BodyText"/>
        <w:spacing w:line="480" w:lineRule="auto"/>
        <w:rPr>
          <w:rFonts w:ascii="Times New Roman" w:hAnsi="Times New Roman" w:cs="Times New Roman"/>
          <w:color w:val="000000" w:themeColor="text1"/>
        </w:rPr>
      </w:pPr>
      <w:r w:rsidRPr="00425DF7">
        <w:rPr>
          <w:rFonts w:ascii="Times New Roman" w:hAnsi="Times New Roman" w:cs="Times New Roman"/>
          <w:color w:val="000000" w:themeColor="text1"/>
        </w:rPr>
        <w:lastRenderedPageBreak/>
        <w:t xml:space="preserve">We also examined our model output for near-normal distributions and common biases. We plotted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g</m:t>
            </m:r>
          </m:sub>
        </m:sSub>
      </m:oMath>
      <w:r w:rsidRPr="00425DF7">
        <w:rPr>
          <w:rFonts w:ascii="Times New Roman" w:hAnsi="Times New Roman" w:cs="Times New Roman"/>
          <w:color w:val="000000" w:themeColor="text1"/>
        </w:rPr>
        <w:t xml:space="preserve"> estimates of each occupancy pair set against the number of pairs in the set and against the occupancy of the rarer species in the set. There were no consistent trends across the four experimental groups for either taxon, indicating that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g</m:t>
            </m:r>
          </m:sub>
        </m:sSub>
      </m:oMath>
      <w:r w:rsidRPr="00425DF7">
        <w:rPr>
          <w:rFonts w:ascii="Times New Roman" w:hAnsi="Times New Roman" w:cs="Times New Roman"/>
          <w:color w:val="000000" w:themeColor="text1"/>
        </w:rPr>
        <w:t xml:space="preserve"> does not suffer from bias due to these factors (Extended Data Figs 6-8).</w:t>
      </w:r>
    </w:p>
    <w:p w14:paraId="134ED605" w14:textId="77777777" w:rsidR="00B12E01" w:rsidRPr="0038329C" w:rsidRDefault="00B12E01" w:rsidP="00B12E01">
      <w:pPr>
        <w:pStyle w:val="BodyText"/>
        <w:spacing w:line="480" w:lineRule="auto"/>
        <w:rPr>
          <w:rFonts w:ascii="Times New Roman" w:hAnsi="Times New Roman" w:cs="Times New Roman"/>
          <w:b/>
          <w:bCs/>
          <w:color w:val="000000" w:themeColor="text1"/>
        </w:rPr>
      </w:pPr>
      <w:r w:rsidRPr="0038329C">
        <w:rPr>
          <w:rFonts w:ascii="Times New Roman" w:hAnsi="Times New Roman" w:cs="Times New Roman"/>
          <w:b/>
          <w:bCs/>
          <w:color w:val="000000" w:themeColor="text1"/>
        </w:rPr>
        <w:t>Supplementary References:</w:t>
      </w:r>
    </w:p>
    <w:p w14:paraId="52754153" w14:textId="77777777" w:rsidR="00B12E01" w:rsidRPr="00425DF7" w:rsidRDefault="00B12E01" w:rsidP="00B12E01">
      <w:pPr>
        <w:pStyle w:val="Bibliography"/>
        <w:spacing w:line="480" w:lineRule="auto"/>
        <w:rPr>
          <w:rFonts w:ascii="Times New Roman" w:hAnsi="Times New Roman" w:cs="Times New Roman"/>
          <w:color w:val="000000" w:themeColor="text1"/>
        </w:rPr>
      </w:pPr>
      <w:bookmarkStart w:id="1" w:name="ref-Alroy2017"/>
      <w:bookmarkStart w:id="2" w:name="refs"/>
      <w:r w:rsidRPr="00425DF7">
        <w:rPr>
          <w:rFonts w:ascii="Times New Roman" w:hAnsi="Times New Roman" w:cs="Times New Roman"/>
          <w:color w:val="000000" w:themeColor="text1"/>
        </w:rPr>
        <w:t xml:space="preserve">63. </w:t>
      </w:r>
      <w:r w:rsidRPr="00425DF7">
        <w:rPr>
          <w:rFonts w:ascii="Times New Roman" w:hAnsi="Times New Roman" w:cs="Times New Roman"/>
          <w:color w:val="000000" w:themeColor="text1"/>
        </w:rPr>
        <w:tab/>
      </w:r>
      <w:proofErr w:type="spellStart"/>
      <w:r w:rsidRPr="00425DF7">
        <w:rPr>
          <w:rFonts w:ascii="Times New Roman" w:hAnsi="Times New Roman" w:cs="Times New Roman"/>
          <w:color w:val="000000" w:themeColor="text1"/>
        </w:rPr>
        <w:t>Alroy</w:t>
      </w:r>
      <w:proofErr w:type="spellEnd"/>
      <w:r w:rsidRPr="00425DF7">
        <w:rPr>
          <w:rFonts w:ascii="Times New Roman" w:hAnsi="Times New Roman" w:cs="Times New Roman"/>
          <w:color w:val="000000" w:themeColor="text1"/>
        </w:rPr>
        <w:t xml:space="preserve">, J. </w:t>
      </w:r>
      <w:hyperlink r:id="rId5">
        <w:r w:rsidRPr="00425DF7">
          <w:rPr>
            <w:rStyle w:val="Hyperlink"/>
            <w:rFonts w:ascii="Times New Roman" w:hAnsi="Times New Roman" w:cs="Times New Roman"/>
            <w:color w:val="000000" w:themeColor="text1"/>
          </w:rPr>
          <w:t>Effects of habitat disturbance on tropical forest biodiversity</w:t>
        </w:r>
      </w:hyperlink>
      <w:r w:rsidRPr="00425DF7">
        <w:rPr>
          <w:rFonts w:ascii="Times New Roman" w:hAnsi="Times New Roman" w:cs="Times New Roman"/>
          <w:color w:val="000000" w:themeColor="text1"/>
        </w:rPr>
        <w:t xml:space="preserve">. </w:t>
      </w:r>
      <w:r w:rsidRPr="00425DF7">
        <w:rPr>
          <w:rFonts w:ascii="Times New Roman" w:hAnsi="Times New Roman" w:cs="Times New Roman"/>
          <w:i/>
          <w:iCs/>
          <w:color w:val="000000" w:themeColor="text1"/>
        </w:rPr>
        <w:t>Proceedings of the National Academy of Sciences of the United States of America</w:t>
      </w:r>
      <w:r w:rsidRPr="00425DF7">
        <w:rPr>
          <w:rFonts w:ascii="Times New Roman" w:hAnsi="Times New Roman" w:cs="Times New Roman"/>
          <w:color w:val="000000" w:themeColor="text1"/>
        </w:rPr>
        <w:t xml:space="preserve"> </w:t>
      </w:r>
      <w:r w:rsidRPr="00425DF7">
        <w:rPr>
          <w:rFonts w:ascii="Times New Roman" w:hAnsi="Times New Roman" w:cs="Times New Roman"/>
          <w:b/>
          <w:bCs/>
          <w:color w:val="000000" w:themeColor="text1"/>
        </w:rPr>
        <w:t>114</w:t>
      </w:r>
      <w:r w:rsidRPr="00425DF7">
        <w:rPr>
          <w:rFonts w:ascii="Times New Roman" w:hAnsi="Times New Roman" w:cs="Times New Roman"/>
          <w:color w:val="000000" w:themeColor="text1"/>
        </w:rPr>
        <w:t>, 6056–6061 (2017).</w:t>
      </w:r>
    </w:p>
    <w:p w14:paraId="7758003D" w14:textId="77777777" w:rsidR="00B12E01" w:rsidRPr="00425DF7" w:rsidRDefault="00B12E01" w:rsidP="00B12E01">
      <w:pPr>
        <w:pStyle w:val="Bibliography"/>
        <w:spacing w:line="480" w:lineRule="auto"/>
        <w:rPr>
          <w:rFonts w:ascii="Times New Roman" w:hAnsi="Times New Roman" w:cs="Times New Roman"/>
          <w:color w:val="000000" w:themeColor="text1"/>
        </w:rPr>
      </w:pPr>
      <w:bookmarkStart w:id="3" w:name="ref-Eisinga2011"/>
      <w:bookmarkEnd w:id="1"/>
      <w:r w:rsidRPr="00425DF7">
        <w:rPr>
          <w:rFonts w:ascii="Times New Roman" w:hAnsi="Times New Roman" w:cs="Times New Roman"/>
          <w:color w:val="000000" w:themeColor="text1"/>
        </w:rPr>
        <w:t xml:space="preserve">64. </w:t>
      </w:r>
      <w:r w:rsidRPr="00425DF7">
        <w:rPr>
          <w:rFonts w:ascii="Times New Roman" w:hAnsi="Times New Roman" w:cs="Times New Roman"/>
          <w:color w:val="000000" w:themeColor="text1"/>
        </w:rPr>
        <w:tab/>
      </w:r>
      <w:proofErr w:type="spellStart"/>
      <w:r w:rsidRPr="00425DF7">
        <w:rPr>
          <w:rFonts w:ascii="Times New Roman" w:hAnsi="Times New Roman" w:cs="Times New Roman"/>
          <w:color w:val="000000" w:themeColor="text1"/>
        </w:rPr>
        <w:t>Eisinga</w:t>
      </w:r>
      <w:proofErr w:type="spellEnd"/>
      <w:r w:rsidRPr="00425DF7">
        <w:rPr>
          <w:rFonts w:ascii="Times New Roman" w:hAnsi="Times New Roman" w:cs="Times New Roman"/>
          <w:color w:val="000000" w:themeColor="text1"/>
        </w:rPr>
        <w:t xml:space="preserve">, R. &amp; Pelzer, B. </w:t>
      </w:r>
      <w:hyperlink r:id="rId6">
        <w:proofErr w:type="spellStart"/>
        <w:r w:rsidRPr="00425DF7">
          <w:rPr>
            <w:rStyle w:val="Hyperlink"/>
            <w:rFonts w:ascii="Times New Roman" w:hAnsi="Times New Roman" w:cs="Times New Roman"/>
            <w:color w:val="000000" w:themeColor="text1"/>
          </w:rPr>
          <w:t>Saddlepoint</w:t>
        </w:r>
        <w:proofErr w:type="spellEnd"/>
        <w:r w:rsidRPr="00425DF7">
          <w:rPr>
            <w:rStyle w:val="Hyperlink"/>
            <w:rFonts w:ascii="Times New Roman" w:hAnsi="Times New Roman" w:cs="Times New Roman"/>
            <w:color w:val="000000" w:themeColor="text1"/>
          </w:rPr>
          <w:t xml:space="preserve"> approximations to the mean and variance of the extended hypergeometric distribution</w:t>
        </w:r>
      </w:hyperlink>
      <w:r w:rsidRPr="00425DF7">
        <w:rPr>
          <w:rFonts w:ascii="Times New Roman" w:hAnsi="Times New Roman" w:cs="Times New Roman"/>
          <w:color w:val="000000" w:themeColor="text1"/>
        </w:rPr>
        <w:t xml:space="preserve">. </w:t>
      </w:r>
      <w:proofErr w:type="spellStart"/>
      <w:r w:rsidRPr="00425DF7">
        <w:rPr>
          <w:rFonts w:ascii="Times New Roman" w:hAnsi="Times New Roman" w:cs="Times New Roman"/>
          <w:i/>
          <w:iCs/>
          <w:color w:val="000000" w:themeColor="text1"/>
        </w:rPr>
        <w:t>Statistica</w:t>
      </w:r>
      <w:proofErr w:type="spellEnd"/>
      <w:r w:rsidRPr="00425DF7">
        <w:rPr>
          <w:rFonts w:ascii="Times New Roman" w:hAnsi="Times New Roman" w:cs="Times New Roman"/>
          <w:i/>
          <w:iCs/>
          <w:color w:val="000000" w:themeColor="text1"/>
        </w:rPr>
        <w:t xml:space="preserve"> </w:t>
      </w:r>
      <w:proofErr w:type="spellStart"/>
      <w:r w:rsidRPr="00425DF7">
        <w:rPr>
          <w:rFonts w:ascii="Times New Roman" w:hAnsi="Times New Roman" w:cs="Times New Roman"/>
          <w:i/>
          <w:iCs/>
          <w:color w:val="000000" w:themeColor="text1"/>
        </w:rPr>
        <w:t>Neerlandica</w:t>
      </w:r>
      <w:proofErr w:type="spellEnd"/>
      <w:r w:rsidRPr="00425DF7">
        <w:rPr>
          <w:rFonts w:ascii="Times New Roman" w:hAnsi="Times New Roman" w:cs="Times New Roman"/>
          <w:color w:val="000000" w:themeColor="text1"/>
        </w:rPr>
        <w:t xml:space="preserve"> </w:t>
      </w:r>
      <w:r w:rsidRPr="00425DF7">
        <w:rPr>
          <w:rFonts w:ascii="Times New Roman" w:hAnsi="Times New Roman" w:cs="Times New Roman"/>
          <w:b/>
          <w:bCs/>
          <w:color w:val="000000" w:themeColor="text1"/>
        </w:rPr>
        <w:t>65</w:t>
      </w:r>
      <w:r w:rsidRPr="00425DF7">
        <w:rPr>
          <w:rFonts w:ascii="Times New Roman" w:hAnsi="Times New Roman" w:cs="Times New Roman"/>
          <w:color w:val="000000" w:themeColor="text1"/>
        </w:rPr>
        <w:t>, 22–31 (2011).</w:t>
      </w:r>
      <w:bookmarkEnd w:id="0"/>
      <w:bookmarkEnd w:id="2"/>
      <w:bookmarkEnd w:id="3"/>
    </w:p>
    <w:p w14:paraId="213333D6" w14:textId="77777777" w:rsidR="00D45261" w:rsidRDefault="00D45261"/>
    <w:sectPr w:rsidR="00D45261" w:rsidSect="00425DF7">
      <w:pgSz w:w="12240" w:h="15840"/>
      <w:pgMar w:top="1440" w:right="1440" w:bottom="123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01"/>
    <w:rsid w:val="00185486"/>
    <w:rsid w:val="0038329C"/>
    <w:rsid w:val="00B12E01"/>
    <w:rsid w:val="00D45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EFFDD83"/>
  <w15:chartTrackingRefBased/>
  <w15:docId w15:val="{C1A34BB1-07B4-6A49-B6D9-85D0C30D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E01"/>
    <w:pPr>
      <w:spacing w:after="200"/>
    </w:pPr>
    <w:rPr>
      <w:lang w:val="en-US"/>
    </w:rPr>
  </w:style>
  <w:style w:type="paragraph" w:styleId="Heading3">
    <w:name w:val="heading 3"/>
    <w:basedOn w:val="Normal"/>
    <w:next w:val="BodyText"/>
    <w:link w:val="Heading3Char"/>
    <w:uiPriority w:val="9"/>
    <w:unhideWhenUsed/>
    <w:qFormat/>
    <w:rsid w:val="00B12E01"/>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BodyText"/>
    <w:link w:val="Heading4Char"/>
    <w:uiPriority w:val="9"/>
    <w:unhideWhenUsed/>
    <w:qFormat/>
    <w:rsid w:val="00B12E01"/>
    <w:pPr>
      <w:keepNext/>
      <w:keepLines/>
      <w:spacing w:before="200" w:after="0"/>
      <w:outlineLvl w:val="3"/>
    </w:pPr>
    <w:rPr>
      <w:rFonts w:asciiTheme="majorHAnsi" w:eastAsiaTheme="majorEastAsia" w:hAnsiTheme="majorHAnsi" w:cstheme="majorBidi"/>
      <w:bCs/>
      <w:i/>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12E01"/>
    <w:rPr>
      <w:rFonts w:asciiTheme="majorHAnsi" w:eastAsiaTheme="majorEastAsia" w:hAnsiTheme="majorHAnsi" w:cstheme="majorBidi"/>
      <w:b/>
      <w:bCs/>
      <w:color w:val="4472C4" w:themeColor="accent1"/>
      <w:lang w:val="en-US"/>
    </w:rPr>
  </w:style>
  <w:style w:type="character" w:customStyle="1" w:styleId="Heading4Char">
    <w:name w:val="Heading 4 Char"/>
    <w:basedOn w:val="DefaultParagraphFont"/>
    <w:link w:val="Heading4"/>
    <w:uiPriority w:val="9"/>
    <w:rsid w:val="00B12E01"/>
    <w:rPr>
      <w:rFonts w:asciiTheme="majorHAnsi" w:eastAsiaTheme="majorEastAsia" w:hAnsiTheme="majorHAnsi" w:cstheme="majorBidi"/>
      <w:bCs/>
      <w:i/>
      <w:color w:val="4472C4" w:themeColor="accent1"/>
      <w:lang w:val="en-US"/>
    </w:rPr>
  </w:style>
  <w:style w:type="paragraph" w:styleId="BodyText">
    <w:name w:val="Body Text"/>
    <w:basedOn w:val="Normal"/>
    <w:link w:val="BodyTextChar"/>
    <w:qFormat/>
    <w:rsid w:val="00B12E01"/>
    <w:pPr>
      <w:spacing w:before="180" w:after="180"/>
    </w:pPr>
  </w:style>
  <w:style w:type="character" w:customStyle="1" w:styleId="BodyTextChar">
    <w:name w:val="Body Text Char"/>
    <w:basedOn w:val="DefaultParagraphFont"/>
    <w:link w:val="BodyText"/>
    <w:rsid w:val="00B12E01"/>
    <w:rPr>
      <w:lang w:val="en-US"/>
    </w:rPr>
  </w:style>
  <w:style w:type="paragraph" w:customStyle="1" w:styleId="FirstParagraph">
    <w:name w:val="First Paragraph"/>
    <w:basedOn w:val="BodyText"/>
    <w:next w:val="BodyText"/>
    <w:qFormat/>
    <w:rsid w:val="00B12E01"/>
  </w:style>
  <w:style w:type="paragraph" w:styleId="Bibliography">
    <w:name w:val="Bibliography"/>
    <w:basedOn w:val="Normal"/>
    <w:qFormat/>
    <w:rsid w:val="00B12E01"/>
  </w:style>
  <w:style w:type="character" w:styleId="Hyperlink">
    <w:name w:val="Hyperlink"/>
    <w:basedOn w:val="DefaultParagraphFont"/>
    <w:rsid w:val="00B12E01"/>
    <w:rPr>
      <w:color w:val="4472C4" w:themeColor="accent1"/>
    </w:rPr>
  </w:style>
  <w:style w:type="table" w:styleId="TableGrid">
    <w:name w:val="Table Grid"/>
    <w:basedOn w:val="TableNormal"/>
    <w:rsid w:val="00B12E0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j.1467-9574.2010.00468.x" TargetMode="External"/><Relationship Id="rId5" Type="http://schemas.openxmlformats.org/officeDocument/2006/relationships/hyperlink" Target="https://doi.org/10.1073/pnas.1611855114" TargetMode="External"/><Relationship Id="rId4" Type="http://schemas.openxmlformats.org/officeDocument/2006/relationships/hyperlink" Target="http://ecoregis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Aniko Toth</dc:creator>
  <cp:keywords/>
  <dc:description/>
  <cp:lastModifiedBy>Aniko Toth</cp:lastModifiedBy>
  <cp:revision>2</cp:revision>
  <dcterms:created xsi:type="dcterms:W3CDTF">2022-09-02T11:30:00Z</dcterms:created>
  <dcterms:modified xsi:type="dcterms:W3CDTF">2022-09-02T11:39:00Z</dcterms:modified>
</cp:coreProperties>
</file>