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07BA1" w14:textId="3700D636" w:rsidR="000B1D9F" w:rsidRPr="00CC1EBB" w:rsidRDefault="000B1D9F" w:rsidP="00951285">
      <w:pPr>
        <w:pStyle w:val="BodyA"/>
        <w:spacing w:line="480" w:lineRule="auto"/>
        <w:jc w:val="center"/>
        <w:rPr>
          <w:rFonts w:ascii="Times New Roman" w:hAnsi="Times New Roman" w:cs="Times New Roman"/>
          <w:b/>
          <w:bCs/>
          <w:color w:val="auto"/>
          <w:sz w:val="28"/>
          <w:szCs w:val="28"/>
          <w:u w:val="single"/>
        </w:rPr>
      </w:pPr>
      <w:r w:rsidRPr="00CC1EBB">
        <w:rPr>
          <w:rFonts w:ascii="Times New Roman" w:hAnsi="Times New Roman" w:cs="Times New Roman"/>
          <w:b/>
          <w:bCs/>
          <w:color w:val="auto"/>
          <w:sz w:val="28"/>
          <w:szCs w:val="28"/>
          <w:u w:val="single"/>
        </w:rPr>
        <w:t>Supplementary information</w:t>
      </w:r>
    </w:p>
    <w:p w14:paraId="362693F5" w14:textId="77777777" w:rsidR="000B1D9F" w:rsidRPr="00DC24E6" w:rsidRDefault="000B1D9F" w:rsidP="00951285">
      <w:pPr>
        <w:pStyle w:val="BodyA"/>
        <w:spacing w:line="480" w:lineRule="auto"/>
        <w:jc w:val="center"/>
        <w:rPr>
          <w:rFonts w:ascii="Times New Roman" w:hAnsi="Times New Roman" w:cs="Times New Roman"/>
          <w:b/>
          <w:bCs/>
          <w:color w:val="auto"/>
        </w:rPr>
      </w:pPr>
    </w:p>
    <w:p w14:paraId="7C963259" w14:textId="77777777" w:rsidR="00521A43" w:rsidRPr="009C74E8" w:rsidRDefault="00521A43" w:rsidP="00521A43">
      <w:pPr>
        <w:jc w:val="both"/>
        <w:rPr>
          <w:b/>
          <w:bCs/>
        </w:rPr>
      </w:pPr>
    </w:p>
    <w:p w14:paraId="077B65AE" w14:textId="77777777" w:rsidR="00787BDC" w:rsidRPr="004C4A9C" w:rsidRDefault="00787BDC" w:rsidP="00787BDC">
      <w:pPr>
        <w:pStyle w:val="BodyA"/>
        <w:spacing w:line="480" w:lineRule="auto"/>
        <w:jc w:val="both"/>
        <w:rPr>
          <w:rFonts w:ascii="Times New Roman" w:hAnsi="Times New Roman" w:cs="Times New Roman"/>
          <w:iCs/>
          <w:color w:val="auto"/>
          <w:lang w:val="nl-NL"/>
        </w:rPr>
      </w:pPr>
      <w:r w:rsidRPr="004C4A9C">
        <w:rPr>
          <w:rFonts w:ascii="Times New Roman" w:hAnsi="Times New Roman" w:cs="Times New Roman"/>
          <w:iCs/>
          <w:color w:val="auto"/>
          <w:lang w:val="nl-NL"/>
        </w:rPr>
        <w:t>Marina G. M. C. Mori da Cunha</w:t>
      </w:r>
      <w:r w:rsidRPr="004C4A9C">
        <w:rPr>
          <w:rFonts w:ascii="Times New Roman" w:hAnsi="Times New Roman" w:cs="Times New Roman"/>
          <w:iCs/>
          <w:color w:val="auto"/>
          <w:vertAlign w:val="superscript"/>
          <w:lang w:val="nl-NL"/>
        </w:rPr>
        <w:t>1,2*</w:t>
      </w:r>
      <w:r w:rsidRPr="004C4A9C">
        <w:rPr>
          <w:rFonts w:ascii="Times New Roman" w:hAnsi="Times New Roman" w:cs="Times New Roman"/>
          <w:iCs/>
          <w:color w:val="auto"/>
          <w:lang w:val="nl-NL"/>
        </w:rPr>
        <w:t xml:space="preserve">, </w:t>
      </w:r>
      <w:r w:rsidRPr="004C4A9C">
        <w:rPr>
          <w:rFonts w:ascii="Times New Roman" w:hAnsi="Times New Roman" w:cs="Times New Roman"/>
          <w:bCs/>
          <w:iCs/>
          <w:color w:val="auto"/>
          <w:lang w:val="nl-NL"/>
        </w:rPr>
        <w:t>Bernard K. van de Veer</w:t>
      </w:r>
      <w:r w:rsidRPr="004C4A9C">
        <w:rPr>
          <w:rFonts w:ascii="Times New Roman" w:hAnsi="Times New Roman" w:cs="Times New Roman"/>
          <w:bCs/>
          <w:iCs/>
          <w:color w:val="auto"/>
          <w:vertAlign w:val="superscript"/>
          <w:lang w:val="nl-NL"/>
        </w:rPr>
        <w:t>3</w:t>
      </w:r>
      <w:r w:rsidRPr="004C4A9C">
        <w:rPr>
          <w:rFonts w:ascii="Times New Roman" w:hAnsi="Times New Roman" w:cs="Times New Roman"/>
          <w:iCs/>
          <w:color w:val="auto"/>
          <w:lang w:val="nl-NL"/>
        </w:rPr>
        <w:t xml:space="preserve">, </w:t>
      </w:r>
      <w:proofErr w:type="spellStart"/>
      <w:r w:rsidRPr="004C4A9C">
        <w:rPr>
          <w:rFonts w:ascii="Times New Roman" w:hAnsi="Times New Roman" w:cs="Times New Roman"/>
          <w:iCs/>
          <w:color w:val="auto"/>
          <w:lang w:val="nl-NL"/>
        </w:rPr>
        <w:t>Giorgia</w:t>
      </w:r>
      <w:proofErr w:type="spellEnd"/>
      <w:r w:rsidRPr="004C4A9C">
        <w:rPr>
          <w:rFonts w:ascii="Times New Roman" w:hAnsi="Times New Roman" w:cs="Times New Roman"/>
          <w:iCs/>
          <w:color w:val="auto"/>
          <w:lang w:val="nl-NL"/>
        </w:rPr>
        <w:t xml:space="preserve"> Giacomazzi</w:t>
      </w:r>
      <w:r w:rsidRPr="004C4A9C">
        <w:rPr>
          <w:rFonts w:ascii="Times New Roman" w:hAnsi="Times New Roman" w:cs="Times New Roman"/>
          <w:iCs/>
          <w:color w:val="auto"/>
          <w:vertAlign w:val="superscript"/>
          <w:lang w:val="nl-NL"/>
        </w:rPr>
        <w:t>4</w:t>
      </w:r>
      <w:r w:rsidRPr="004C4A9C">
        <w:rPr>
          <w:rFonts w:ascii="Times New Roman" w:hAnsi="Times New Roman" w:cs="Times New Roman"/>
          <w:iCs/>
          <w:color w:val="auto"/>
          <w:lang w:val="nl-NL"/>
        </w:rPr>
        <w:t xml:space="preserve">, </w:t>
      </w:r>
      <w:proofErr w:type="spellStart"/>
      <w:r w:rsidRPr="004C4A9C">
        <w:rPr>
          <w:rFonts w:ascii="Times New Roman" w:hAnsi="Times New Roman" w:cs="Times New Roman"/>
          <w:bCs/>
          <w:iCs/>
          <w:color w:val="auto"/>
          <w:lang w:val="nl-NL"/>
        </w:rPr>
        <w:t>Katerina</w:t>
      </w:r>
      <w:proofErr w:type="spellEnd"/>
      <w:r w:rsidRPr="004C4A9C">
        <w:rPr>
          <w:rFonts w:ascii="Times New Roman" w:hAnsi="Times New Roman" w:cs="Times New Roman"/>
          <w:bCs/>
          <w:iCs/>
          <w:color w:val="auto"/>
          <w:lang w:val="nl-NL"/>
        </w:rPr>
        <w:t xml:space="preserve"> Mackova</w:t>
      </w:r>
      <w:r w:rsidRPr="004C4A9C">
        <w:rPr>
          <w:rFonts w:ascii="Times New Roman" w:hAnsi="Times New Roman" w:cs="Times New Roman"/>
          <w:bCs/>
          <w:iCs/>
          <w:color w:val="auto"/>
          <w:vertAlign w:val="superscript"/>
          <w:lang w:val="nl-NL"/>
        </w:rPr>
        <w:t>1,2,5</w:t>
      </w:r>
      <w:r w:rsidRPr="004C4A9C">
        <w:rPr>
          <w:rFonts w:ascii="Times New Roman" w:hAnsi="Times New Roman" w:cs="Times New Roman"/>
          <w:bCs/>
          <w:iCs/>
          <w:color w:val="auto"/>
          <w:lang w:val="nl-NL"/>
        </w:rPr>
        <w:t>, Laura Cattani</w:t>
      </w:r>
      <w:r w:rsidRPr="004C4A9C">
        <w:rPr>
          <w:rFonts w:ascii="Times New Roman" w:hAnsi="Times New Roman" w:cs="Times New Roman"/>
          <w:bCs/>
          <w:iCs/>
          <w:color w:val="auto"/>
          <w:vertAlign w:val="superscript"/>
          <w:lang w:val="nl-NL"/>
        </w:rPr>
        <w:t>1,2</w:t>
      </w:r>
      <w:r w:rsidRPr="004C4A9C">
        <w:rPr>
          <w:rFonts w:ascii="Times New Roman" w:hAnsi="Times New Roman" w:cs="Times New Roman"/>
          <w:bCs/>
          <w:iCs/>
          <w:color w:val="auto"/>
          <w:lang w:val="nl-NL"/>
        </w:rPr>
        <w:t xml:space="preserve">, </w:t>
      </w:r>
      <w:proofErr w:type="spellStart"/>
      <w:r w:rsidRPr="004C4A9C">
        <w:rPr>
          <w:rFonts w:ascii="Times New Roman" w:hAnsi="Times New Roman" w:cs="Times New Roman"/>
          <w:bCs/>
          <w:iCs/>
          <w:color w:val="auto"/>
          <w:lang w:val="nl-NL"/>
        </w:rPr>
        <w:t>Kian</w:t>
      </w:r>
      <w:proofErr w:type="spellEnd"/>
      <w:r w:rsidRPr="004C4A9C">
        <w:rPr>
          <w:rFonts w:ascii="Times New Roman" w:hAnsi="Times New Roman" w:cs="Times New Roman"/>
          <w:bCs/>
          <w:iCs/>
          <w:color w:val="auto"/>
          <w:lang w:val="nl-NL"/>
        </w:rPr>
        <w:t xml:space="preserve"> </w:t>
      </w:r>
      <w:proofErr w:type="spellStart"/>
      <w:r w:rsidRPr="004C4A9C">
        <w:rPr>
          <w:rFonts w:ascii="Times New Roman" w:hAnsi="Times New Roman" w:cs="Times New Roman"/>
          <w:bCs/>
          <w:iCs/>
          <w:color w:val="auto"/>
          <w:lang w:val="nl-NL"/>
        </w:rPr>
        <w:t>Peng</w:t>
      </w:r>
      <w:proofErr w:type="spellEnd"/>
      <w:r w:rsidRPr="004C4A9C">
        <w:rPr>
          <w:rFonts w:ascii="Times New Roman" w:hAnsi="Times New Roman" w:cs="Times New Roman"/>
          <w:bCs/>
          <w:iCs/>
          <w:color w:val="auto"/>
          <w:lang w:val="nl-NL"/>
        </w:rPr>
        <w:t xml:space="preserve"> Koh</w:t>
      </w:r>
      <w:r w:rsidRPr="004C4A9C">
        <w:rPr>
          <w:rFonts w:ascii="Times New Roman" w:hAnsi="Times New Roman" w:cs="Times New Roman"/>
          <w:bCs/>
          <w:iCs/>
          <w:color w:val="auto"/>
          <w:vertAlign w:val="superscript"/>
          <w:lang w:val="nl-NL"/>
        </w:rPr>
        <w:t>3</w:t>
      </w:r>
      <w:r w:rsidRPr="004C4A9C">
        <w:rPr>
          <w:rFonts w:ascii="Times New Roman" w:hAnsi="Times New Roman" w:cs="Times New Roman"/>
          <w:bCs/>
          <w:iCs/>
          <w:color w:val="auto"/>
          <w:lang w:val="nl-NL"/>
        </w:rPr>
        <w:t xml:space="preserve">, </w:t>
      </w:r>
      <w:r w:rsidRPr="004C4A9C">
        <w:rPr>
          <w:rFonts w:ascii="Times New Roman" w:hAnsi="Times New Roman" w:cs="Times New Roman"/>
          <w:iCs/>
          <w:color w:val="auto"/>
          <w:lang w:val="nl-NL"/>
        </w:rPr>
        <w:t>Greetje Vande Velde</w:t>
      </w:r>
      <w:r w:rsidRPr="004C4A9C">
        <w:rPr>
          <w:rFonts w:ascii="Times New Roman" w:hAnsi="Times New Roman" w:cs="Times New Roman"/>
          <w:iCs/>
          <w:color w:val="auto"/>
          <w:vertAlign w:val="superscript"/>
          <w:lang w:val="nl-NL"/>
        </w:rPr>
        <w:t>6</w:t>
      </w:r>
      <w:r w:rsidRPr="004C4A9C">
        <w:rPr>
          <w:rFonts w:ascii="Times New Roman" w:hAnsi="Times New Roman" w:cs="Times New Roman"/>
          <w:iCs/>
          <w:color w:val="auto"/>
          <w:lang w:val="nl-NL"/>
        </w:rPr>
        <w:t>, Rik Gijsbers</w:t>
      </w:r>
      <w:r w:rsidRPr="004C4A9C">
        <w:rPr>
          <w:rFonts w:ascii="Times New Roman" w:hAnsi="Times New Roman" w:cs="Times New Roman"/>
          <w:iCs/>
          <w:color w:val="auto"/>
          <w:vertAlign w:val="superscript"/>
          <w:lang w:val="nl-NL"/>
        </w:rPr>
        <w:t>7,8</w:t>
      </w:r>
      <w:r w:rsidRPr="004C4A9C">
        <w:rPr>
          <w:rFonts w:ascii="Times New Roman" w:hAnsi="Times New Roman" w:cs="Times New Roman"/>
          <w:iCs/>
          <w:color w:val="auto"/>
          <w:lang w:val="nl-NL"/>
        </w:rPr>
        <w:t>, Maarten Albersen</w:t>
      </w:r>
      <w:r w:rsidRPr="004C4A9C">
        <w:rPr>
          <w:rFonts w:ascii="Times New Roman" w:hAnsi="Times New Roman" w:cs="Times New Roman"/>
          <w:iCs/>
          <w:color w:val="auto"/>
          <w:vertAlign w:val="superscript"/>
          <w:lang w:val="nl-NL"/>
        </w:rPr>
        <w:t>9</w:t>
      </w:r>
      <w:r w:rsidRPr="004C4A9C">
        <w:rPr>
          <w:rFonts w:ascii="Times New Roman" w:hAnsi="Times New Roman" w:cs="Times New Roman"/>
          <w:iCs/>
          <w:color w:val="auto"/>
          <w:lang w:val="nl-NL"/>
        </w:rPr>
        <w:t xml:space="preserve">, </w:t>
      </w:r>
      <w:proofErr w:type="spellStart"/>
      <w:r w:rsidRPr="004C4A9C">
        <w:rPr>
          <w:rFonts w:ascii="Times New Roman" w:hAnsi="Times New Roman" w:cs="Times New Roman"/>
          <w:iCs/>
          <w:color w:val="auto"/>
          <w:lang w:val="nl-NL"/>
        </w:rPr>
        <w:t>Maurilio</w:t>
      </w:r>
      <w:proofErr w:type="spellEnd"/>
      <w:r w:rsidRPr="004C4A9C">
        <w:rPr>
          <w:rFonts w:ascii="Times New Roman" w:hAnsi="Times New Roman" w:cs="Times New Roman"/>
          <w:iCs/>
          <w:color w:val="auto"/>
          <w:lang w:val="nl-NL"/>
        </w:rPr>
        <w:t xml:space="preserve"> Sampaolesi</w:t>
      </w:r>
      <w:r w:rsidRPr="004C4A9C">
        <w:rPr>
          <w:rFonts w:ascii="Times New Roman" w:hAnsi="Times New Roman" w:cs="Times New Roman"/>
          <w:iCs/>
          <w:color w:val="auto"/>
          <w:vertAlign w:val="superscript"/>
          <w:lang w:val="nl-NL"/>
        </w:rPr>
        <w:t>4</w:t>
      </w:r>
      <w:r w:rsidRPr="004C4A9C">
        <w:rPr>
          <w:rFonts w:ascii="Times New Roman" w:hAnsi="Times New Roman" w:cs="Times New Roman"/>
          <w:iCs/>
          <w:color w:val="auto"/>
          <w:lang w:val="nl-NL"/>
        </w:rPr>
        <w:t>, Jan Deprest</w:t>
      </w:r>
      <w:r w:rsidRPr="004C4A9C">
        <w:rPr>
          <w:rFonts w:ascii="Times New Roman" w:hAnsi="Times New Roman" w:cs="Times New Roman"/>
          <w:iCs/>
          <w:color w:val="auto"/>
          <w:vertAlign w:val="superscript"/>
          <w:lang w:val="nl-NL"/>
        </w:rPr>
        <w:t>1,2,10</w:t>
      </w:r>
    </w:p>
    <w:p w14:paraId="23F87B96" w14:textId="77777777" w:rsidR="00787BDC" w:rsidRPr="00787BDC" w:rsidRDefault="00787BDC" w:rsidP="00787BDC">
      <w:pPr>
        <w:spacing w:line="480" w:lineRule="auto"/>
        <w:jc w:val="both"/>
        <w:rPr>
          <w:rFonts w:ascii="Times New Roman" w:hAnsi="Times New Roman" w:cs="Times New Roman"/>
          <w:sz w:val="24"/>
          <w:szCs w:val="24"/>
        </w:rPr>
      </w:pPr>
    </w:p>
    <w:p w14:paraId="0EA9E5E3"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1</w:t>
      </w:r>
      <w:r w:rsidRPr="00787BDC">
        <w:rPr>
          <w:rFonts w:ascii="Times New Roman" w:hAnsi="Times New Roman" w:cs="Times New Roman"/>
          <w:sz w:val="24"/>
          <w:szCs w:val="24"/>
          <w:lang w:val="en-US"/>
        </w:rPr>
        <w:t xml:space="preserve"> Centre for Surgical Technologies, Group Biomedical Sciences, KU Leuven, Leuven, Belgium</w:t>
      </w:r>
    </w:p>
    <w:p w14:paraId="26E4F861"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2</w:t>
      </w:r>
      <w:r w:rsidRPr="00787BDC">
        <w:rPr>
          <w:rFonts w:ascii="Times New Roman" w:hAnsi="Times New Roman" w:cs="Times New Roman"/>
          <w:sz w:val="24"/>
          <w:szCs w:val="24"/>
          <w:vertAlign w:val="subscript"/>
          <w:lang w:val="en-US"/>
        </w:rPr>
        <w:t xml:space="preserve"> </w:t>
      </w:r>
      <w:r w:rsidRPr="00787BDC">
        <w:rPr>
          <w:rFonts w:ascii="Times New Roman" w:hAnsi="Times New Roman" w:cs="Times New Roman"/>
          <w:sz w:val="24"/>
          <w:szCs w:val="24"/>
          <w:lang w:val="en-US"/>
        </w:rPr>
        <w:t>Department of Development and Regeneration, Woman and Child, Group Biomedical Sciences, KU Leuven, Leuven, Belgium</w:t>
      </w:r>
    </w:p>
    <w:p w14:paraId="39195C95"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 xml:space="preserve">3 </w:t>
      </w:r>
      <w:r w:rsidRPr="00787BDC">
        <w:rPr>
          <w:rFonts w:ascii="Times New Roman" w:hAnsi="Times New Roman" w:cs="Times New Roman"/>
          <w:sz w:val="24"/>
          <w:szCs w:val="24"/>
          <w:lang w:val="en-US"/>
        </w:rPr>
        <w:t>Laboratory for Stem Cell and Developmental Epigenetics,</w:t>
      </w:r>
      <w:r w:rsidRPr="00787BDC">
        <w:rPr>
          <w:rFonts w:ascii="Times New Roman" w:hAnsi="Times New Roman" w:cs="Times New Roman"/>
          <w:sz w:val="24"/>
          <w:szCs w:val="24"/>
          <w:vertAlign w:val="superscript"/>
          <w:lang w:val="en-US"/>
        </w:rPr>
        <w:t xml:space="preserve"> </w:t>
      </w:r>
      <w:r w:rsidRPr="00787BDC">
        <w:rPr>
          <w:rFonts w:ascii="Times New Roman" w:hAnsi="Times New Roman" w:cs="Times New Roman"/>
          <w:sz w:val="24"/>
          <w:szCs w:val="24"/>
          <w:lang w:val="en-US"/>
        </w:rPr>
        <w:t xml:space="preserve">Department of Development and Regeneration, Stem Cell Institute Leuven, KU Leuven, Leuven, Belgium </w:t>
      </w:r>
    </w:p>
    <w:p w14:paraId="1D019493"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4</w:t>
      </w:r>
      <w:r w:rsidRPr="00787BDC">
        <w:rPr>
          <w:rFonts w:ascii="Times New Roman" w:hAnsi="Times New Roman" w:cs="Times New Roman"/>
          <w:sz w:val="24"/>
          <w:szCs w:val="24"/>
          <w:lang w:val="en-US"/>
        </w:rPr>
        <w:t xml:space="preserve">Translational </w:t>
      </w:r>
      <w:proofErr w:type="spellStart"/>
      <w:r w:rsidRPr="00787BDC">
        <w:rPr>
          <w:rFonts w:ascii="Times New Roman" w:hAnsi="Times New Roman" w:cs="Times New Roman"/>
          <w:sz w:val="24"/>
          <w:szCs w:val="24"/>
          <w:lang w:val="en-US"/>
        </w:rPr>
        <w:t>Cardiomyology</w:t>
      </w:r>
      <w:proofErr w:type="spellEnd"/>
      <w:r w:rsidRPr="00787BDC">
        <w:rPr>
          <w:rFonts w:ascii="Times New Roman" w:hAnsi="Times New Roman" w:cs="Times New Roman"/>
          <w:sz w:val="24"/>
          <w:szCs w:val="24"/>
          <w:lang w:val="en-US"/>
        </w:rPr>
        <w:t xml:space="preserve"> Laboratory, Stem Cell Biology and Embryology Unit, Department Development and Regeneration, Stem Cell Institute Leuven, KU Leuven, Leuven, Belgium</w:t>
      </w:r>
    </w:p>
    <w:p w14:paraId="60AD9A13"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 xml:space="preserve">5 </w:t>
      </w:r>
      <w:r w:rsidRPr="00787BDC">
        <w:rPr>
          <w:rFonts w:ascii="Times New Roman" w:hAnsi="Times New Roman" w:cs="Times New Roman"/>
          <w:sz w:val="24"/>
          <w:szCs w:val="24"/>
          <w:lang w:val="en-US"/>
        </w:rPr>
        <w:t>Institute for the Care of the Mother and Child, Third Faculty of Medicine, Charles University, Prague, Czech Republic</w:t>
      </w:r>
    </w:p>
    <w:p w14:paraId="7EFCC076"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6</w:t>
      </w:r>
      <w:r w:rsidRPr="00787BDC">
        <w:rPr>
          <w:rFonts w:ascii="Times New Roman" w:hAnsi="Times New Roman" w:cs="Times New Roman"/>
          <w:sz w:val="24"/>
          <w:szCs w:val="24"/>
          <w:lang w:val="en-US"/>
        </w:rPr>
        <w:t xml:space="preserve"> Department of Imaging and Pathology/ </w:t>
      </w:r>
      <w:r w:rsidRPr="00787BDC">
        <w:rPr>
          <w:rFonts w:ascii="Times New Roman" w:hAnsi="Times New Roman" w:cs="Times New Roman"/>
          <w:sz w:val="24"/>
          <w:szCs w:val="24"/>
          <w:shd w:val="clear" w:color="auto" w:fill="FFFFFF"/>
          <w:lang w:val="en-US"/>
        </w:rPr>
        <w:t>Molecular Small Animal Imaging Center, KU Leuven, 3000 Leuven, Belgium</w:t>
      </w:r>
    </w:p>
    <w:p w14:paraId="41706ED8"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 xml:space="preserve">7 </w:t>
      </w:r>
      <w:r w:rsidRPr="00787BDC">
        <w:rPr>
          <w:rFonts w:ascii="Times New Roman" w:hAnsi="Times New Roman" w:cs="Times New Roman"/>
          <w:sz w:val="24"/>
          <w:szCs w:val="24"/>
          <w:lang w:val="en-US"/>
        </w:rPr>
        <w:t xml:space="preserve">Laboratory for Molecular Virology and Gene Therapy, </w:t>
      </w:r>
      <w:r w:rsidRPr="00787BDC">
        <w:rPr>
          <w:rFonts w:ascii="Times New Roman" w:hAnsi="Times New Roman" w:cs="Times New Roman"/>
          <w:noProof/>
          <w:sz w:val="24"/>
          <w:szCs w:val="24"/>
          <w:lang w:val="en-US"/>
        </w:rPr>
        <w:t xml:space="preserve">Department of Pharmaceutical and Pharmacological Sciences, </w:t>
      </w:r>
      <w:r w:rsidRPr="00787BDC">
        <w:rPr>
          <w:rFonts w:ascii="Times New Roman" w:hAnsi="Times New Roman" w:cs="Times New Roman"/>
          <w:sz w:val="24"/>
          <w:szCs w:val="24"/>
          <w:lang w:val="en-US"/>
        </w:rPr>
        <w:t xml:space="preserve">KU Leuven, Flanders, Belgium </w:t>
      </w:r>
    </w:p>
    <w:p w14:paraId="1159379A" w14:textId="6EE63971" w:rsidR="00787BDC" w:rsidRPr="00E94F37" w:rsidRDefault="00787BDC" w:rsidP="00787BDC">
      <w:pPr>
        <w:rPr>
          <w:rFonts w:ascii="Times New Roman" w:hAnsi="Times New Roman" w:cs="Times New Roman"/>
          <w:sz w:val="24"/>
          <w:szCs w:val="24"/>
          <w:lang w:val="nl-BE"/>
        </w:rPr>
      </w:pPr>
      <w:r w:rsidRPr="00E94F37">
        <w:rPr>
          <w:rFonts w:ascii="Times New Roman" w:hAnsi="Times New Roman" w:cs="Times New Roman"/>
          <w:sz w:val="24"/>
          <w:szCs w:val="24"/>
          <w:vertAlign w:val="superscript"/>
          <w:lang w:val="nl-BE"/>
        </w:rPr>
        <w:t>8</w:t>
      </w:r>
      <w:r w:rsidRPr="00E94F37">
        <w:rPr>
          <w:rFonts w:ascii="Times New Roman" w:hAnsi="Times New Roman" w:cs="Times New Roman"/>
          <w:sz w:val="24"/>
          <w:szCs w:val="24"/>
          <w:lang w:val="nl-BE"/>
        </w:rPr>
        <w:t xml:space="preserve"> Leuven Viral Vector Core, KU</w:t>
      </w:r>
      <w:r w:rsidR="006E5688" w:rsidRPr="00E94F37">
        <w:rPr>
          <w:rFonts w:ascii="Times New Roman" w:hAnsi="Times New Roman" w:cs="Times New Roman"/>
          <w:sz w:val="24"/>
          <w:szCs w:val="24"/>
          <w:lang w:val="nl-BE"/>
        </w:rPr>
        <w:t xml:space="preserve"> </w:t>
      </w:r>
      <w:r w:rsidRPr="00E94F37">
        <w:rPr>
          <w:rFonts w:ascii="Times New Roman" w:hAnsi="Times New Roman" w:cs="Times New Roman"/>
          <w:sz w:val="24"/>
          <w:szCs w:val="24"/>
          <w:lang w:val="nl-BE"/>
        </w:rPr>
        <w:t>Leuven, Belgium</w:t>
      </w:r>
    </w:p>
    <w:p w14:paraId="26B6CE56" w14:textId="7DF923E4" w:rsidR="00787BDC" w:rsidRDefault="00787BDC" w:rsidP="00787BDC">
      <w:pPr>
        <w:pStyle w:val="NoSpacing"/>
        <w:jc w:val="both"/>
        <w:rPr>
          <w:rFonts w:ascii="Times New Roman" w:hAnsi="Times New Roman"/>
          <w:sz w:val="24"/>
          <w:szCs w:val="24"/>
          <w:lang w:val="en-US"/>
        </w:rPr>
      </w:pPr>
      <w:r w:rsidRPr="00787BDC">
        <w:rPr>
          <w:rFonts w:ascii="Times New Roman" w:hAnsi="Times New Roman"/>
          <w:sz w:val="24"/>
          <w:szCs w:val="24"/>
          <w:vertAlign w:val="superscript"/>
          <w:lang w:val="en-GB"/>
        </w:rPr>
        <w:t xml:space="preserve">9 </w:t>
      </w:r>
      <w:r w:rsidRPr="00787BDC">
        <w:rPr>
          <w:rFonts w:ascii="Times New Roman" w:hAnsi="Times New Roman"/>
          <w:sz w:val="24"/>
          <w:szCs w:val="24"/>
          <w:lang w:val="en-US"/>
        </w:rPr>
        <w:t>Department of Urology, University Hospitals Leuven, Leuven, Belgium</w:t>
      </w:r>
    </w:p>
    <w:p w14:paraId="59E2DAFC" w14:textId="77777777" w:rsidR="00E94F37" w:rsidRPr="00787BDC" w:rsidRDefault="00E94F37" w:rsidP="00787BDC">
      <w:pPr>
        <w:pStyle w:val="NoSpacing"/>
        <w:jc w:val="both"/>
        <w:rPr>
          <w:rFonts w:ascii="Times New Roman" w:hAnsi="Times New Roman"/>
          <w:sz w:val="24"/>
          <w:szCs w:val="24"/>
          <w:lang w:val="en-US"/>
        </w:rPr>
      </w:pPr>
    </w:p>
    <w:p w14:paraId="4E168658" w14:textId="77777777" w:rsidR="00787BDC" w:rsidRPr="00787BDC" w:rsidRDefault="00787BDC" w:rsidP="00787BDC">
      <w:pPr>
        <w:jc w:val="both"/>
        <w:rPr>
          <w:rFonts w:ascii="Times New Roman" w:hAnsi="Times New Roman" w:cs="Times New Roman"/>
          <w:sz w:val="24"/>
          <w:szCs w:val="24"/>
          <w:lang w:val="en-US"/>
        </w:rPr>
      </w:pPr>
      <w:r w:rsidRPr="00787BDC">
        <w:rPr>
          <w:rFonts w:ascii="Times New Roman" w:hAnsi="Times New Roman" w:cs="Times New Roman"/>
          <w:sz w:val="24"/>
          <w:szCs w:val="24"/>
          <w:vertAlign w:val="superscript"/>
          <w:lang w:val="en-US"/>
        </w:rPr>
        <w:t>10</w:t>
      </w:r>
      <w:r w:rsidRPr="00787BDC">
        <w:rPr>
          <w:rFonts w:ascii="Times New Roman" w:hAnsi="Times New Roman" w:cs="Times New Roman"/>
          <w:sz w:val="24"/>
          <w:szCs w:val="24"/>
          <w:lang w:val="en-US"/>
        </w:rPr>
        <w:t xml:space="preserve"> Pelvic Floor Unit, University Hospitals KU Leuven, Leuven, Belgium</w:t>
      </w:r>
    </w:p>
    <w:p w14:paraId="18BFFE62" w14:textId="77777777" w:rsidR="000B1D9F" w:rsidRPr="009A3014" w:rsidRDefault="000B1D9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sz w:val="24"/>
          <w:szCs w:val="24"/>
          <w:u w:val="single"/>
          <w:lang w:val="en-US"/>
        </w:rPr>
      </w:pPr>
      <w:r w:rsidRPr="009A3014">
        <w:rPr>
          <w:rFonts w:ascii="Times New Roman" w:hAnsi="Times New Roman" w:cs="Times New Roman"/>
          <w:b/>
          <w:sz w:val="24"/>
          <w:szCs w:val="24"/>
          <w:u w:val="single"/>
          <w:lang w:val="en-US"/>
        </w:rPr>
        <w:br w:type="page"/>
      </w:r>
    </w:p>
    <w:p w14:paraId="1C0A4ADB" w14:textId="12CB3514" w:rsidR="00BC6748" w:rsidRPr="009A3014" w:rsidRDefault="00BC6748" w:rsidP="006F74A9">
      <w:pPr>
        <w:spacing w:line="360" w:lineRule="auto"/>
        <w:jc w:val="both"/>
        <w:rPr>
          <w:rFonts w:ascii="Times New Roman" w:hAnsi="Times New Roman" w:cs="Times New Roman"/>
          <w:b/>
          <w:sz w:val="24"/>
          <w:szCs w:val="24"/>
          <w:u w:val="single"/>
          <w:lang w:val="en-US"/>
        </w:rPr>
      </w:pPr>
      <w:r w:rsidRPr="009A3014">
        <w:rPr>
          <w:rFonts w:ascii="Times New Roman" w:hAnsi="Times New Roman" w:cs="Times New Roman"/>
          <w:b/>
          <w:sz w:val="24"/>
          <w:szCs w:val="24"/>
          <w:u w:val="single"/>
          <w:lang w:val="en-US"/>
        </w:rPr>
        <w:lastRenderedPageBreak/>
        <w:t>Suppleme</w:t>
      </w:r>
      <w:r w:rsidR="00487EDA" w:rsidRPr="009A3014">
        <w:rPr>
          <w:rFonts w:ascii="Times New Roman" w:hAnsi="Times New Roman" w:cs="Times New Roman"/>
          <w:b/>
          <w:sz w:val="24"/>
          <w:szCs w:val="24"/>
          <w:u w:val="single"/>
          <w:lang w:val="en-US"/>
        </w:rPr>
        <w:t>ntary</w:t>
      </w:r>
      <w:r w:rsidR="000B1D9F" w:rsidRPr="009A3014">
        <w:rPr>
          <w:rFonts w:ascii="Times New Roman" w:hAnsi="Times New Roman" w:cs="Times New Roman"/>
          <w:b/>
          <w:sz w:val="24"/>
          <w:szCs w:val="24"/>
          <w:u w:val="single"/>
          <w:lang w:val="en-US"/>
        </w:rPr>
        <w:t xml:space="preserve"> material and methods</w:t>
      </w:r>
    </w:p>
    <w:p w14:paraId="0675908C" w14:textId="26A883CE" w:rsidR="0020284A" w:rsidRPr="009A3014" w:rsidRDefault="0020284A" w:rsidP="006F74A9">
      <w:pPr>
        <w:pStyle w:val="BodyA"/>
        <w:spacing w:line="360" w:lineRule="auto"/>
        <w:jc w:val="both"/>
        <w:rPr>
          <w:rFonts w:ascii="Times New Roman" w:hAnsi="Times New Roman" w:cs="Times New Roman"/>
          <w:b/>
        </w:rPr>
      </w:pPr>
      <w:r w:rsidRPr="009A3014">
        <w:rPr>
          <w:rFonts w:ascii="Times New Roman" w:hAnsi="Times New Roman" w:cs="Times New Roman"/>
          <w:b/>
        </w:rPr>
        <w:t>S1. Mesoangioblasts</w:t>
      </w:r>
      <w:r w:rsidR="00CD0A0E" w:rsidRPr="009A3014">
        <w:rPr>
          <w:rFonts w:ascii="Times New Roman" w:hAnsi="Times New Roman" w:cs="Times New Roman"/>
          <w:b/>
        </w:rPr>
        <w:t xml:space="preserve"> isolation and transduction</w:t>
      </w:r>
    </w:p>
    <w:p w14:paraId="6F5E4AD7" w14:textId="4EB7DC15" w:rsidR="0020284A" w:rsidRPr="009A3014" w:rsidRDefault="0020284A" w:rsidP="006F74A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4"/>
          <w:szCs w:val="24"/>
          <w:lang w:val="en-GB"/>
        </w:rPr>
      </w:pPr>
      <w:r w:rsidRPr="009A3014">
        <w:rPr>
          <w:rFonts w:ascii="Times New Roman" w:hAnsi="Times New Roman" w:cs="Times New Roman"/>
          <w:sz w:val="24"/>
          <w:szCs w:val="24"/>
          <w:lang w:val="en-GB"/>
        </w:rPr>
        <w:t xml:space="preserve">Skeletal muscles from both hind limbs were harvested, processed and characterized as </w:t>
      </w:r>
      <w:r w:rsidRPr="009A3014">
        <w:rPr>
          <w:rFonts w:ascii="Times New Roman" w:hAnsi="Times New Roman" w:cs="Times New Roman"/>
          <w:color w:val="000000" w:themeColor="text1"/>
          <w:sz w:val="24"/>
          <w:szCs w:val="24"/>
          <w:lang w:val="en-GB"/>
        </w:rPr>
        <w:t>previously described</w:t>
      </w:r>
      <w:r w:rsidR="006F74A9" w:rsidRPr="009A3014">
        <w:rPr>
          <w:rFonts w:ascii="Times New Roman" w:hAnsi="Times New Roman" w:cs="Times New Roman"/>
          <w:color w:val="000000" w:themeColor="text1"/>
          <w:sz w:val="24"/>
          <w:szCs w:val="24"/>
          <w:lang w:val="en-GB"/>
        </w:rPr>
        <w:t xml:space="preserve"> </w:t>
      </w:r>
      <w:r w:rsidRPr="009A3014">
        <w:rPr>
          <w:rFonts w:ascii="Times New Roman" w:hAnsi="Times New Roman" w:cs="Times New Roman"/>
          <w:color w:val="000000" w:themeColor="text1"/>
          <w:sz w:val="24"/>
          <w:szCs w:val="24"/>
        </w:rPr>
        <w:fldChar w:fldCharType="begin" w:fldLock="1"/>
      </w:r>
      <w:r w:rsidR="004C4A9C">
        <w:rPr>
          <w:rFonts w:ascii="Times New Roman" w:hAnsi="Times New Roman" w:cs="Times New Roman"/>
          <w:color w:val="000000" w:themeColor="text1"/>
          <w:sz w:val="24"/>
          <w:szCs w:val="24"/>
          <w:lang w:val="en-GB"/>
        </w:rPr>
        <w:instrText>ADDIN CSL_CITATION {"citationItems":[{"id":"ITEM-1","itemData":{"DOI":"10.1038/s41598-018-28967-w","ISSN":"20452322","abstract":"© 2018 The Author(s). Currently cell therapy is considered as an experimental strategy to assist the healing process following simulated vaginal birth injury in rats, boosting the functional and morphologic recovery of pelvic floor muscles and nerves. However, the optimal administration route and dose still need to be determined. Mesangioblasts theoretically have the advantage that they can differentiate in skeletal and smooth muscle. We investigated the fate of mesoangioblasts transduced with luciferase and green fluorescent protein reporter genes (rMABseGFP/fLUC) using bioluminescence, immunofluorescence and RT-PCR in rats undergoing simulated birth injury. rMABseGFP/fLUCwere injected locally, intravenously and intra-Arterially (common iliacs and aorta). Intra-Arterial delivery resulted in the highest amount of rMABseGFP/fLUCin the pelvic organs region and in a more homogeneous distribution over all relevant pelvic organs. Sham controls showed that the presence of the injury is important for recruitment of intra-Arterially injected rMABseGFP/fLUC. Injection through the aorta or bilaterally in the common iliac arteries resulted in comparable numbers of rMABseGFP/fLUCin the pelvic organs, yet aortic injection was faster and gave less complications.","author":[{"dropping-particle":"","family":"Mori Da Cunha","given":"Marina Gabriela Monteiro Carvalho","non-dropping-particle":"","parse-names":false,"suffix":""},{"dropping-particle":"","family":"Giacomazzi","given":"Giorgia","non-dropping-particle":"","parse-names":false,"suffix":""},{"dropping-particle":"","family":"Callewaert","given":"Geertje","non-dropping-particle":"","parse-names":false,"suffix":""},{"dropping-particle":"","family":"Hympanova","given":"Lucie","non-dropping-particle":"","parse-names":false,"suffix":""},{"dropping-particle":"","family":"Russo","given":"Francesca","non-dropping-particle":"","parse-names":false,"suffix":""},{"dropping-particle":"","family":"Velde","given":"Greetje","non-dropping-particle":"Vande","parse-names":false,"suffix":""},{"dropping-particle":"","family":"Gijsbers","given":"Rik","non-dropping-particle":"","parse-names":false,"suffix":""},{"dropping-particle":"","family":"Albersen","given":"Maarten","non-dropping-particle":"","parse-names":false,"suffix":""},{"dropping-particle":"","family":"Sampaolesi","given":"Maurilio","non-dropping-particle":"","parse-names":false,"suffix":""},{"dropping-particle":"","family":"Deprest","given":"Jan","non-dropping-particle":"","parse-names":false,"suffix":""}],"container-title":"Scientific Reports","id":"ITEM-1","issue":"1","issued":{"date-parts":[["2018"]]},"page":"1-10","title":"Fate of mesoangioblasts in a vaginal birth injury model: Influence of the route of administration","type":"article-journal","volume":"8"},"uris":["http://www.mendeley.com/documents/?uuid=a2e5d9ca-cdb0-4870-99be-39d3a258c160"]}],"mendeley":{"formattedCitation":"[1]","plainTextFormattedCitation":"[1]","previouslyFormattedCitation":"[1]"},"properties":{"noteIndex":0},"schema":"https://github.com/citation-style-language/schema/raw/master/csl-citation.json"}</w:instrText>
      </w:r>
      <w:r w:rsidRPr="009A3014">
        <w:rPr>
          <w:rFonts w:ascii="Times New Roman" w:hAnsi="Times New Roman" w:cs="Times New Roman"/>
          <w:color w:val="000000" w:themeColor="text1"/>
          <w:sz w:val="24"/>
          <w:szCs w:val="24"/>
        </w:rPr>
        <w:fldChar w:fldCharType="separate"/>
      </w:r>
      <w:r w:rsidR="00526AF7" w:rsidRPr="009A3014">
        <w:rPr>
          <w:rFonts w:ascii="Times New Roman" w:hAnsi="Times New Roman" w:cs="Times New Roman"/>
          <w:noProof/>
          <w:color w:val="000000" w:themeColor="text1"/>
          <w:sz w:val="24"/>
          <w:szCs w:val="24"/>
          <w:lang w:val="en-GB"/>
        </w:rPr>
        <w:t>[1]</w:t>
      </w:r>
      <w:r w:rsidRPr="009A3014">
        <w:rPr>
          <w:rFonts w:ascii="Times New Roman" w:hAnsi="Times New Roman" w:cs="Times New Roman"/>
          <w:color w:val="000000" w:themeColor="text1"/>
          <w:sz w:val="24"/>
          <w:szCs w:val="24"/>
        </w:rPr>
        <w:fldChar w:fldCharType="end"/>
      </w:r>
      <w:r w:rsidRPr="009A3014">
        <w:rPr>
          <w:rFonts w:ascii="Times New Roman" w:hAnsi="Times New Roman" w:cs="Times New Roman"/>
          <w:color w:val="000000" w:themeColor="text1"/>
          <w:sz w:val="24"/>
          <w:szCs w:val="24"/>
          <w:lang w:val="en-GB"/>
        </w:rPr>
        <w:t>. Briefly, tissue biopsies were minced in ~2</w:t>
      </w:r>
      <w:r w:rsidR="00E506F9">
        <w:rPr>
          <w:rFonts w:ascii="Times New Roman" w:hAnsi="Times New Roman" w:cs="Times New Roman"/>
          <w:color w:val="000000" w:themeColor="text1"/>
          <w:sz w:val="24"/>
          <w:szCs w:val="24"/>
          <w:lang w:val="en-GB"/>
        </w:rPr>
        <w:t xml:space="preserve"> </w:t>
      </w:r>
      <w:r w:rsidRPr="009A3014">
        <w:rPr>
          <w:rFonts w:ascii="Times New Roman" w:hAnsi="Times New Roman" w:cs="Times New Roman"/>
          <w:color w:val="000000" w:themeColor="text1"/>
          <w:sz w:val="24"/>
          <w:szCs w:val="24"/>
          <w:lang w:val="en-GB"/>
        </w:rPr>
        <w:t>mm size pieces and plated on collagen coated 6 cm dishes. After 10 to 14 days alkaline phosphatase</w:t>
      </w:r>
      <w:r w:rsidR="009A3014" w:rsidRPr="009A3014">
        <w:rPr>
          <w:rFonts w:ascii="Times New Roman" w:hAnsi="Times New Roman" w:cs="Times New Roman"/>
          <w:color w:val="000000" w:themeColor="text1"/>
          <w:sz w:val="24"/>
          <w:szCs w:val="24"/>
          <w:lang w:val="en-GB"/>
        </w:rPr>
        <w:t xml:space="preserve"> positive cells were sorted. MAB</w:t>
      </w:r>
      <w:r w:rsidRPr="009A3014">
        <w:rPr>
          <w:rFonts w:ascii="Times New Roman" w:hAnsi="Times New Roman" w:cs="Times New Roman"/>
          <w:color w:val="000000" w:themeColor="text1"/>
          <w:sz w:val="24"/>
          <w:szCs w:val="24"/>
          <w:lang w:val="en-GB"/>
        </w:rPr>
        <w:t>s were cultured at 37°C in a 5% CO</w:t>
      </w:r>
      <w:r w:rsidRPr="009A3014">
        <w:rPr>
          <w:rFonts w:ascii="Times New Roman" w:hAnsi="Times New Roman" w:cs="Times New Roman"/>
          <w:color w:val="000000" w:themeColor="text1"/>
          <w:sz w:val="24"/>
          <w:szCs w:val="24"/>
          <w:vertAlign w:val="subscript"/>
          <w:lang w:val="en-GB"/>
        </w:rPr>
        <w:t>2</w:t>
      </w:r>
      <w:r w:rsidRPr="009A3014">
        <w:rPr>
          <w:rFonts w:ascii="Times New Roman" w:hAnsi="Times New Roman" w:cs="Times New Roman"/>
          <w:color w:val="000000" w:themeColor="text1"/>
          <w:sz w:val="24"/>
          <w:szCs w:val="24"/>
          <w:lang w:val="en-GB"/>
        </w:rPr>
        <w:t>, 5% O</w:t>
      </w:r>
      <w:r w:rsidRPr="009A3014">
        <w:rPr>
          <w:rFonts w:ascii="Times New Roman" w:hAnsi="Times New Roman" w:cs="Times New Roman"/>
          <w:color w:val="000000" w:themeColor="text1"/>
          <w:sz w:val="24"/>
          <w:szCs w:val="24"/>
          <w:vertAlign w:val="subscript"/>
          <w:lang w:val="en-GB"/>
        </w:rPr>
        <w:t>2</w:t>
      </w:r>
      <w:r w:rsidRPr="009A3014">
        <w:rPr>
          <w:rFonts w:ascii="Times New Roman" w:hAnsi="Times New Roman" w:cs="Times New Roman"/>
          <w:color w:val="000000" w:themeColor="text1"/>
          <w:sz w:val="24"/>
          <w:szCs w:val="24"/>
          <w:lang w:val="en-GB"/>
        </w:rPr>
        <w:t xml:space="preserve"> humidified incubator in DMEM supplemented </w:t>
      </w:r>
      <w:r w:rsidRPr="009A3014">
        <w:rPr>
          <w:rFonts w:ascii="Times New Roman" w:hAnsi="Times New Roman" w:cs="Times New Roman"/>
          <w:sz w:val="24"/>
          <w:szCs w:val="24"/>
          <w:lang w:val="en-GB"/>
        </w:rPr>
        <w:t xml:space="preserve">with 20% FBS, 1% Pen-Strep, 1% L-glutamine, 1% sodium pyruvate, 1% non-essential amino acids, and 0.2% b-mercaptoethanol, (all reagents from GIBCO, City, State, USA). </w:t>
      </w:r>
      <w:r w:rsidRPr="009A3014">
        <w:rPr>
          <w:rFonts w:ascii="Times New Roman" w:hAnsi="Times New Roman" w:cs="Times New Roman"/>
          <w:sz w:val="24"/>
          <w:szCs w:val="24"/>
          <w:u w:color="131413"/>
          <w:lang w:val="en-GB"/>
        </w:rPr>
        <w:t xml:space="preserve">To enable tracking MABs after injection </w:t>
      </w:r>
      <w:r w:rsidRPr="009A3014">
        <w:rPr>
          <w:rFonts w:ascii="Times New Roman" w:hAnsi="Times New Roman" w:cs="Times New Roman"/>
          <w:i/>
          <w:sz w:val="24"/>
          <w:szCs w:val="24"/>
          <w:u w:color="131413"/>
          <w:lang w:val="en-GB"/>
        </w:rPr>
        <w:t>in vivo</w:t>
      </w:r>
      <w:r w:rsidRPr="009A3014">
        <w:rPr>
          <w:rFonts w:ascii="Times New Roman" w:hAnsi="Times New Roman" w:cs="Times New Roman"/>
          <w:sz w:val="24"/>
          <w:szCs w:val="24"/>
          <w:u w:color="131413"/>
          <w:lang w:val="en-GB"/>
        </w:rPr>
        <w:t xml:space="preserve"> and in real time, and to prove cell viability, MABs were transduced with a lentiviral vector LV_CMV</w:t>
      </w:r>
      <w:r w:rsidRPr="009A3014">
        <w:rPr>
          <w:rFonts w:ascii="Times New Roman" w:hAnsi="Times New Roman" w:cs="Times New Roman"/>
          <w:sz w:val="24"/>
          <w:szCs w:val="24"/>
          <w:lang w:val="en-GB"/>
        </w:rPr>
        <w:t>-eGFP-T2A-fLuc or, in the third experiment, LV</w:t>
      </w:r>
      <w:r w:rsidR="0018140A">
        <w:rPr>
          <w:rFonts w:ascii="Times New Roman" w:hAnsi="Times New Roman" w:cs="Times New Roman"/>
          <w:sz w:val="24"/>
          <w:szCs w:val="24"/>
          <w:lang w:val="en-GB"/>
        </w:rPr>
        <w:t>_</w:t>
      </w:r>
      <w:r w:rsidRPr="009A3014">
        <w:rPr>
          <w:rFonts w:ascii="Times New Roman" w:hAnsi="Times New Roman" w:cs="Times New Roman"/>
          <w:sz w:val="24"/>
          <w:szCs w:val="24"/>
          <w:lang w:val="en-GB"/>
        </w:rPr>
        <w:t>SFFV-VEGF165-T2A-tCD34 (VEGF165 cDNA co-expressed with a truncated form of CD34) constructed at 1:100 concentration for 48 hours (virus titer 2.34e+08 TU/mL), and subsequently sorted as GFP</w:t>
      </w:r>
      <w:r w:rsidRPr="009A3014">
        <w:rPr>
          <w:rFonts w:ascii="Times New Roman" w:hAnsi="Times New Roman" w:cs="Times New Roman"/>
          <w:sz w:val="24"/>
          <w:szCs w:val="24"/>
          <w:vertAlign w:val="superscript"/>
          <w:lang w:val="en-GB"/>
        </w:rPr>
        <w:t>+</w:t>
      </w:r>
      <w:r w:rsidRPr="009A3014">
        <w:rPr>
          <w:rFonts w:ascii="Times New Roman" w:hAnsi="Times New Roman" w:cs="Times New Roman"/>
          <w:sz w:val="24"/>
          <w:szCs w:val="24"/>
          <w:lang w:val="en-GB"/>
        </w:rPr>
        <w:t xml:space="preserve"> fraction. All vectors are constructed </w:t>
      </w:r>
      <w:r w:rsidR="0018140A">
        <w:rPr>
          <w:rFonts w:ascii="Times New Roman" w:hAnsi="Times New Roman" w:cs="Times New Roman"/>
          <w:sz w:val="24"/>
          <w:szCs w:val="24"/>
          <w:lang w:val="en-GB"/>
        </w:rPr>
        <w:t xml:space="preserve">and produced </w:t>
      </w:r>
      <w:r w:rsidRPr="009A3014">
        <w:rPr>
          <w:rFonts w:ascii="Times New Roman" w:hAnsi="Times New Roman" w:cs="Times New Roman"/>
          <w:sz w:val="24"/>
          <w:szCs w:val="24"/>
          <w:lang w:val="en-GB"/>
        </w:rPr>
        <w:t>by the Leuven Viral Vector Core</w:t>
      </w:r>
      <w:r w:rsidR="0018140A">
        <w:rPr>
          <w:rFonts w:ascii="Times New Roman" w:hAnsi="Times New Roman" w:cs="Times New Roman"/>
          <w:sz w:val="24"/>
          <w:szCs w:val="24"/>
          <w:lang w:val="en-GB"/>
        </w:rPr>
        <w:t xml:space="preserve"> as described earlier</w:t>
      </w:r>
      <w:r w:rsidR="004C4A9C">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{"citationItems":[{"id":"ITEM-1","itemData":{"author":[{"dropping-particle":"","family":"Ibrahimi,Abdelilah; vande Velde, Greetje; Reumers, Veerle;Jaan Toelen, Irina Thiry, Caroline Vandeputte, Sofie Vets, Christophe Deroose, Guy Bormans, Veerle Baekelandt, Zeger Debyser","given":"Rik Gijsbers","non-dropping-particle":"","parse-names":false,"suffix":""}],"container-title":"Human Gene Therapy","id":"ITEM-1","issue":"8","issued":{"date-parts":[["2009"]]},"page":"845-860","title":"Highly Efficient Multicistronic Lentiviral Vectors","type":"article-journal","volume":"20"},"uris":["http://www.mendeley.com/documents/?uuid=4df6b8ee-99cc-47e0-bbc5-706bef10ef56"]}],"mendeley":{"formattedCitation":"[2]","plainTextFormattedCitation":"[2]"},"properties":{"noteIndex":0},"schema":"https://github.com/citation-style-language/schema/raw/master/csl-citation.json"}</w:instrText>
      </w:r>
      <w:r w:rsidR="004C4A9C">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[2]</w:t>
      </w:r>
      <w:r w:rsidR="004C4A9C">
        <w:rPr>
          <w:rFonts w:ascii="Times New Roman" w:hAnsi="Times New Roman" w:cs="Times New Roman"/>
          <w:sz w:val="24"/>
          <w:szCs w:val="24"/>
          <w:lang w:val="en-GB"/>
        </w:rPr>
        <w:fldChar w:fldCharType="end"/>
      </w:r>
      <w:r w:rsidR="004C4A9C">
        <w:rPr>
          <w:rFonts w:ascii="Times New Roman" w:hAnsi="Times New Roman" w:cs="Times New Roman"/>
          <w:sz w:val="24"/>
          <w:szCs w:val="24"/>
          <w:lang w:val="en-GB"/>
        </w:rPr>
        <w:t>.</w:t>
      </w:r>
      <w:r w:rsidR="0018140A">
        <w:rPr>
          <w:rFonts w:ascii="Times New Roman" w:hAnsi="Times New Roman" w:cs="Times New Roman"/>
          <w:sz w:val="24"/>
          <w:szCs w:val="24"/>
          <w:lang w:val="en-GB"/>
        </w:rPr>
        <w:t xml:space="preserve"> </w:t>
      </w:r>
    </w:p>
    <w:p w14:paraId="3E829E14" w14:textId="77777777" w:rsidR="006F74A9" w:rsidRPr="009A3014" w:rsidRDefault="006F74A9" w:rsidP="006F74A9">
      <w:pPr>
        <w:pStyle w:val="NormalWeb"/>
        <w:spacing w:before="0" w:beforeAutospacing="0" w:after="270" w:afterAutospacing="0" w:line="360" w:lineRule="auto"/>
        <w:jc w:val="both"/>
        <w:rPr>
          <w:b/>
          <w:color w:val="202020"/>
        </w:rPr>
      </w:pPr>
    </w:p>
    <w:p w14:paraId="13F74362" w14:textId="0FE0CF6F" w:rsidR="006F74A9" w:rsidRPr="009A3014" w:rsidRDefault="00CD0A0E" w:rsidP="006F74A9">
      <w:pPr>
        <w:pStyle w:val="NormalWeb"/>
        <w:spacing w:before="0" w:beforeAutospacing="0" w:after="0" w:afterAutospacing="0" w:line="360" w:lineRule="auto"/>
        <w:jc w:val="both"/>
        <w:rPr>
          <w:b/>
          <w:color w:val="202020"/>
        </w:rPr>
      </w:pPr>
      <w:r w:rsidRPr="009A3014">
        <w:rPr>
          <w:b/>
          <w:color w:val="202020"/>
        </w:rPr>
        <w:t>S2. Cytokine array</w:t>
      </w:r>
    </w:p>
    <w:p w14:paraId="3FB758BC" w14:textId="3EFF3BF5" w:rsidR="002A4134" w:rsidRPr="009A3014" w:rsidRDefault="002A4134" w:rsidP="006F74A9">
      <w:pPr>
        <w:pStyle w:val="NormalWeb"/>
        <w:spacing w:before="0" w:beforeAutospacing="0" w:after="0" w:afterAutospacing="0" w:line="360" w:lineRule="auto"/>
        <w:jc w:val="both"/>
        <w:rPr>
          <w:b/>
          <w:color w:val="202020"/>
        </w:rPr>
      </w:pPr>
      <w:r w:rsidRPr="009A3014">
        <w:rPr>
          <w:color w:val="202020"/>
        </w:rPr>
        <w:t>Supernatants from MABs</w:t>
      </w:r>
      <w:r w:rsidRPr="009A3014">
        <w:rPr>
          <w:color w:val="202020"/>
          <w:vertAlign w:val="superscript"/>
        </w:rPr>
        <w:t xml:space="preserve">allo </w:t>
      </w:r>
      <w:r w:rsidR="009A3014" w:rsidRPr="009A3014">
        <w:rPr>
          <w:color w:val="202020"/>
        </w:rPr>
        <w:t>and MABs</w:t>
      </w:r>
      <w:r w:rsidRPr="009A3014">
        <w:rPr>
          <w:color w:val="202020"/>
          <w:vertAlign w:val="superscript"/>
        </w:rPr>
        <w:t xml:space="preserve">allo-VEGF </w:t>
      </w:r>
      <w:r w:rsidRPr="009A3014">
        <w:rPr>
          <w:color w:val="202020"/>
        </w:rPr>
        <w:t xml:space="preserve">were collected after 48h of culture. Fresh culture medium was used as control. </w:t>
      </w:r>
      <w:r w:rsidR="00DC24E6" w:rsidRPr="009A3014">
        <w:rPr>
          <w:color w:val="202020"/>
        </w:rPr>
        <w:t xml:space="preserve">Protein were extracted using RIPA lysis and extraction buffer. </w:t>
      </w:r>
      <w:r w:rsidRPr="009A3014">
        <w:rPr>
          <w:color w:val="202020"/>
        </w:rPr>
        <w:t>Array membranes, each in separate wells of an 8-well plate, were incubated for 30 min of blocking buffer</w:t>
      </w:r>
      <w:r w:rsidRPr="009A3014">
        <w:rPr>
          <w:strike/>
          <w:color w:val="202020"/>
        </w:rPr>
        <w:t xml:space="preserve">.  </w:t>
      </w:r>
      <w:r w:rsidRPr="009A3014">
        <w:rPr>
          <w:color w:val="202020"/>
        </w:rPr>
        <w:t>After the membranes were thoroughly washed with wash buffer I and II, of biotin-conjugated antibodies at 1:1000-fold dilution was added to each membrane, and t</w:t>
      </w:r>
      <w:r w:rsidR="009A3014" w:rsidRPr="009A3014">
        <w:rPr>
          <w:color w:val="202020"/>
        </w:rPr>
        <w:t>he mixture was incubated on a ro</w:t>
      </w:r>
      <w:r w:rsidRPr="009A3014">
        <w:rPr>
          <w:color w:val="202020"/>
        </w:rPr>
        <w:t>tator at 4</w:t>
      </w:r>
      <w:r w:rsidRPr="009A3014">
        <w:rPr>
          <w:color w:val="202020"/>
          <w:vertAlign w:val="superscript"/>
        </w:rPr>
        <w:t>o</w:t>
      </w:r>
      <w:r w:rsidR="009A3014" w:rsidRPr="009A3014">
        <w:rPr>
          <w:color w:val="202020"/>
          <w:vertAlign w:val="superscript"/>
        </w:rPr>
        <w:t xml:space="preserve"> </w:t>
      </w:r>
      <w:r w:rsidRPr="009A3014">
        <w:rPr>
          <w:color w:val="202020"/>
        </w:rPr>
        <w:t>C overnight. Primary antibodies were washed and the membranes were incubated with a 1:1000 dilution of HRP-conjugated streptavidin for 2 hours at room temperature. Proteins were detected by detection buffer C and D provided in kit and signals were captured by CCD camera (.10 min of exposure time)</w:t>
      </w:r>
      <w:r w:rsidR="00DC24E6" w:rsidRPr="009A3014">
        <w:rPr>
          <w:color w:val="202020"/>
        </w:rPr>
        <w:t>.</w:t>
      </w:r>
      <w:r w:rsidR="00D75E13" w:rsidRPr="009A3014">
        <w:rPr>
          <w:color w:val="202020"/>
        </w:rPr>
        <w:t xml:space="preserve"> </w:t>
      </w:r>
      <w:r w:rsidR="00D75E13" w:rsidRPr="009A3014">
        <w:rPr>
          <w:color w:val="000000"/>
        </w:rPr>
        <w:t>Detection of spots using chemiluminescence were acquired using a Biorad Chemidoc XRS+. The intensity of each dot was quantified using ImageJ with “dot blot analysis” pipeline. The signal was normalised to the average of positive control signals in each membrane for comparison of between arrays.</w:t>
      </w:r>
    </w:p>
    <w:p w14:paraId="4AE693CE" w14:textId="77777777" w:rsidR="006F74A9" w:rsidRPr="009A3014" w:rsidRDefault="006F74A9" w:rsidP="006F74A9">
      <w:pPr>
        <w:spacing w:line="360" w:lineRule="auto"/>
        <w:jc w:val="both"/>
        <w:rPr>
          <w:rFonts w:ascii="Times New Roman" w:hAnsi="Times New Roman" w:cs="Times New Roman"/>
          <w:b/>
          <w:sz w:val="24"/>
          <w:szCs w:val="24"/>
          <w:lang w:val="en-US"/>
        </w:rPr>
      </w:pPr>
    </w:p>
    <w:p w14:paraId="3A1B43D8" w14:textId="77777777" w:rsidR="00E94F37" w:rsidRDefault="00E94F37" w:rsidP="006F74A9">
      <w:pPr>
        <w:spacing w:after="0" w:line="360" w:lineRule="auto"/>
        <w:jc w:val="both"/>
        <w:rPr>
          <w:rFonts w:ascii="Times New Roman" w:hAnsi="Times New Roman" w:cs="Times New Roman"/>
          <w:b/>
          <w:sz w:val="24"/>
          <w:szCs w:val="24"/>
          <w:lang w:val="en-US"/>
        </w:rPr>
      </w:pPr>
    </w:p>
    <w:p w14:paraId="014E424B" w14:textId="77777777" w:rsidR="00E94F37" w:rsidRDefault="00E94F37" w:rsidP="006F74A9">
      <w:pPr>
        <w:spacing w:after="0" w:line="360" w:lineRule="auto"/>
        <w:jc w:val="both"/>
        <w:rPr>
          <w:rFonts w:ascii="Times New Roman" w:hAnsi="Times New Roman" w:cs="Times New Roman"/>
          <w:b/>
          <w:sz w:val="24"/>
          <w:szCs w:val="24"/>
          <w:lang w:val="en-US"/>
        </w:rPr>
      </w:pPr>
    </w:p>
    <w:p w14:paraId="33042CDB" w14:textId="77777777" w:rsidR="00E94F37" w:rsidRDefault="00E94F37" w:rsidP="006F74A9">
      <w:pPr>
        <w:spacing w:after="0" w:line="360" w:lineRule="auto"/>
        <w:jc w:val="both"/>
        <w:rPr>
          <w:rFonts w:ascii="Times New Roman" w:hAnsi="Times New Roman" w:cs="Times New Roman"/>
          <w:b/>
          <w:sz w:val="24"/>
          <w:szCs w:val="24"/>
          <w:lang w:val="en-US"/>
        </w:rPr>
      </w:pPr>
    </w:p>
    <w:p w14:paraId="43BFC0C5" w14:textId="1484502B" w:rsidR="00BC6748" w:rsidRPr="009A3014" w:rsidRDefault="00951285" w:rsidP="006F74A9">
      <w:pPr>
        <w:spacing w:after="0" w:line="360" w:lineRule="auto"/>
        <w:jc w:val="both"/>
        <w:rPr>
          <w:rFonts w:ascii="Times New Roman" w:hAnsi="Times New Roman" w:cs="Times New Roman"/>
          <w:b/>
          <w:sz w:val="24"/>
          <w:szCs w:val="24"/>
          <w:lang w:val="en-US"/>
        </w:rPr>
      </w:pPr>
      <w:r w:rsidRPr="009A3014">
        <w:rPr>
          <w:rFonts w:ascii="Times New Roman" w:hAnsi="Times New Roman" w:cs="Times New Roman"/>
          <w:b/>
          <w:sz w:val="24"/>
          <w:szCs w:val="24"/>
          <w:lang w:val="en-US"/>
        </w:rPr>
        <w:lastRenderedPageBreak/>
        <w:t>S</w:t>
      </w:r>
      <w:r w:rsidR="00DC24E6" w:rsidRPr="009A3014">
        <w:rPr>
          <w:rFonts w:ascii="Times New Roman" w:hAnsi="Times New Roman" w:cs="Times New Roman"/>
          <w:b/>
          <w:sz w:val="24"/>
          <w:szCs w:val="24"/>
          <w:lang w:val="en-US"/>
        </w:rPr>
        <w:t>3</w:t>
      </w:r>
      <w:r w:rsidRPr="009A3014">
        <w:rPr>
          <w:rFonts w:ascii="Times New Roman" w:hAnsi="Times New Roman" w:cs="Times New Roman"/>
          <w:b/>
          <w:sz w:val="24"/>
          <w:szCs w:val="24"/>
          <w:lang w:val="en-US"/>
        </w:rPr>
        <w:t>.</w:t>
      </w:r>
      <w:r w:rsidR="00E506F9">
        <w:rPr>
          <w:rFonts w:ascii="Times New Roman" w:hAnsi="Times New Roman" w:cs="Times New Roman"/>
          <w:b/>
          <w:sz w:val="24"/>
          <w:szCs w:val="24"/>
          <w:lang w:val="en-US"/>
        </w:rPr>
        <w:t xml:space="preserve"> </w:t>
      </w:r>
      <w:r w:rsidR="00BC6748" w:rsidRPr="009A3014">
        <w:rPr>
          <w:rFonts w:ascii="Times New Roman" w:hAnsi="Times New Roman" w:cs="Times New Roman"/>
          <w:b/>
          <w:sz w:val="24"/>
          <w:szCs w:val="24"/>
          <w:lang w:val="en-US"/>
        </w:rPr>
        <w:t>Surgical procedure</w:t>
      </w:r>
    </w:p>
    <w:p w14:paraId="34835198" w14:textId="26F72C75" w:rsidR="000A1140" w:rsidRPr="009A3014" w:rsidRDefault="000A1140" w:rsidP="006F74A9">
      <w:pPr>
        <w:spacing w:after="0" w:line="360" w:lineRule="auto"/>
        <w:jc w:val="both"/>
        <w:rPr>
          <w:rFonts w:ascii="Times New Roman" w:hAnsi="Times New Roman" w:cs="Times New Roman"/>
          <w:b/>
          <w:i/>
          <w:sz w:val="24"/>
          <w:szCs w:val="24"/>
          <w:lang w:val="en-US"/>
        </w:rPr>
      </w:pPr>
      <w:r w:rsidRPr="009A3014">
        <w:rPr>
          <w:rFonts w:ascii="Times New Roman" w:hAnsi="Times New Roman" w:cs="Times New Roman"/>
          <w:b/>
          <w:i/>
          <w:sz w:val="24"/>
          <w:szCs w:val="24"/>
          <w:lang w:val="en-US"/>
        </w:rPr>
        <w:t>Simulated Vaginal Birth</w:t>
      </w:r>
    </w:p>
    <w:p w14:paraId="16DF7E7B" w14:textId="37CE73F0" w:rsidR="00951285" w:rsidRPr="009A3014" w:rsidRDefault="00951285" w:rsidP="006F74A9">
      <w:pPr>
        <w:spacing w:after="0" w:line="360" w:lineRule="auto"/>
        <w:jc w:val="both"/>
        <w:rPr>
          <w:rFonts w:ascii="Times New Roman" w:hAnsi="Times New Roman" w:cs="Times New Roman"/>
          <w:color w:val="222222"/>
          <w:sz w:val="24"/>
          <w:szCs w:val="24"/>
          <w:shd w:val="clear" w:color="auto" w:fill="FFFFFF"/>
          <w:vertAlign w:val="superscript"/>
          <w:lang w:val="en-GB"/>
        </w:rPr>
      </w:pPr>
      <w:r w:rsidRPr="009A3014">
        <w:rPr>
          <w:rFonts w:ascii="Times New Roman" w:hAnsi="Times New Roman" w:cs="Times New Roman"/>
          <w:color w:val="222222"/>
          <w:sz w:val="24"/>
          <w:szCs w:val="24"/>
          <w:shd w:val="clear" w:color="auto" w:fill="FFFFFF"/>
          <w:lang w:val="en-GB"/>
        </w:rPr>
        <w:t xml:space="preserve">The animal experiments were evaluated and approved by the Animal Ethics Committee of the KU Leuven (P271-2015) and </w:t>
      </w:r>
      <w:r w:rsidR="008D671A" w:rsidRPr="009A3014">
        <w:rPr>
          <w:rFonts w:ascii="Times New Roman" w:hAnsi="Times New Roman" w:cs="Times New Roman"/>
          <w:color w:val="222222"/>
          <w:sz w:val="24"/>
          <w:szCs w:val="24"/>
          <w:shd w:val="clear" w:color="auto" w:fill="FFFFFF"/>
          <w:lang w:val="en-GB"/>
        </w:rPr>
        <w:t xml:space="preserve">were </w:t>
      </w:r>
      <w:r w:rsidRPr="009A3014">
        <w:rPr>
          <w:rFonts w:ascii="Times New Roman" w:hAnsi="Times New Roman" w:cs="Times New Roman"/>
          <w:color w:val="222222"/>
          <w:sz w:val="24"/>
          <w:szCs w:val="24"/>
          <w:shd w:val="clear" w:color="auto" w:fill="FFFFFF"/>
          <w:lang w:val="en-GB"/>
        </w:rPr>
        <w:t>performed according to international guidelines. Sixty-three female virgin Sprague-Dawley rats of 12-week-old (250–300 g) were used. Rats underwent either a simulated childbirth injury by pudendal nerve crush and vaginal distension (PNC + VD; n = 42) or sham (n = 15)</w:t>
      </w:r>
      <w:r w:rsidR="000B1D9F" w:rsidRPr="009A3014">
        <w:rPr>
          <w:rFonts w:ascii="Times New Roman" w:hAnsi="Times New Roman" w:cs="Times New Roman"/>
          <w:color w:val="222222"/>
          <w:sz w:val="24"/>
          <w:szCs w:val="24"/>
          <w:shd w:val="clear" w:color="auto" w:fill="FFFFFF"/>
          <w:lang w:val="en-GB"/>
        </w:rPr>
        <w:t xml:space="preserve">. </w:t>
      </w:r>
      <w:r w:rsidRPr="009A3014">
        <w:rPr>
          <w:rFonts w:ascii="Times New Roman" w:hAnsi="Times New Roman" w:cs="Times New Roman"/>
          <w:sz w:val="24"/>
          <w:szCs w:val="24"/>
          <w:lang w:val="en-US"/>
        </w:rPr>
        <w:t>Anaesthesia was performed in an induction chamber with 5% of Isoflurane (Iso-Vet</w:t>
      </w:r>
      <w:r w:rsidRPr="009A3014">
        <w:rPr>
          <w:rFonts w:ascii="Times New Roman" w:hAnsi="Times New Roman" w:cs="Times New Roman"/>
          <w:sz w:val="24"/>
          <w:szCs w:val="24"/>
          <w:vertAlign w:val="superscript"/>
          <w:lang w:val="en-US"/>
        </w:rPr>
        <w:t>®</w:t>
      </w:r>
      <w:r w:rsidRPr="009A3014">
        <w:rPr>
          <w:rFonts w:ascii="Times New Roman" w:hAnsi="Times New Roman" w:cs="Times New Roman"/>
          <w:sz w:val="24"/>
          <w:szCs w:val="24"/>
          <w:lang w:val="en-US"/>
        </w:rPr>
        <w:t>; Piramal Healthcare UK Ltd, Morpeth; United Kingdom) and maintained with a combination of ketamine (65 mg/kg) (Nimatek</w:t>
      </w:r>
      <w:r w:rsidRPr="009A3014">
        <w:rPr>
          <w:rFonts w:ascii="Times New Roman" w:hAnsi="Times New Roman" w:cs="Times New Roman"/>
          <w:sz w:val="24"/>
          <w:szCs w:val="24"/>
          <w:vertAlign w:val="superscript"/>
          <w:lang w:val="en-US"/>
        </w:rPr>
        <w:t>®</w:t>
      </w:r>
      <w:r w:rsidRPr="009A3014">
        <w:rPr>
          <w:rFonts w:ascii="Times New Roman" w:hAnsi="Times New Roman" w:cs="Times New Roman"/>
          <w:sz w:val="24"/>
          <w:szCs w:val="24"/>
          <w:lang w:val="en-US"/>
        </w:rPr>
        <w:t>; Eurovet Animal Health B.V.; Bladel; Nederland), buprenorphine (0.05 mg/kg) and xylazine (10 mg/kg) (Xyl –M</w:t>
      </w:r>
      <w:r w:rsidRPr="009A3014">
        <w:rPr>
          <w:rFonts w:ascii="Times New Roman" w:hAnsi="Times New Roman" w:cs="Times New Roman"/>
          <w:sz w:val="24"/>
          <w:szCs w:val="24"/>
          <w:vertAlign w:val="superscript"/>
          <w:lang w:val="en-US"/>
        </w:rPr>
        <w:t>®</w:t>
      </w:r>
      <w:r w:rsidRPr="009A3014">
        <w:rPr>
          <w:rFonts w:ascii="Times New Roman" w:hAnsi="Times New Roman" w:cs="Times New Roman"/>
          <w:sz w:val="24"/>
          <w:szCs w:val="24"/>
          <w:lang w:val="en-US"/>
        </w:rPr>
        <w:t>; VMD; Arendonk; Belgium). After the skin was disinfected with polyvidone iodine 7.5% (Braunol</w:t>
      </w:r>
      <w:r w:rsidRPr="009A3014">
        <w:rPr>
          <w:rFonts w:ascii="Times New Roman" w:hAnsi="Times New Roman" w:cs="Times New Roman"/>
          <w:sz w:val="24"/>
          <w:szCs w:val="24"/>
          <w:vertAlign w:val="superscript"/>
          <w:lang w:val="en-US"/>
        </w:rPr>
        <w:t>®</w:t>
      </w:r>
      <w:r w:rsidRPr="009A3014">
        <w:rPr>
          <w:rFonts w:ascii="Times New Roman" w:hAnsi="Times New Roman" w:cs="Times New Roman"/>
          <w:sz w:val="24"/>
          <w:szCs w:val="24"/>
          <w:lang w:val="en-US"/>
        </w:rPr>
        <w:t>; B. Braun Medical, Machelen, Belgium) the animal was draped in a sterile manner and kept on a heating pad until recovery.</w:t>
      </w:r>
      <w:r w:rsidRPr="009A3014">
        <w:rPr>
          <w:rFonts w:ascii="Times New Roman" w:hAnsi="Times New Roman" w:cs="Times New Roman"/>
          <w:color w:val="222222"/>
          <w:sz w:val="24"/>
          <w:szCs w:val="24"/>
          <w:shd w:val="clear" w:color="auto" w:fill="FFFFFF"/>
          <w:vertAlign w:val="superscript"/>
          <w:lang w:val="en-GB"/>
        </w:rPr>
        <w:t xml:space="preserve"> </w:t>
      </w:r>
      <w:r w:rsidRPr="009A3014">
        <w:rPr>
          <w:rFonts w:ascii="Times New Roman" w:hAnsi="Times New Roman" w:cs="Times New Roman"/>
          <w:color w:val="222222"/>
          <w:sz w:val="24"/>
          <w:szCs w:val="24"/>
          <w:shd w:val="clear" w:color="auto" w:fill="FFFFFF"/>
          <w:lang w:val="en-GB"/>
        </w:rPr>
        <w:t>To induce PNC injury, an incision was made in the dorsolumbar area; the pudendal nerve was identified in the ischiorectal fossa and crushed twice with a needle holder for 30 sec. For simulated VD, a modified 10Fr Foley catheter was inserted into the vagina and the balloon was inflated to 3 mL for 4 h. All animals were kept on a heating pad during surgery and recovery. For post-operative pain-relief, buprenorphine was administered IP for 2 days (0.1 mg/kg, BID).</w:t>
      </w:r>
    </w:p>
    <w:p w14:paraId="7601E7F3" w14:textId="77777777" w:rsidR="006F74A9" w:rsidRPr="009A3014" w:rsidRDefault="006F74A9" w:rsidP="000B1D9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line="360" w:lineRule="auto"/>
        <w:jc w:val="both"/>
        <w:outlineLvl w:val="2"/>
        <w:rPr>
          <w:rFonts w:ascii="Times New Roman" w:eastAsia="Times New Roman" w:hAnsi="Times New Roman" w:cs="Times New Roman"/>
          <w:b/>
          <w:i/>
          <w:color w:val="222222"/>
          <w:sz w:val="24"/>
          <w:szCs w:val="24"/>
          <w:bdr w:val="none" w:sz="0" w:space="0" w:color="auto"/>
          <w:lang w:val="en-GB" w:eastAsia="en-GB"/>
        </w:rPr>
      </w:pPr>
    </w:p>
    <w:p w14:paraId="2F6C9BD8" w14:textId="7D59B857" w:rsidR="00951285" w:rsidRPr="009A3014" w:rsidRDefault="00951285" w:rsidP="000B1D9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line="360" w:lineRule="auto"/>
        <w:jc w:val="both"/>
        <w:outlineLvl w:val="2"/>
        <w:rPr>
          <w:rFonts w:ascii="Times New Roman" w:eastAsia="Times New Roman" w:hAnsi="Times New Roman" w:cs="Times New Roman"/>
          <w:b/>
          <w:i/>
          <w:color w:val="222222"/>
          <w:sz w:val="24"/>
          <w:szCs w:val="24"/>
          <w:bdr w:val="none" w:sz="0" w:space="0" w:color="auto"/>
          <w:lang w:val="en-GB" w:eastAsia="en-GB"/>
        </w:rPr>
      </w:pPr>
      <w:r w:rsidRPr="009A3014">
        <w:rPr>
          <w:rFonts w:ascii="Times New Roman" w:eastAsia="Times New Roman" w:hAnsi="Times New Roman" w:cs="Times New Roman"/>
          <w:b/>
          <w:i/>
          <w:color w:val="222222"/>
          <w:sz w:val="24"/>
          <w:szCs w:val="24"/>
          <w:bdr w:val="none" w:sz="0" w:space="0" w:color="auto"/>
          <w:lang w:val="en-GB" w:eastAsia="en-GB"/>
        </w:rPr>
        <w:t>MABs administration</w:t>
      </w:r>
    </w:p>
    <w:p w14:paraId="7D0A1678" w14:textId="07610FC8" w:rsidR="000B1D9F" w:rsidRPr="009A3014" w:rsidRDefault="00951285" w:rsidP="000B1D9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360" w:lineRule="auto"/>
        <w:jc w:val="both"/>
        <w:rPr>
          <w:rFonts w:ascii="Times New Roman" w:hAnsi="Times New Roman" w:cs="Times New Roman"/>
          <w:color w:val="auto"/>
          <w:sz w:val="24"/>
          <w:szCs w:val="24"/>
          <w:lang w:val="en-US"/>
        </w:rPr>
      </w:pPr>
      <w:r w:rsidRPr="009A3014">
        <w:rPr>
          <w:rFonts w:ascii="Times New Roman" w:eastAsia="Times New Roman" w:hAnsi="Times New Roman" w:cs="Times New Roman"/>
          <w:color w:val="222222"/>
          <w:sz w:val="24"/>
          <w:szCs w:val="24"/>
          <w:bdr w:val="none" w:sz="0" w:space="0" w:color="auto"/>
          <w:lang w:val="en-GB" w:eastAsia="en-GB"/>
        </w:rPr>
        <w:t xml:space="preserve">Animals were kept under general anesthesia during administration of cells with 1.5% isoflurane in 100% oxygen at 1.5 L/min. Cells were administered into the aorta. First a ventral midline laparotomy was performed. Next, </w:t>
      </w:r>
      <w:r w:rsidR="000A1140" w:rsidRPr="009A3014">
        <w:rPr>
          <w:rFonts w:ascii="Times New Roman" w:eastAsia="Times New Roman" w:hAnsi="Times New Roman" w:cs="Times New Roman"/>
          <w:color w:val="222222"/>
          <w:sz w:val="24"/>
          <w:szCs w:val="24"/>
          <w:bdr w:val="none" w:sz="0" w:space="0" w:color="auto"/>
          <w:lang w:val="en-GB" w:eastAsia="en-GB"/>
        </w:rPr>
        <w:t>the internal</w:t>
      </w:r>
      <w:r w:rsidRPr="009A3014">
        <w:rPr>
          <w:rFonts w:ascii="Times New Roman" w:eastAsia="Times New Roman" w:hAnsi="Times New Roman" w:cs="Times New Roman"/>
          <w:color w:val="222222"/>
          <w:sz w:val="24"/>
          <w:szCs w:val="24"/>
          <w:bdr w:val="none" w:sz="0" w:space="0" w:color="auto"/>
          <w:lang w:val="en-GB" w:eastAsia="en-GB"/>
        </w:rPr>
        <w:t xml:space="preserve"> iliac was dissected </w:t>
      </w:r>
      <w:r w:rsidR="000A1140" w:rsidRPr="009A3014">
        <w:rPr>
          <w:rFonts w:ascii="Times New Roman" w:eastAsia="Times New Roman" w:hAnsi="Times New Roman" w:cs="Times New Roman"/>
          <w:color w:val="222222"/>
          <w:sz w:val="24"/>
          <w:szCs w:val="24"/>
          <w:bdr w:val="none" w:sz="0" w:space="0" w:color="auto"/>
          <w:lang w:val="en-GB" w:eastAsia="en-GB"/>
        </w:rPr>
        <w:t xml:space="preserve">(for the clamp placement) </w:t>
      </w:r>
      <w:r w:rsidRPr="009A3014">
        <w:rPr>
          <w:rFonts w:ascii="Times New Roman" w:eastAsia="Times New Roman" w:hAnsi="Times New Roman" w:cs="Times New Roman"/>
          <w:color w:val="222222"/>
          <w:sz w:val="24"/>
          <w:szCs w:val="24"/>
          <w:bdr w:val="none" w:sz="0" w:space="0" w:color="auto"/>
          <w:lang w:val="en-GB" w:eastAsia="en-GB"/>
        </w:rPr>
        <w:t xml:space="preserve">and a loose ligature was placed close to the aorta bifurcation to facilitate the insertion of the needle later on. In order to direct the flow of the injected cells towards the pelvic organs, </w:t>
      </w:r>
      <w:r w:rsidR="000A1140" w:rsidRPr="009A3014">
        <w:rPr>
          <w:rFonts w:ascii="Times New Roman" w:eastAsia="Times New Roman" w:hAnsi="Times New Roman" w:cs="Times New Roman"/>
          <w:color w:val="222222"/>
          <w:sz w:val="24"/>
          <w:szCs w:val="24"/>
          <w:bdr w:val="none" w:sz="0" w:space="0" w:color="auto"/>
          <w:lang w:val="en-GB" w:eastAsia="en-GB"/>
        </w:rPr>
        <w:t xml:space="preserve">both internal iliacs were occluded with a vascular clamp </w:t>
      </w:r>
      <w:r w:rsidRPr="009A3014">
        <w:rPr>
          <w:rFonts w:ascii="Times New Roman" w:eastAsia="Times New Roman" w:hAnsi="Times New Roman" w:cs="Times New Roman"/>
          <w:color w:val="222222"/>
          <w:sz w:val="24"/>
          <w:szCs w:val="24"/>
          <w:bdr w:val="none" w:sz="0" w:space="0" w:color="auto"/>
          <w:lang w:val="en-GB" w:eastAsia="en-GB"/>
        </w:rPr>
        <w:t xml:space="preserve">for 10–20 s. Antegrade catheterization </w:t>
      </w:r>
      <w:r w:rsidR="000A1140" w:rsidRPr="009A3014">
        <w:rPr>
          <w:rFonts w:ascii="Times New Roman" w:hAnsi="Times New Roman" w:cs="Times New Roman"/>
          <w:color w:val="222222"/>
          <w:sz w:val="24"/>
          <w:szCs w:val="24"/>
          <w:shd w:val="clear" w:color="auto" w:fill="FFFFFF"/>
          <w:lang w:val="en-GB"/>
        </w:rPr>
        <w:t xml:space="preserve">at a 45°angle was performed using a 33 G needle (Acu-Needle, Acuderm, Fort Lauderdale-FL, USA) directly into the aorta and the treatment was administered. After injection, the needle was removed, and the injection site was compressed with a resorbable collagen membrane (Lyostypt®, B. Braun, Aesculap, Tuttlingen, Germany). </w:t>
      </w:r>
      <w:r w:rsidR="00CC6F25" w:rsidRPr="009A3014">
        <w:rPr>
          <w:rFonts w:ascii="Times New Roman" w:hAnsi="Times New Roman" w:cs="Times New Roman"/>
          <w:color w:val="222222"/>
          <w:sz w:val="24"/>
          <w:szCs w:val="24"/>
          <w:shd w:val="clear" w:color="auto" w:fill="FFFFFF"/>
          <w:lang w:val="en-GB"/>
        </w:rPr>
        <w:t>The a</w:t>
      </w:r>
      <w:r w:rsidRPr="009A3014">
        <w:rPr>
          <w:rFonts w:ascii="Times New Roman" w:hAnsi="Times New Roman" w:cs="Times New Roman"/>
          <w:color w:val="222222"/>
          <w:sz w:val="24"/>
          <w:szCs w:val="24"/>
          <w:shd w:val="clear" w:color="auto" w:fill="FFFFFF"/>
          <w:lang w:val="en-GB"/>
        </w:rPr>
        <w:t>bdominal wall was closed with a 3-0 monofilament polypropylene suture in two layers (Prolene, Ethicon, Zaventem, Belgium).</w:t>
      </w:r>
      <w:r w:rsidR="000A1140" w:rsidRPr="009A3014">
        <w:rPr>
          <w:rFonts w:ascii="Times New Roman" w:hAnsi="Times New Roman" w:cs="Times New Roman"/>
          <w:color w:val="222222"/>
          <w:sz w:val="24"/>
          <w:szCs w:val="24"/>
          <w:shd w:val="clear" w:color="auto" w:fill="FFFFFF"/>
          <w:lang w:val="en-GB"/>
        </w:rPr>
        <w:t xml:space="preserve"> </w:t>
      </w:r>
      <w:r w:rsidR="000A1140" w:rsidRPr="009A3014">
        <w:rPr>
          <w:rFonts w:ascii="Times New Roman" w:hAnsi="Times New Roman" w:cs="Times New Roman"/>
          <w:color w:val="auto"/>
          <w:sz w:val="24"/>
          <w:szCs w:val="24"/>
          <w:lang w:val="en-US"/>
        </w:rPr>
        <w:t>Rats also received heparin (400 UI/kg; IM) 1h before injection of cells, and 1 minute before injection the vasodilator isosorbide dinitrate (1</w:t>
      </w:r>
      <w:r w:rsidR="00CC6F25" w:rsidRPr="009A3014">
        <w:rPr>
          <w:rFonts w:ascii="Times New Roman" w:hAnsi="Times New Roman" w:cs="Times New Roman"/>
          <w:color w:val="auto"/>
          <w:sz w:val="24"/>
          <w:szCs w:val="24"/>
          <w:lang w:val="en-US"/>
        </w:rPr>
        <w:t xml:space="preserve"> </w:t>
      </w:r>
      <w:r w:rsidR="000A1140" w:rsidRPr="009A3014">
        <w:rPr>
          <w:rFonts w:ascii="Times New Roman" w:hAnsi="Times New Roman" w:cs="Times New Roman"/>
          <w:color w:val="auto"/>
          <w:sz w:val="24"/>
          <w:szCs w:val="24"/>
          <w:lang w:val="en-US"/>
        </w:rPr>
        <w:t xml:space="preserve">mg/kg; IV).  </w:t>
      </w:r>
    </w:p>
    <w:p w14:paraId="31A72354" w14:textId="77777777" w:rsidR="00DC24E6" w:rsidRPr="009A3014" w:rsidRDefault="00DC24E6" w:rsidP="000B1D9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360" w:lineRule="auto"/>
        <w:jc w:val="both"/>
        <w:rPr>
          <w:rFonts w:ascii="Times New Roman" w:hAnsi="Times New Roman" w:cs="Times New Roman"/>
          <w:color w:val="auto"/>
          <w:sz w:val="24"/>
          <w:szCs w:val="24"/>
          <w:lang w:val="en-US"/>
        </w:rPr>
      </w:pPr>
    </w:p>
    <w:p w14:paraId="44A87BBE" w14:textId="37CD4272" w:rsidR="0020284A" w:rsidRPr="009A3014" w:rsidRDefault="0020284A" w:rsidP="000B1D9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360" w:lineRule="auto"/>
        <w:jc w:val="both"/>
        <w:rPr>
          <w:rFonts w:ascii="Times New Roman" w:hAnsi="Times New Roman" w:cs="Times New Roman"/>
          <w:color w:val="auto"/>
          <w:sz w:val="24"/>
          <w:szCs w:val="24"/>
          <w:lang w:val="en-US"/>
        </w:rPr>
      </w:pPr>
      <w:r w:rsidRPr="009A3014">
        <w:rPr>
          <w:rFonts w:ascii="Times New Roman" w:hAnsi="Times New Roman" w:cs="Times New Roman"/>
          <w:b/>
          <w:bCs/>
          <w:iCs/>
          <w:sz w:val="24"/>
          <w:szCs w:val="24"/>
          <w:lang w:val="en-GB"/>
        </w:rPr>
        <w:t>S</w:t>
      </w:r>
      <w:r w:rsidR="00DC24E6" w:rsidRPr="009A3014">
        <w:rPr>
          <w:rFonts w:ascii="Times New Roman" w:hAnsi="Times New Roman" w:cs="Times New Roman"/>
          <w:b/>
          <w:bCs/>
          <w:iCs/>
          <w:sz w:val="24"/>
          <w:szCs w:val="24"/>
          <w:lang w:val="en-GB"/>
        </w:rPr>
        <w:t>4</w:t>
      </w:r>
      <w:r w:rsidRPr="009A3014">
        <w:rPr>
          <w:rFonts w:ascii="Times New Roman" w:hAnsi="Times New Roman" w:cs="Times New Roman"/>
          <w:b/>
          <w:bCs/>
          <w:iCs/>
          <w:sz w:val="24"/>
          <w:szCs w:val="24"/>
          <w:lang w:val="en-GB"/>
        </w:rPr>
        <w:t xml:space="preserve">. Vaginal strip contractility </w:t>
      </w:r>
    </w:p>
    <w:p w14:paraId="41DF8C3E" w14:textId="5FB7BDDF" w:rsidR="0020284A" w:rsidRPr="009A3014" w:rsidRDefault="00DD2D75" w:rsidP="006F74A9">
      <w:pPr>
        <w:spacing w:after="0" w:line="360" w:lineRule="auto"/>
        <w:jc w:val="both"/>
        <w:rPr>
          <w:rFonts w:ascii="Times New Roman" w:hAnsi="Times New Roman" w:cs="Times New Roman"/>
          <w:sz w:val="24"/>
          <w:szCs w:val="24"/>
          <w:lang w:val="en-GB"/>
        </w:rPr>
      </w:pPr>
      <w:r w:rsidRPr="009A3014">
        <w:rPr>
          <w:rFonts w:ascii="Times New Roman" w:hAnsi="Times New Roman" w:cs="Times New Roman"/>
          <w:sz w:val="24"/>
          <w:szCs w:val="24"/>
          <w:lang w:val="en-GB"/>
        </w:rPr>
        <w:t xml:space="preserve">Smooth muscle-strip contractility was determined using a standardized protocol </w:t>
      </w:r>
      <w:r w:rsidRPr="009A3014">
        <w:rPr>
          <w:rFonts w:ascii="Times New Roman" w:hAnsi="Times New Roman" w:cs="Times New Roman"/>
          <w:sz w:val="24"/>
          <w:szCs w:val="24"/>
        </w:rPr>
        <w:fldChar w:fldCharType="begin" w:fldLock="1"/>
      </w:r>
      <w:r w:rsidR="004C4A9C">
        <w:rPr>
          <w:rFonts w:ascii="Times New Roman" w:hAnsi="Times New Roman" w:cs="Times New Roman"/>
          <w:sz w:val="24"/>
          <w:szCs w:val="24"/>
          <w:lang w:val="en-GB"/>
        </w:rPr>
        <w:instrText>ADDIN CSL_CITATION {"citationItems":[{"id":"ITEM-1","itemData":{"DOI":"10.1002/nau.24295","author":[{"dropping-particle":"","family":"Callewaert","given":"Geertje","non-dropping-particle":"","parse-names":false,"suffix":""},{"dropping-particle":"","family":"Mori da Cunha","given":"Marina Gabriela Monteiro Carvalho","non-dropping-particle":"","parse-names":false,"suffix":""},{"dropping-particle":"","family":"Dewulf","given":"Karel","non-dropping-particle":"","parse-names":false,"suffix":""},{"dropping-particle":"","family":"Albersen","given":"Maarten","non-dropping-particle":"","parse-names":false,"suffix":""},{"dropping-particle":"","family":"Deprest","given":"Jan","non-dropping-particle":"","parse-names":false,"suffix":""}],"id":"ITEM-1","issue":"March 2019","issued":{"date-parts":[["2020"]]},"page":"898-906","title":"Simulated vaginal delivery causes transients vaginal smooth muscle hypersensitivity and urethral sphincter dysfunction","type":"article-journal"},"uris":["http://www.mendeley.com/documents/?uuid=7a94122f-4cd7-42d3-ae0f-f64d994826b5"]}],"mendeley":{"formattedCitation":"[3]","plainTextFormattedCitation":"[3]","previouslyFormattedCitation":"[4]"},"properties":{"noteIndex":0},"schema":"https://github.com/citation-style-language/schema/raw/master/csl-citation.json"}</w:instrText>
      </w:r>
      <w:r w:rsidRPr="009A3014">
        <w:rPr>
          <w:rFonts w:ascii="Times New Roman" w:hAnsi="Times New Roman" w:cs="Times New Roman"/>
          <w:sz w:val="24"/>
          <w:szCs w:val="24"/>
        </w:rPr>
        <w:fldChar w:fldCharType="separate"/>
      </w:r>
      <w:r w:rsidR="004C4A9C" w:rsidRPr="004C4A9C">
        <w:rPr>
          <w:rFonts w:ascii="Times New Roman" w:hAnsi="Times New Roman" w:cs="Times New Roman"/>
          <w:noProof/>
          <w:sz w:val="24"/>
          <w:szCs w:val="24"/>
          <w:lang w:val="en-GB"/>
        </w:rPr>
        <w:t>[3]</w:t>
      </w:r>
      <w:r w:rsidRPr="009A3014">
        <w:rPr>
          <w:rFonts w:ascii="Times New Roman" w:hAnsi="Times New Roman" w:cs="Times New Roman"/>
          <w:sz w:val="24"/>
          <w:szCs w:val="24"/>
        </w:rPr>
        <w:fldChar w:fldCharType="end"/>
      </w:r>
      <w:r w:rsidRPr="009A3014">
        <w:rPr>
          <w:rFonts w:ascii="Times New Roman" w:hAnsi="Times New Roman" w:cs="Times New Roman"/>
          <w:sz w:val="24"/>
          <w:szCs w:val="24"/>
          <w:lang w:val="en-GB"/>
        </w:rPr>
        <w:t xml:space="preserve">. The middle segment of the vagina was chosen, since that contains more smooth muscle tissue than the other segments. </w:t>
      </w:r>
      <w:r w:rsidR="0020284A" w:rsidRPr="009A3014">
        <w:rPr>
          <w:rFonts w:ascii="Times New Roman" w:hAnsi="Times New Roman" w:cs="Times New Roman"/>
          <w:sz w:val="24"/>
          <w:szCs w:val="24"/>
          <w:lang w:val="en-GB"/>
        </w:rPr>
        <w:t>Once the response to KCl reached a plateau, the tissue was washed with Krebs solution three times every 10 min until a stable baseline was reached again. Then the strip was exposed to cumulative doses of a non-selective muscarinic receptor agonist carbachol (CA) (Sigma-Aldrich) starting at 10</w:t>
      </w:r>
      <w:r w:rsidR="0020284A" w:rsidRPr="009A3014">
        <w:rPr>
          <w:rFonts w:ascii="Times New Roman" w:hAnsi="Times New Roman" w:cs="Times New Roman"/>
          <w:sz w:val="24"/>
          <w:szCs w:val="24"/>
          <w:vertAlign w:val="superscript"/>
          <w:lang w:val="en-GB"/>
        </w:rPr>
        <w:t xml:space="preserve">-8 </w:t>
      </w:r>
      <w:r w:rsidR="0020284A" w:rsidRPr="009A3014">
        <w:rPr>
          <w:rFonts w:ascii="Times New Roman" w:hAnsi="Times New Roman" w:cs="Times New Roman"/>
          <w:sz w:val="24"/>
          <w:szCs w:val="24"/>
          <w:lang w:val="en-GB"/>
        </w:rPr>
        <w:t>to 10</w:t>
      </w:r>
      <w:r w:rsidR="0020284A" w:rsidRPr="009A3014">
        <w:rPr>
          <w:rFonts w:ascii="Times New Roman" w:hAnsi="Times New Roman" w:cs="Times New Roman"/>
          <w:sz w:val="24"/>
          <w:szCs w:val="24"/>
          <w:vertAlign w:val="superscript"/>
          <w:lang w:val="en-GB"/>
        </w:rPr>
        <w:t xml:space="preserve">-4 </w:t>
      </w:r>
      <w:r w:rsidR="0020284A" w:rsidRPr="009A3014">
        <w:rPr>
          <w:rFonts w:ascii="Times New Roman" w:hAnsi="Times New Roman" w:cs="Times New Roman"/>
          <w:sz w:val="24"/>
          <w:szCs w:val="24"/>
          <w:lang w:val="en-GB"/>
        </w:rPr>
        <w:t>M to assess receptor function. The contractile responses were normalized to tissue wet weight and to the maximum KCl response for the CA protocol. Dose-response curves were fitted and the half maximal effective concentration (EC</w:t>
      </w:r>
      <w:r w:rsidR="0020284A" w:rsidRPr="009A3014">
        <w:rPr>
          <w:rFonts w:ascii="Times New Roman" w:hAnsi="Times New Roman" w:cs="Times New Roman"/>
          <w:sz w:val="24"/>
          <w:szCs w:val="24"/>
          <w:vertAlign w:val="subscript"/>
          <w:lang w:val="en-GB"/>
        </w:rPr>
        <w:t>50</w:t>
      </w:r>
      <w:r w:rsidR="0020284A" w:rsidRPr="009A3014">
        <w:rPr>
          <w:rFonts w:ascii="Times New Roman" w:hAnsi="Times New Roman" w:cs="Times New Roman"/>
          <w:sz w:val="24"/>
          <w:szCs w:val="24"/>
          <w:lang w:val="en-GB"/>
        </w:rPr>
        <w:t xml:space="preserve">) was calculated. </w:t>
      </w:r>
    </w:p>
    <w:p w14:paraId="5433034B" w14:textId="44124517" w:rsidR="00DC24E6" w:rsidRPr="009A3014" w:rsidRDefault="00DC24E6" w:rsidP="006F74A9">
      <w:pPr>
        <w:spacing w:after="0" w:line="360" w:lineRule="auto"/>
        <w:jc w:val="both"/>
        <w:rPr>
          <w:rFonts w:ascii="Times New Roman" w:hAnsi="Times New Roman" w:cs="Times New Roman"/>
          <w:sz w:val="24"/>
          <w:szCs w:val="24"/>
          <w:lang w:val="en-GB"/>
        </w:rPr>
      </w:pPr>
    </w:p>
    <w:p w14:paraId="42FBF695" w14:textId="7B69E431" w:rsidR="00DC24E6" w:rsidRPr="009A3014" w:rsidRDefault="00DC24E6" w:rsidP="006F74A9">
      <w:pPr>
        <w:pStyle w:val="ListParagraph"/>
        <w:spacing w:after="0" w:line="360" w:lineRule="auto"/>
        <w:ind w:left="0"/>
        <w:jc w:val="both"/>
        <w:rPr>
          <w:rFonts w:ascii="Times New Roman" w:hAnsi="Times New Roman" w:cs="Times New Roman"/>
          <w:b/>
          <w:sz w:val="24"/>
          <w:szCs w:val="24"/>
          <w:lang w:val="en-US"/>
        </w:rPr>
      </w:pPr>
      <w:r w:rsidRPr="009A3014">
        <w:rPr>
          <w:rFonts w:ascii="Times New Roman" w:hAnsi="Times New Roman" w:cs="Times New Roman"/>
          <w:b/>
          <w:sz w:val="24"/>
          <w:szCs w:val="24"/>
          <w:lang w:val="en-US"/>
        </w:rPr>
        <w:t>S5. Immunohistochemistry and morphometric analysis</w:t>
      </w:r>
    </w:p>
    <w:p w14:paraId="572F8047" w14:textId="3EE0CF63" w:rsidR="00DC24E6" w:rsidRPr="009A3014" w:rsidRDefault="00DC24E6" w:rsidP="006F74A9">
      <w:pPr>
        <w:pStyle w:val="ListParagraph"/>
        <w:spacing w:after="0" w:line="360" w:lineRule="auto"/>
        <w:ind w:left="0"/>
        <w:jc w:val="both"/>
        <w:rPr>
          <w:rFonts w:ascii="Times New Roman" w:hAnsi="Times New Roman" w:cs="Times New Roman"/>
          <w:color w:val="000000" w:themeColor="text1"/>
          <w:sz w:val="24"/>
          <w:szCs w:val="24"/>
          <w:lang w:val="en-US"/>
        </w:rPr>
      </w:pPr>
      <w:r w:rsidRPr="009A3014">
        <w:rPr>
          <w:rFonts w:ascii="Times New Roman" w:hAnsi="Times New Roman" w:cs="Times New Roman"/>
          <w:sz w:val="24"/>
          <w:szCs w:val="24"/>
          <w:lang w:val="en-GB"/>
        </w:rPr>
        <w:t>Whole pelvic floor organs were fixed in</w:t>
      </w:r>
      <w:r w:rsidR="00CC1EBB" w:rsidRPr="009A3014">
        <w:rPr>
          <w:rFonts w:ascii="Times New Roman" w:hAnsi="Times New Roman" w:cs="Times New Roman"/>
          <w:sz w:val="24"/>
          <w:szCs w:val="24"/>
          <w:lang w:val="en-GB"/>
        </w:rPr>
        <w:t xml:space="preserve"> formalin, embedded in paraffin and cut into 5µm sections.</w:t>
      </w:r>
      <w:r w:rsidRPr="009A3014">
        <w:rPr>
          <w:rFonts w:ascii="Times New Roman" w:hAnsi="Times New Roman" w:cs="Times New Roman"/>
          <w:sz w:val="24"/>
          <w:szCs w:val="24"/>
          <w:lang w:val="en-GB"/>
        </w:rPr>
        <w:t xml:space="preserve"> Alpha smooth muscle actin (</w:t>
      </w:r>
      <w:r w:rsidRPr="009A3014">
        <w:rPr>
          <w:rFonts w:ascii="Times New Roman" w:hAnsi="Times New Roman" w:cs="Times New Roman"/>
          <w:sz w:val="24"/>
          <w:szCs w:val="24"/>
        </w:rPr>
        <w:t>α</w:t>
      </w:r>
      <w:r w:rsidRPr="009A3014">
        <w:rPr>
          <w:rFonts w:ascii="Times New Roman" w:hAnsi="Times New Roman" w:cs="Times New Roman"/>
          <w:sz w:val="24"/>
          <w:szCs w:val="24"/>
          <w:lang w:val="en-GB"/>
        </w:rPr>
        <w:t xml:space="preserve">-SMA) staining was used to assess smooth muscle, Fast Myosin, a marker of type II muscle fibers, CD-34, a marker for endothelial cells, to assess vasculature and GAP-43, an axonal sprouting marker, used to evaluate peripheral nerve regeneration. </w:t>
      </w:r>
      <w:r w:rsidRPr="009A3014">
        <w:rPr>
          <w:rFonts w:ascii="Times New Roman" w:hAnsi="Times New Roman" w:cs="Times New Roman"/>
          <w:sz w:val="24"/>
          <w:szCs w:val="24"/>
          <w:lang w:val="en-US"/>
        </w:rPr>
        <w:t>After deparaffinization, endogenous peroxidase activity was blocked with 0.5% H</w:t>
      </w:r>
      <w:r w:rsidRPr="009A3014">
        <w:rPr>
          <w:rFonts w:ascii="Times New Roman" w:hAnsi="Times New Roman" w:cs="Times New Roman"/>
          <w:sz w:val="24"/>
          <w:szCs w:val="24"/>
          <w:vertAlign w:val="subscript"/>
          <w:lang w:val="en-US"/>
        </w:rPr>
        <w:t>2</w:t>
      </w:r>
      <w:r w:rsidRPr="009A3014">
        <w:rPr>
          <w:rFonts w:ascii="Times New Roman" w:hAnsi="Times New Roman" w:cs="Times New Roman"/>
          <w:sz w:val="24"/>
          <w:szCs w:val="24"/>
          <w:lang w:val="en-US"/>
        </w:rPr>
        <w:t>O2 in PBS for 20 min at room temperature. Sections were then heated at 98°C for 1 hour in citrate buffer (10</w:t>
      </w:r>
      <w:r w:rsidR="00145B67">
        <w:rPr>
          <w:rFonts w:ascii="Times New Roman" w:hAnsi="Times New Roman" w:cs="Times New Roman"/>
          <w:sz w:val="24"/>
          <w:szCs w:val="24"/>
          <w:lang w:val="en-US"/>
        </w:rPr>
        <w:t xml:space="preserve"> </w:t>
      </w:r>
      <w:r w:rsidRPr="009A3014">
        <w:rPr>
          <w:rFonts w:ascii="Times New Roman" w:hAnsi="Times New Roman" w:cs="Times New Roman"/>
          <w:sz w:val="24"/>
          <w:szCs w:val="24"/>
          <w:lang w:val="en-US"/>
        </w:rPr>
        <w:t xml:space="preserve">mmol/L, pH 6) or TRIS-EDTA to enhance antigen retrieval. Non-specific binding was minimized by incubating sections in 1% BSA and 2% milk in PBS-0.1% tween 80 for 30 min. Sections were then incubated overnight at 4°C with the primary polyclonal antibodies against </w:t>
      </w:r>
      <w:r w:rsidRPr="009A3014">
        <w:rPr>
          <w:rFonts w:ascii="Times New Roman" w:hAnsi="Times New Roman" w:cs="Times New Roman"/>
          <w:sz w:val="24"/>
          <w:szCs w:val="24"/>
        </w:rPr>
        <w:t>α</w:t>
      </w:r>
      <w:r w:rsidRPr="009A3014">
        <w:rPr>
          <w:rFonts w:ascii="Times New Roman" w:hAnsi="Times New Roman" w:cs="Times New Roman"/>
          <w:sz w:val="24"/>
          <w:szCs w:val="24"/>
          <w:lang w:val="en-GB"/>
        </w:rPr>
        <w:t xml:space="preserve">-SMA at 1/500 (ab5694, Abcam, Cambridge, UK); Fast myosin at 1/250 (m4276, Sigma), CD34 at 1/1000 (EP373Y, ab81289-Abcam) and Gap-43 at 1/500 (EP890Y, Abcam).  </w:t>
      </w:r>
      <w:r w:rsidRPr="009A3014">
        <w:rPr>
          <w:rFonts w:ascii="Times New Roman" w:hAnsi="Times New Roman" w:cs="Times New Roman"/>
          <w:sz w:val="24"/>
          <w:szCs w:val="24"/>
          <w:lang w:val="en-US"/>
        </w:rPr>
        <w:t xml:space="preserve">Negative controls included buffer alone. For GAP-43 and CD34 specific labeling </w:t>
      </w:r>
      <w:r w:rsidRPr="009A3014">
        <w:rPr>
          <w:rFonts w:ascii="Times New Roman" w:hAnsi="Times New Roman" w:cs="Times New Roman"/>
          <w:color w:val="000000" w:themeColor="text1"/>
          <w:sz w:val="24"/>
          <w:szCs w:val="24"/>
          <w:lang w:val="en-US"/>
        </w:rPr>
        <w:t xml:space="preserve">was detected with EnVision/HRP Detection Kit (DAKO). The color reaction was developed with 3,3'-diaminobenzidine (Sigma-Aldrich, Diegem, Belgium) and sections were counterstained with Mayer hematoxylin. Sections were then dehydrated through graded ethanol, cleared in xylene, and mounted in dePex (BDH, vWR international, Haasrode, Belgium). </w:t>
      </w:r>
      <w:r w:rsidRPr="009A3014">
        <w:rPr>
          <w:rFonts w:ascii="Times New Roman" w:hAnsi="Times New Roman" w:cs="Times New Roman"/>
          <w:sz w:val="24"/>
          <w:szCs w:val="24"/>
          <w:lang w:val="en-GB"/>
        </w:rPr>
        <w:t>For immunofluorescence staining, secondary antibodies used included Alexa 488 and Alexa 594 (1/500, Invitrogen). Nuclei were stained with 4’, 6-diamidino-2-phenylindone (DAPI).</w:t>
      </w:r>
    </w:p>
    <w:p w14:paraId="54590EF1" w14:textId="7FE17482" w:rsidR="00DC24E6" w:rsidRPr="009A3014" w:rsidRDefault="00C46BB3" w:rsidP="006F74A9">
      <w:pPr>
        <w:pStyle w:val="ListParagraph"/>
        <w:spacing w:after="0" w:line="360" w:lineRule="auto"/>
        <w:ind w:left="0"/>
        <w:jc w:val="both"/>
        <w:rPr>
          <w:rFonts w:ascii="Times New Roman" w:hAnsi="Times New Roman" w:cs="Times New Roman"/>
          <w:color w:val="000000" w:themeColor="text1"/>
          <w:sz w:val="24"/>
          <w:szCs w:val="24"/>
          <w:lang w:val="en-US"/>
        </w:rPr>
      </w:pPr>
      <w:r w:rsidRPr="009A3014">
        <w:rPr>
          <w:rFonts w:ascii="Times New Roman" w:hAnsi="Times New Roman" w:cs="Times New Roman"/>
          <w:sz w:val="24"/>
          <w:szCs w:val="24"/>
          <w:lang w:val="en-GB"/>
        </w:rPr>
        <w:t xml:space="preserve">Images were acquired using Axioplan 40 microscope (Zeiss, Oberkochen, Germany) using ZEN2 lite software (Carl Zeiss GmbH).  </w:t>
      </w:r>
      <w:r w:rsidR="00DC24E6" w:rsidRPr="009A3014">
        <w:rPr>
          <w:rFonts w:ascii="Times New Roman" w:hAnsi="Times New Roman" w:cs="Times New Roman"/>
          <w:color w:val="000000" w:themeColor="text1"/>
          <w:sz w:val="24"/>
          <w:szCs w:val="24"/>
          <w:lang w:val="en-GB"/>
        </w:rPr>
        <w:t xml:space="preserve">All morphological analyses were performed using ImageJ software. </w:t>
      </w:r>
      <w:r w:rsidR="00DC24E6" w:rsidRPr="009A3014">
        <w:rPr>
          <w:rFonts w:ascii="Times New Roman" w:hAnsi="Times New Roman" w:cs="Times New Roman"/>
          <w:color w:val="000000" w:themeColor="text1"/>
          <w:sz w:val="24"/>
          <w:szCs w:val="24"/>
          <w:lang w:val="en-US"/>
        </w:rPr>
        <w:t xml:space="preserve">Four to six fields of the urethra and the vaginal wall were assessed per staining </w:t>
      </w:r>
      <w:r w:rsidR="00DC24E6" w:rsidRPr="009A3014">
        <w:rPr>
          <w:rFonts w:ascii="Times New Roman" w:hAnsi="Times New Roman" w:cs="Times New Roman"/>
          <w:color w:val="000000" w:themeColor="text1"/>
          <w:sz w:val="24"/>
          <w:szCs w:val="24"/>
          <w:lang w:val="en-US"/>
        </w:rPr>
        <w:lastRenderedPageBreak/>
        <w:t xml:space="preserve">(×40 magnification). </w:t>
      </w:r>
      <w:r w:rsidR="00DC24E6" w:rsidRPr="009A3014">
        <w:rPr>
          <w:rFonts w:ascii="Times New Roman" w:hAnsi="Times New Roman" w:cs="Times New Roman"/>
          <w:color w:val="000000" w:themeColor="text1"/>
          <w:sz w:val="24"/>
          <w:szCs w:val="24"/>
          <w:lang w:val="en-GB"/>
        </w:rPr>
        <w:t xml:space="preserve">The digital color images were segmented (color deconvolution plugin) and further binarized in order to measure the percentage of the area stained </w:t>
      </w:r>
      <w:r w:rsidR="00DC24E6" w:rsidRPr="009A3014">
        <w:rPr>
          <w:rFonts w:ascii="Times New Roman" w:hAnsi="Times New Roman" w:cs="Times New Roman"/>
          <w:color w:val="000000" w:themeColor="text1"/>
          <w:sz w:val="24"/>
          <w:szCs w:val="24"/>
          <w:lang w:val="en-US"/>
        </w:rPr>
        <w:t xml:space="preserve">in brown (GAP-43, CD34). For immunofluorescence, area stained in green was used for </w:t>
      </w:r>
      <w:r w:rsidR="00DC24E6" w:rsidRPr="009A3014">
        <w:rPr>
          <w:rFonts w:ascii="Times New Roman" w:hAnsi="Times New Roman" w:cs="Times New Roman"/>
          <w:color w:val="000000" w:themeColor="text1"/>
          <w:sz w:val="24"/>
          <w:szCs w:val="24"/>
        </w:rPr>
        <w:t>α</w:t>
      </w:r>
      <w:r w:rsidR="00DC24E6" w:rsidRPr="009A3014">
        <w:rPr>
          <w:rFonts w:ascii="Times New Roman" w:hAnsi="Times New Roman" w:cs="Times New Roman"/>
          <w:color w:val="000000" w:themeColor="text1"/>
          <w:sz w:val="24"/>
          <w:szCs w:val="24"/>
          <w:lang w:val="en-GB"/>
        </w:rPr>
        <w:t>-</w:t>
      </w:r>
      <w:r w:rsidR="00DC24E6" w:rsidRPr="009A3014">
        <w:rPr>
          <w:rFonts w:ascii="Times New Roman" w:hAnsi="Times New Roman" w:cs="Times New Roman"/>
          <w:color w:val="000000" w:themeColor="text1"/>
          <w:sz w:val="24"/>
          <w:szCs w:val="24"/>
          <w:lang w:val="en-US"/>
        </w:rPr>
        <w:t>SMA and red for Fast actin. Results are displayed as percentage of the area stained.</w:t>
      </w:r>
    </w:p>
    <w:p w14:paraId="0BF14BF7" w14:textId="77777777" w:rsidR="00DC24E6" w:rsidRPr="009A3014" w:rsidRDefault="00DC24E6" w:rsidP="006F74A9">
      <w:pPr>
        <w:spacing w:after="0" w:line="360" w:lineRule="auto"/>
        <w:jc w:val="both"/>
        <w:rPr>
          <w:rFonts w:ascii="Times New Roman" w:hAnsi="Times New Roman" w:cs="Times New Roman"/>
          <w:sz w:val="24"/>
          <w:szCs w:val="24"/>
          <w:lang w:val="en-GB"/>
        </w:rPr>
      </w:pPr>
    </w:p>
    <w:p w14:paraId="40EF0468" w14:textId="4CC1CF51" w:rsidR="00EB0C86" w:rsidRPr="009A3014" w:rsidRDefault="00DC24E6" w:rsidP="006F74A9">
      <w:pPr>
        <w:pStyle w:val="BodyA"/>
        <w:spacing w:line="360" w:lineRule="auto"/>
        <w:jc w:val="both"/>
        <w:rPr>
          <w:rFonts w:ascii="Times New Roman" w:hAnsi="Times New Roman" w:cs="Times New Roman"/>
          <w:b/>
        </w:rPr>
      </w:pPr>
      <w:r w:rsidRPr="009A3014">
        <w:rPr>
          <w:rFonts w:ascii="Times New Roman" w:hAnsi="Times New Roman" w:cs="Times New Roman"/>
          <w:b/>
        </w:rPr>
        <w:t>S6</w:t>
      </w:r>
      <w:r w:rsidR="0020284A" w:rsidRPr="009A3014">
        <w:rPr>
          <w:rFonts w:ascii="Times New Roman" w:hAnsi="Times New Roman" w:cs="Times New Roman"/>
          <w:b/>
        </w:rPr>
        <w:t xml:space="preserve">. </w:t>
      </w:r>
      <w:r w:rsidRPr="009A3014">
        <w:rPr>
          <w:rFonts w:ascii="Times New Roman" w:hAnsi="Times New Roman" w:cs="Times New Roman"/>
          <w:b/>
        </w:rPr>
        <w:t>m</w:t>
      </w:r>
      <w:r w:rsidR="00EB0C86" w:rsidRPr="009A3014">
        <w:rPr>
          <w:rFonts w:ascii="Times New Roman" w:hAnsi="Times New Roman" w:cs="Times New Roman"/>
          <w:b/>
        </w:rPr>
        <w:t>R</w:t>
      </w:r>
      <w:r w:rsidRPr="009A3014">
        <w:rPr>
          <w:rFonts w:ascii="Times New Roman" w:hAnsi="Times New Roman" w:cs="Times New Roman"/>
          <w:b/>
        </w:rPr>
        <w:t>NA</w:t>
      </w:r>
      <w:r w:rsidR="00EB0C86" w:rsidRPr="009A3014">
        <w:rPr>
          <w:rFonts w:ascii="Times New Roman" w:hAnsi="Times New Roman" w:cs="Times New Roman"/>
          <w:b/>
        </w:rPr>
        <w:t>seq library preparation</w:t>
      </w:r>
      <w:r w:rsidRPr="009A3014">
        <w:rPr>
          <w:rFonts w:ascii="Times New Roman" w:hAnsi="Times New Roman" w:cs="Times New Roman"/>
          <w:b/>
        </w:rPr>
        <w:t xml:space="preserve"> and analysis</w:t>
      </w:r>
    </w:p>
    <w:p w14:paraId="2C88F382" w14:textId="77777777" w:rsidR="00EB0C86" w:rsidRPr="009A3014" w:rsidRDefault="00EB0C86" w:rsidP="006F74A9">
      <w:pPr>
        <w:pStyle w:val="NormalWeb"/>
        <w:spacing w:before="0" w:beforeAutospacing="0" w:after="0" w:afterAutospacing="0" w:line="360" w:lineRule="auto"/>
        <w:jc w:val="both"/>
      </w:pPr>
      <w:r w:rsidRPr="009A3014">
        <w:t>Urethral tissue (n=4/group) was homogenized in TRIPURE Isolation Reagent (Roche; Vilvoorde; Belgium) followed by purification with the RNEasy system (Qiagen, Valencia, CA, USA).</w:t>
      </w:r>
      <w:r w:rsidRPr="009A3014" w:rsidDel="00CB6C00">
        <w:t xml:space="preserve"> </w:t>
      </w:r>
      <w:r w:rsidRPr="009A3014">
        <w:t>L</w:t>
      </w:r>
      <w:r w:rsidRPr="009A3014">
        <w:rPr>
          <w:color w:val="000000"/>
          <w:shd w:val="clear" w:color="auto" w:fill="FFFFFF"/>
        </w:rPr>
        <w:t>ibraries were prepared with the Lexogen QuantSeq 3' mRNA-Seq library prep kit according to the manufacturer protocol. Samples were indexed to allow for multiplexing. Library quality and size range was assessed using a Bioanalyzer (Agilent Technologies, California, USA)  with the DNA 1000 kit (Agilent Technologies). Libraries were subsequently sequenced on an Illumina HiSeq4000 instrument. Single-end reads of 50 bp length were produced with a minimum of 1M reads per sample.</w:t>
      </w:r>
    </w:p>
    <w:p w14:paraId="71ED50B0" w14:textId="5E00A1B6" w:rsidR="00EB0C86" w:rsidRPr="009A3014" w:rsidRDefault="00EB0C86" w:rsidP="006F74A9">
      <w:pPr>
        <w:spacing w:line="360" w:lineRule="auto"/>
        <w:jc w:val="both"/>
        <w:rPr>
          <w:rFonts w:ascii="Times New Roman" w:hAnsi="Times New Roman" w:cs="Times New Roman"/>
          <w:sz w:val="24"/>
          <w:szCs w:val="24"/>
          <w:lang w:val="en-GB"/>
        </w:rPr>
      </w:pPr>
      <w:r w:rsidRPr="009A3014">
        <w:rPr>
          <w:rFonts w:ascii="Times New Roman" w:hAnsi="Times New Roman" w:cs="Times New Roman"/>
          <w:sz w:val="24"/>
          <w:szCs w:val="24"/>
          <w:lang w:val="en-GB"/>
        </w:rPr>
        <w:t>Quality control of raw reads was performed with FastQC v0.11.7 (available online at: http://www.bioinformatics.babraham.ac.uk/projects/fastqc). Adapters were filtered with ea-utils fastq-mcf v1.05 (Erik Aronesty (2011), ea-utils: “Command-line t</w:t>
      </w:r>
      <w:r w:rsidR="003729E4" w:rsidRPr="009A3014">
        <w:rPr>
          <w:rFonts w:ascii="Times New Roman" w:hAnsi="Times New Roman" w:cs="Times New Roman"/>
          <w:sz w:val="24"/>
          <w:szCs w:val="24"/>
          <w:lang w:val="en-GB"/>
        </w:rPr>
        <w:t xml:space="preserve">ools for processing biological </w:t>
      </w:r>
      <w:r w:rsidRPr="009A3014">
        <w:rPr>
          <w:rFonts w:ascii="Times New Roman" w:hAnsi="Times New Roman" w:cs="Times New Roman"/>
          <w:sz w:val="24"/>
          <w:szCs w:val="24"/>
          <w:lang w:val="en-GB"/>
        </w:rPr>
        <w:t>sequencing data”; https://github.com/ExpressionAnalysis/ea-utils). Splice-aware alignment was performed with HiSAT2</w:t>
      </w:r>
      <w:r w:rsidR="006F74A9" w:rsidRPr="009A3014">
        <w:rPr>
          <w:rFonts w:ascii="Times New Roman" w:hAnsi="Times New Roman" w:cs="Times New Roman"/>
          <w:sz w:val="24"/>
          <w:szCs w:val="24"/>
          <w:lang w:val="en-GB"/>
        </w:rPr>
        <w:t xml:space="preserve"> </w:t>
      </w:r>
      <w:r w:rsidR="006F74A9" w:rsidRPr="009A3014">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DOI":"10.1038/s41587-019-0201-4.Graph-Based","ISBN":"4158701902","author":[{"dropping-particle":"","family":"Kim","given":"Daehwan","non-dropping-particle":"","parse-names":false,"suffix":""},{"dropping-particle":"","family":"Paggi","given":"Joseph M","non-dropping-particle":"","parse-names":false,"suffix":""},{"dropping-particle":"","family":"Park","given":"Chanhee","non-dropping-particle":"","parse-names":false,"suffix":""},{"dropping-particle":"","family":"Bennett","given":"Christopher","non-dropping-particle":"","parse-names":false,"suffix":""},{"dropping-particle":"","family":"Steven","given":"L","non-dropping-particle":"","parse-names":false,"suffix":""}],"container-title":"Nature Biotechnology","id":"ITEM-1","issue":"8","issued":{"date-parts":[["2020"]]},"page":"907-915","title":"Graph-based genome alignment and genotyping with HISAT2 and HISAT-genotype","type":"article-journal","volume":"37"},"uris":["http://www.mendeley.com/documents/?uuid=5343b3ef-d809-4e41-aad1-b04ae81a423d"]}],"mendeley":{"formattedCitation":"[4]","plainTextFormattedCitation":"[4]","previouslyFormattedCitation":"[2]"},"properties":{"noteIndex":0},"schema":"https://github.com/citation-style-language/schema/raw/master/csl-citation.json"}</w:instrText>
      </w:r>
      <w:r w:rsidR="006F74A9" w:rsidRPr="009A3014">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[4]</w:t>
      </w:r>
      <w:r w:rsidR="006F74A9" w:rsidRPr="009A3014">
        <w:rPr>
          <w:rFonts w:ascii="Times New Roman" w:hAnsi="Times New Roman" w:cs="Times New Roman"/>
          <w:sz w:val="24"/>
          <w:szCs w:val="24"/>
          <w:lang w:val="en-GB"/>
        </w:rPr>
        <w:fldChar w:fldCharType="end"/>
      </w:r>
      <w:r w:rsidRPr="009A3014">
        <w:rPr>
          <w:rFonts w:ascii="Times New Roman" w:hAnsi="Times New Roman" w:cs="Times New Roman"/>
          <w:sz w:val="24"/>
          <w:szCs w:val="24"/>
          <w:lang w:val="en-GB"/>
        </w:rPr>
        <w:t xml:space="preserve"> against the Rattus Norvegicus reference genome Rnor6.0 with default arguments. Reads mapping to multiple loci in the reference genome were discarded. Resulting BAM files were handled with Samtools v1.5 (Li et al, Bioinformatics, 2009). Quantification of reads per gene was performed with HT-</w:t>
      </w:r>
      <w:proofErr w:type="spellStart"/>
      <w:r w:rsidRPr="009A3014">
        <w:rPr>
          <w:rFonts w:ascii="Times New Roman" w:hAnsi="Times New Roman" w:cs="Times New Roman"/>
          <w:sz w:val="24"/>
          <w:szCs w:val="24"/>
          <w:lang w:val="en-GB"/>
        </w:rPr>
        <w:t>seq</w:t>
      </w:r>
      <w:proofErr w:type="spellEnd"/>
      <w:r w:rsidRPr="009A3014">
        <w:rPr>
          <w:rFonts w:ascii="Times New Roman" w:hAnsi="Times New Roman" w:cs="Times New Roman"/>
          <w:sz w:val="24"/>
          <w:szCs w:val="24"/>
          <w:lang w:val="en-GB"/>
        </w:rPr>
        <w:t xml:space="preserve"> Count v2.7.14</w:t>
      </w:r>
      <w:r w:rsidR="006F74A9" w:rsidRPr="009A3014">
        <w:rPr>
          <w:rFonts w:ascii="Times New Roman" w:hAnsi="Times New Roman" w:cs="Times New Roman"/>
          <w:sz w:val="24"/>
          <w:szCs w:val="24"/>
          <w:lang w:val="en-GB"/>
        </w:rPr>
        <w:t xml:space="preserve"> </w:t>
      </w:r>
      <w:r w:rsidR="006F74A9" w:rsidRPr="009A3014">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{"citationItems":[{"id":"ITEM-1","itemData":{"DOI":"10.1093/bioinformatics/btu638","author":[{"dropping-particle":"","family":"Anders","given":"Simon","non-dropping-particle":"","parse-names":false,"suffix":""},{"dropping-particle":"","family":"Pyl","given":"Paul Theodor","non-dropping-particle":"","parse-names":false,"suffix":""},{"dropping-particle":"","family":"Huber","given":"Wolfgang","non-dropping-particle":"","parse-names":false,"suffix":""}],"id":"ITEM-1","issue":"2","issued":{"date-parts":[["2015"]]},"page":"166-169","title":"Genome analysis HTSeq — a Python framework to work with high-throughput sequencing data","type":"article-journal","volume":"31"},"uris":["http://www.mendeley.com/documents/?uuid=be134bdd-ca88-4d6d-af0d-6ce4add75b12"]}],"mendeley":{"formattedCitation":"[5]","plainTextFormattedCitation":"[5]","previouslyFormattedCitation":"[3]"},"properties":{"noteIndex":0},"schema":"https://github.com/citation-style-language/schema/raw/master/csl-citation.json"}</w:instrText>
      </w:r>
      <w:r w:rsidR="006F74A9" w:rsidRPr="009A3014">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[5]</w:t>
      </w:r>
      <w:r w:rsidR="006F74A9" w:rsidRPr="009A3014">
        <w:rPr>
          <w:rFonts w:ascii="Times New Roman" w:hAnsi="Times New Roman" w:cs="Times New Roman"/>
          <w:sz w:val="24"/>
          <w:szCs w:val="24"/>
          <w:lang w:val="en-GB"/>
        </w:rPr>
        <w:fldChar w:fldCharType="end"/>
      </w:r>
      <w:r w:rsidRPr="009A3014">
        <w:rPr>
          <w:rFonts w:ascii="Times New Roman" w:hAnsi="Times New Roman" w:cs="Times New Roman"/>
          <w:sz w:val="24"/>
          <w:szCs w:val="24"/>
          <w:lang w:val="en-GB"/>
        </w:rPr>
        <w:t>.</w:t>
      </w:r>
    </w:p>
    <w:p w14:paraId="383D76BC" w14:textId="58F68DA9" w:rsidR="00EB0C86" w:rsidRPr="009A3014" w:rsidRDefault="00EB0C86" w:rsidP="006F74A9">
      <w:pPr>
        <w:spacing w:line="360" w:lineRule="auto"/>
        <w:jc w:val="both"/>
        <w:rPr>
          <w:rFonts w:ascii="Times New Roman" w:hAnsi="Times New Roman" w:cs="Times New Roman"/>
          <w:sz w:val="24"/>
          <w:szCs w:val="24"/>
          <w:lang w:val="en-GB"/>
        </w:rPr>
      </w:pPr>
      <w:r w:rsidRPr="009A3014">
        <w:rPr>
          <w:rFonts w:ascii="Times New Roman" w:hAnsi="Times New Roman" w:cs="Times New Roman"/>
          <w:sz w:val="24"/>
          <w:szCs w:val="24"/>
          <w:lang w:val="en-GB"/>
        </w:rPr>
        <w:t>Count-based differential expression analysis was done in R (v4.02) using the package DESeq2</w:t>
      </w:r>
      <w:r w:rsidR="003729E4" w:rsidRPr="009A3014">
        <w:rPr>
          <w:rFonts w:ascii="Times New Roman" w:hAnsi="Times New Roman" w:cs="Times New Roman"/>
          <w:sz w:val="24"/>
          <w:szCs w:val="24"/>
          <w:lang w:val="en-GB"/>
        </w:rPr>
        <w:t xml:space="preserve">  </w:t>
      </w:r>
      <w:r w:rsidR="003729E4" w:rsidRPr="009A3014">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{"citationItems":[{"id":"ITEM-1","itemData":{"DOI":"10.1186/s13059-014-0550-8","author":[{"dropping-particle":"","family":"Love","given":"Michael I","non-dropping-particle":"","parse-names":false,"suffix":""},{"dropping-particle":"","family":"Huber","given":"Wolfgang","non-dropping-particle":"","parse-names":false,"suffix":""},{"dropping-particle":"","family":"Anders","given":"Simon","non-dropping-particle":"","parse-names":false,"suffix":""}],"id":"ITEM-1","issued":{"date-parts":[["2014"]]},"page":"1-21","title":"Moderated estimation of fold change and dispersion for RNA-seq data with DESeq2","type":"article-journal"},"uris":["http://www.mendeley.com/documents/?uuid=66c74f13-9c07-4214-83a9-0f3e950850f8"]}],"mendeley":{"formattedCitation":"[6]","plainTextFormattedCitation":"[6]","previouslyFormattedCitation":"[4]"},"properties":{"noteIndex":0},"schema":"https://github.com/citation-style-language/schema/raw/master/csl-citation.json"}</w:instrText>
      </w:r>
      <w:r w:rsidR="003729E4" w:rsidRPr="009A3014">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[6]</w:t>
      </w:r>
      <w:r w:rsidR="003729E4" w:rsidRPr="009A3014">
        <w:rPr>
          <w:rFonts w:ascii="Times New Roman" w:hAnsi="Times New Roman" w:cs="Times New Roman"/>
          <w:sz w:val="24"/>
          <w:szCs w:val="24"/>
          <w:lang w:val="en-GB"/>
        </w:rPr>
        <w:fldChar w:fldCharType="end"/>
      </w:r>
      <w:r w:rsidRPr="009A3014">
        <w:rPr>
          <w:rFonts w:ascii="Times New Roman" w:hAnsi="Times New Roman" w:cs="Times New Roman"/>
          <w:sz w:val="24"/>
          <w:szCs w:val="24"/>
          <w:lang w:val="en-GB"/>
        </w:rPr>
        <w:t>. Reported p-values were adjusted for multiple testing with the Benjamini-Hochberg procedure, which controls false discovery rate (FDR), and log fold changes corrected using “</w:t>
      </w:r>
      <w:proofErr w:type="spellStart"/>
      <w:r w:rsidRPr="009A3014">
        <w:rPr>
          <w:rFonts w:ascii="Times New Roman" w:hAnsi="Times New Roman" w:cs="Times New Roman"/>
          <w:sz w:val="24"/>
          <w:szCs w:val="24"/>
          <w:lang w:val="en-GB"/>
        </w:rPr>
        <w:t>ashr</w:t>
      </w:r>
      <w:proofErr w:type="spellEnd"/>
      <w:r w:rsidRPr="009A3014">
        <w:rPr>
          <w:rFonts w:ascii="Times New Roman" w:hAnsi="Times New Roman" w:cs="Times New Roman"/>
          <w:sz w:val="24"/>
          <w:szCs w:val="24"/>
          <w:lang w:val="en-GB"/>
        </w:rPr>
        <w:t>” method</w:t>
      </w:r>
      <w:r w:rsidR="003729E4" w:rsidRPr="009A3014">
        <w:rPr>
          <w:rFonts w:ascii="Times New Roman" w:hAnsi="Times New Roman" w:cs="Times New Roman"/>
          <w:sz w:val="24"/>
          <w:szCs w:val="24"/>
          <w:lang w:val="en-GB"/>
        </w:rPr>
        <w:t xml:space="preserve"> </w:t>
      </w:r>
      <w:r w:rsidR="003729E4" w:rsidRPr="009A3014">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DOI":"10.1093/biostatistics/kxw041","author":[{"dropping-particle":"","family":"Stephens","given":"Matthew","non-dropping-particle":"","parse-names":false,"suffix":""}],"id":"ITEM-1","issued":{"date-parts":[["2017"]]},"page":"275-294","title":"False discovery rates : a new deal","type":"article-journal"},"uris":["http://www.mendeley.com/documents/?uuid=9198b58c-bfe7-4463-a5b0-b670a28387ab"]}],"mendeley":{"formattedCitation":"[7]","plainTextFormattedCitation":"[7]","previouslyFormattedCitation":"[5]"},"properties":{"noteIndex":0},"schema":"https://github.com/citation-style-language/schema/raw/master/csl-citation.json"}</w:instrText>
      </w:r>
      <w:r w:rsidR="003729E4" w:rsidRPr="009A3014">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[7]</w:t>
      </w:r>
      <w:r w:rsidR="003729E4" w:rsidRPr="009A3014">
        <w:rPr>
          <w:rFonts w:ascii="Times New Roman" w:hAnsi="Times New Roman" w:cs="Times New Roman"/>
          <w:sz w:val="24"/>
          <w:szCs w:val="24"/>
          <w:lang w:val="en-GB"/>
        </w:rPr>
        <w:fldChar w:fldCharType="end"/>
      </w:r>
      <w:r w:rsidRPr="009A3014">
        <w:rPr>
          <w:rFonts w:ascii="Times New Roman" w:hAnsi="Times New Roman" w:cs="Times New Roman"/>
          <w:sz w:val="24"/>
          <w:szCs w:val="24"/>
          <w:lang w:val="en-GB"/>
        </w:rPr>
        <w:t xml:space="preserve">. The PCA plot (figure 5A), hierarchical euclidian distance matrix, and normalization of gene-counts were made also using DESeq2. GO-term enrichment was performed using the </w:t>
      </w:r>
      <w:proofErr w:type="spellStart"/>
      <w:r w:rsidRPr="009A3014">
        <w:rPr>
          <w:rFonts w:ascii="Times New Roman" w:hAnsi="Times New Roman" w:cs="Times New Roman"/>
          <w:sz w:val="24"/>
          <w:szCs w:val="24"/>
          <w:lang w:val="en-GB"/>
        </w:rPr>
        <w:t>clusterProfiler</w:t>
      </w:r>
      <w:proofErr w:type="spellEnd"/>
      <w:r w:rsidRPr="009A3014">
        <w:rPr>
          <w:rFonts w:ascii="Times New Roman" w:hAnsi="Times New Roman" w:cs="Times New Roman"/>
          <w:sz w:val="24"/>
          <w:szCs w:val="24"/>
          <w:lang w:val="en-GB"/>
        </w:rPr>
        <w:t xml:space="preserve"> package</w:t>
      </w:r>
      <w:r w:rsidR="00526AF7" w:rsidRPr="009A3014">
        <w:rPr>
          <w:rFonts w:ascii="Times New Roman" w:hAnsi="Times New Roman" w:cs="Times New Roman"/>
          <w:sz w:val="24"/>
          <w:szCs w:val="24"/>
          <w:lang w:val="en-GB"/>
        </w:rPr>
        <w:t xml:space="preserve"> </w:t>
      </w:r>
      <w:r w:rsidR="00526AF7" w:rsidRPr="009A3014">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DOI":"10.1089/omi.2011.0118","author":[{"dropping-particle":"","family":"Among","given":"Themes","non-dropping-particle":"","parse-names":false,"suffix":""},{"dropping-particle":"","family":"Clusters","given":"Gene","non-dropping-particle":"","parse-names":false,"suffix":""},{"dropping-particle":"","family":"Yu","given":"Guangchuang","non-dropping-particle":"","parse-names":false,"suffix":""}],"id":"ITEM-1","issue":"5","issued":{"date-parts":[["2012"]]},"page":"284-287","title":"clusterProfiler : an R Package for Comparing Biological","type":"article-journal","volume":"16"},"uris":["http://www.mendeley.com/documents/?uuid=1580bda7-809f-4041-9453-decacacd61ad"]}],"mendeley":{"formattedCitation":"[8]","plainTextFormattedCitation":"[8]","previouslyFormattedCitation":"[6]"},"properties":{"noteIndex":0},"schema":"https://github.com/citation-style-language/schema/raw/master/csl-citation.json"}</w:instrText>
      </w:r>
      <w:r w:rsidR="00526AF7" w:rsidRPr="009A3014">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[8]</w:t>
      </w:r>
      <w:r w:rsidR="00526AF7" w:rsidRPr="009A3014">
        <w:rPr>
          <w:rFonts w:ascii="Times New Roman" w:hAnsi="Times New Roman" w:cs="Times New Roman"/>
          <w:sz w:val="24"/>
          <w:szCs w:val="24"/>
          <w:lang w:val="en-GB"/>
        </w:rPr>
        <w:fldChar w:fldCharType="end"/>
      </w:r>
      <w:r w:rsidRPr="009A3014">
        <w:rPr>
          <w:rFonts w:ascii="Times New Roman" w:hAnsi="Times New Roman" w:cs="Times New Roman"/>
          <w:sz w:val="24"/>
          <w:szCs w:val="24"/>
          <w:lang w:val="en-GB"/>
        </w:rPr>
        <w:t xml:space="preserve">. Heatmaps were made with the </w:t>
      </w:r>
      <w:proofErr w:type="spellStart"/>
      <w:r w:rsidRPr="009A3014">
        <w:rPr>
          <w:rFonts w:ascii="Times New Roman" w:hAnsi="Times New Roman" w:cs="Times New Roman"/>
          <w:sz w:val="24"/>
          <w:szCs w:val="24"/>
          <w:lang w:val="en-GB"/>
        </w:rPr>
        <w:t>ComplexHeatmap</w:t>
      </w:r>
      <w:proofErr w:type="spellEnd"/>
      <w:r w:rsidRPr="009A3014">
        <w:rPr>
          <w:rFonts w:ascii="Times New Roman" w:hAnsi="Times New Roman" w:cs="Times New Roman"/>
          <w:sz w:val="24"/>
          <w:szCs w:val="24"/>
          <w:lang w:val="en-GB"/>
        </w:rPr>
        <w:t xml:space="preserve"> package </w:t>
      </w:r>
      <w:r w:rsidR="00526AF7" w:rsidRPr="009A3014">
        <w:rPr>
          <w:rFonts w:ascii="Times New Roman" w:hAnsi="Times New Roman" w:cs="Times New Roman"/>
          <w:sz w:val="24"/>
          <w:szCs w:val="24"/>
          <w:lang w:val="en-GB"/>
        </w:rPr>
        <w:fldChar w:fldCharType="begin" w:fldLock="1"/>
      </w:r>
      <w:r w:rsidR="004C4A9C">
        <w:rPr>
          <w:rFonts w:ascii="Times New Roman" w:hAnsi="Times New Roman" w:cs="Times New Roman"/>
          <w:sz w:val="24"/>
          <w:szCs w:val="24"/>
          <w:lang w:val="en-GB"/>
        </w:rPr>
        <w:instrText>ADDIN CSL_CITATION {"citationItems":[{"id":"ITEM-1","itemData":{"DOI":"10.1093/bioinformatics/btw313","author":[{"dropping-particle":"","family":"Gu","given":"Zuguang","non-dropping-particle":"","parse-names":false,"suffix":""},{"dropping-particle":"","family":"Eils","given":"Roland","non-dropping-particle":"","parse-names":false,"suffix":""},{"dropping-particle":"","family":"Schlesner","given":"Matthias","non-dropping-particle":"","parse-names":false,"suffix":""}],"id":"ITEM-1","issue":"May","issued":{"date-parts":[["2016"]]},"page":"2847-2849","title":"Genome analysis Complex heatmaps reveal patterns and correlations in multidimensional genomic data","type":"article-journal","volume":"32"},"uris":["http://www.mendeley.com/documents/?uuid=1a89824a-4a5a-49e3-99c7-2fb558192fe3"]}],"mendeley":{"formattedCitation":"[9]","plainTextFormattedCitation":"[9]","previouslyFormattedCitation":"[7]"},"properties":{"noteIndex":0},"schema":"https://github.com/citation-style-language/schema/raw/master/csl-citation.json"}</w:instrText>
      </w:r>
      <w:r w:rsidR="00526AF7" w:rsidRPr="009A3014">
        <w:rPr>
          <w:rFonts w:ascii="Times New Roman" w:hAnsi="Times New Roman" w:cs="Times New Roman"/>
          <w:sz w:val="24"/>
          <w:szCs w:val="24"/>
          <w:lang w:val="en-GB"/>
        </w:rPr>
        <w:fldChar w:fldCharType="separate"/>
      </w:r>
      <w:r w:rsidR="004C4A9C" w:rsidRPr="004C4A9C">
        <w:rPr>
          <w:rFonts w:ascii="Times New Roman" w:hAnsi="Times New Roman" w:cs="Times New Roman"/>
          <w:noProof/>
          <w:sz w:val="24"/>
          <w:szCs w:val="24"/>
          <w:lang w:val="en-GB"/>
        </w:rPr>
        <w:t>[9]</w:t>
      </w:r>
      <w:r w:rsidR="00526AF7" w:rsidRPr="009A3014">
        <w:rPr>
          <w:rFonts w:ascii="Times New Roman" w:hAnsi="Times New Roman" w:cs="Times New Roman"/>
          <w:sz w:val="24"/>
          <w:szCs w:val="24"/>
          <w:lang w:val="en-GB"/>
        </w:rPr>
        <w:fldChar w:fldCharType="end"/>
      </w:r>
      <w:r w:rsidRPr="009A3014">
        <w:rPr>
          <w:rFonts w:ascii="Times New Roman" w:hAnsi="Times New Roman" w:cs="Times New Roman"/>
          <w:sz w:val="24"/>
          <w:szCs w:val="24"/>
          <w:lang w:val="en-GB"/>
        </w:rPr>
        <w:t xml:space="preserve">.   </w:t>
      </w:r>
    </w:p>
    <w:p w14:paraId="5D86B5E2" w14:textId="77777777" w:rsidR="00E94F37" w:rsidRDefault="00E94F37" w:rsidP="006F74A9">
      <w:pPr>
        <w:spacing w:line="360" w:lineRule="auto"/>
        <w:jc w:val="both"/>
        <w:rPr>
          <w:rFonts w:ascii="Times New Roman" w:hAnsi="Times New Roman" w:cs="Times New Roman"/>
          <w:b/>
          <w:sz w:val="24"/>
          <w:szCs w:val="24"/>
          <w:lang w:val="en-GB"/>
        </w:rPr>
      </w:pPr>
    </w:p>
    <w:p w14:paraId="0B530CB3" w14:textId="77777777" w:rsidR="00E94F37" w:rsidRDefault="00E94F37" w:rsidP="006F74A9">
      <w:pPr>
        <w:spacing w:line="360" w:lineRule="auto"/>
        <w:jc w:val="both"/>
        <w:rPr>
          <w:rFonts w:ascii="Times New Roman" w:hAnsi="Times New Roman" w:cs="Times New Roman"/>
          <w:b/>
          <w:sz w:val="24"/>
          <w:szCs w:val="24"/>
          <w:lang w:val="en-GB"/>
        </w:rPr>
      </w:pPr>
    </w:p>
    <w:p w14:paraId="355025E6" w14:textId="77777777" w:rsidR="00E94F37" w:rsidRDefault="00E94F37" w:rsidP="006F74A9">
      <w:pPr>
        <w:spacing w:line="360" w:lineRule="auto"/>
        <w:jc w:val="both"/>
        <w:rPr>
          <w:rFonts w:ascii="Times New Roman" w:hAnsi="Times New Roman" w:cs="Times New Roman"/>
          <w:b/>
          <w:sz w:val="24"/>
          <w:szCs w:val="24"/>
          <w:lang w:val="en-GB"/>
        </w:rPr>
      </w:pPr>
    </w:p>
    <w:p w14:paraId="3ABACC0E" w14:textId="119C5406" w:rsidR="00526AF7" w:rsidRPr="009A3014" w:rsidRDefault="00526AF7" w:rsidP="006F74A9">
      <w:pPr>
        <w:spacing w:line="360" w:lineRule="auto"/>
        <w:jc w:val="both"/>
        <w:rPr>
          <w:rFonts w:ascii="Times New Roman" w:hAnsi="Times New Roman" w:cs="Times New Roman"/>
          <w:b/>
          <w:sz w:val="24"/>
          <w:szCs w:val="24"/>
          <w:lang w:val="en-GB"/>
        </w:rPr>
      </w:pPr>
      <w:r w:rsidRPr="009A3014">
        <w:rPr>
          <w:rFonts w:ascii="Times New Roman" w:hAnsi="Times New Roman" w:cs="Times New Roman"/>
          <w:b/>
          <w:sz w:val="24"/>
          <w:szCs w:val="24"/>
          <w:lang w:val="en-GB"/>
        </w:rPr>
        <w:lastRenderedPageBreak/>
        <w:t>References</w:t>
      </w:r>
    </w:p>
    <w:p w14:paraId="3D7EC9C5" w14:textId="2FDC4EFC" w:rsidR="004C4A9C" w:rsidRPr="00E94F37" w:rsidRDefault="00526AF7"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9A3014">
        <w:rPr>
          <w:rFonts w:ascii="Times New Roman" w:hAnsi="Times New Roman" w:cs="Times New Roman"/>
          <w:sz w:val="24"/>
          <w:szCs w:val="24"/>
        </w:rPr>
        <w:fldChar w:fldCharType="begin" w:fldLock="1"/>
      </w:r>
      <w:r w:rsidRPr="009A3014">
        <w:rPr>
          <w:rFonts w:ascii="Times New Roman" w:hAnsi="Times New Roman" w:cs="Times New Roman"/>
          <w:sz w:val="24"/>
          <w:szCs w:val="24"/>
          <w:lang w:val="en-GB"/>
        </w:rPr>
        <w:instrText xml:space="preserve">ADDIN Mendeley Bibliography CSL_BIBLIOGRAPHY </w:instrText>
      </w:r>
      <w:r w:rsidRPr="009A3014">
        <w:rPr>
          <w:rFonts w:ascii="Times New Roman" w:hAnsi="Times New Roman" w:cs="Times New Roman"/>
          <w:sz w:val="24"/>
          <w:szCs w:val="24"/>
        </w:rPr>
        <w:fldChar w:fldCharType="separate"/>
      </w:r>
      <w:r w:rsidR="004C4A9C" w:rsidRPr="00E94F37">
        <w:rPr>
          <w:rFonts w:ascii="Times New Roman" w:hAnsi="Times New Roman" w:cs="Times New Roman"/>
          <w:noProof/>
          <w:sz w:val="24"/>
          <w:szCs w:val="24"/>
          <w:lang w:val="en-US"/>
        </w:rPr>
        <w:t>[1]</w:t>
      </w:r>
      <w:r w:rsidR="004C4A9C" w:rsidRPr="00E94F37">
        <w:rPr>
          <w:rFonts w:ascii="Times New Roman" w:hAnsi="Times New Roman" w:cs="Times New Roman"/>
          <w:noProof/>
          <w:sz w:val="24"/>
          <w:szCs w:val="24"/>
          <w:lang w:val="en-US"/>
        </w:rPr>
        <w:tab/>
        <w:t>M.G.M.C. Mori Da Cunha, G. Giacomazzi, G. Callewaert, L. Hympanova, F. Russo, G. Vande Velde, R. Gijsbers, M. Albersen, M. Sampaolesi, J. Deprest, Fate of mesoangioblasts in a vaginal birth injury model: Influence of the route of administration, Sci. Rep. 8 (2018) 1–10. doi:10.1038/s41598-018-28967-w.</w:t>
      </w:r>
    </w:p>
    <w:p w14:paraId="440F6455"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[2]</w:t>
      </w:r>
      <w:r w:rsidRPr="00E94F37">
        <w:rPr>
          <w:rFonts w:ascii="Times New Roman" w:hAnsi="Times New Roman" w:cs="Times New Roman"/>
          <w:noProof/>
          <w:sz w:val="24"/>
          <w:szCs w:val="24"/>
          <w:lang w:val="en-US"/>
        </w:rPr>
        <w:tab/>
        <w:t>R.G. Ibrahimi,Abdelilah; vande Velde, Greetje; Reumers, Veerle;Jaan Toelen, Irina Thiry, Caroline Vandeputte, Sofie Vets, Christophe Deroose, Guy Bormans, Veerle Baekelandt, Zeger Debyser, Highly Efficient Multicistronic Lentiviral Vectors, Hum. Gene Ther. 20 (2009) 845–860.</w:t>
      </w:r>
    </w:p>
    <w:p w14:paraId="1D88DB96"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[3]</w:t>
      </w:r>
      <w:r w:rsidRPr="00E94F37">
        <w:rPr>
          <w:rFonts w:ascii="Times New Roman" w:hAnsi="Times New Roman" w:cs="Times New Roman"/>
          <w:noProof/>
          <w:sz w:val="24"/>
          <w:szCs w:val="24"/>
          <w:lang w:val="en-US"/>
        </w:rPr>
        <w:tab/>
        <w:t>G. Callewaert, M.G.M.C. Mori da Cunha, K. Dewulf, M. Albersen, J. Deprest, Simulated vaginal delivery causes transients vaginal smooth muscle hypersensitivity and urethral sphincter dysfunction, (2020) 898–906. doi:10.1002/nau.24295.</w:t>
      </w:r>
    </w:p>
    <w:p w14:paraId="265CC0A4"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[4]</w:t>
      </w:r>
      <w:r w:rsidRPr="00E94F37">
        <w:rPr>
          <w:rFonts w:ascii="Times New Roman" w:hAnsi="Times New Roman" w:cs="Times New Roman"/>
          <w:noProof/>
          <w:sz w:val="24"/>
          <w:szCs w:val="24"/>
          <w:lang w:val="en-US"/>
        </w:rPr>
        <w:tab/>
        <w:t>D. Kim, J.M. Paggi, C. Park, C. Bennett, L. Steven, Graph-based genome alignment and genotyping with HISAT2 and HISAT-genotype, Nat. Biotechnol. 37 (2020) 907–915. doi:10.1038/s41587-019-0201-4.Graph-Based.</w:t>
      </w:r>
    </w:p>
    <w:p w14:paraId="4F57216E"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[5]</w:t>
      </w:r>
      <w:r w:rsidRPr="00E94F37">
        <w:rPr>
          <w:rFonts w:ascii="Times New Roman" w:hAnsi="Times New Roman" w:cs="Times New Roman"/>
          <w:noProof/>
          <w:sz w:val="24"/>
          <w:szCs w:val="24"/>
          <w:lang w:val="en-US"/>
        </w:rPr>
        <w:tab/>
        <w:t>S. Anders, P.T. Pyl, W. Huber, Genome analysis HTSeq — a Python framework to work with high-throughput sequencing data, 31 (2015) 166–169. doi:10.1093/bioinformatics/btu638.</w:t>
      </w:r>
    </w:p>
    <w:p w14:paraId="5CAA483C"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[6]</w:t>
      </w:r>
      <w:r w:rsidRPr="00E94F37">
        <w:rPr>
          <w:rFonts w:ascii="Times New Roman" w:hAnsi="Times New Roman" w:cs="Times New Roman"/>
          <w:noProof/>
          <w:sz w:val="24"/>
          <w:szCs w:val="24"/>
          <w:lang w:val="en-US"/>
        </w:rPr>
        <w:tab/>
        <w:t>M.I. Love, W. Huber, S. Anders, Moderated estimation of fold change and dispersion for RNA-seq data with DESeq2, (2014) 1–21. doi:10.1186/s13059-014-0550-8.</w:t>
      </w:r>
    </w:p>
    <w:p w14:paraId="0BA20662"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[7]</w:t>
      </w:r>
      <w:r w:rsidRPr="00E94F37">
        <w:rPr>
          <w:rFonts w:ascii="Times New Roman" w:hAnsi="Times New Roman" w:cs="Times New Roman"/>
          <w:noProof/>
          <w:sz w:val="24"/>
          <w:szCs w:val="24"/>
          <w:lang w:val="en-US"/>
        </w:rPr>
        <w:tab/>
        <w:t>M. Stephens, False discovery rates : a new deal, (2017) 275–294. doi:10.1093/biostatistics/kxw041.</w:t>
      </w:r>
    </w:p>
    <w:p w14:paraId="61DB963F"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94F37">
        <w:rPr>
          <w:rFonts w:ascii="Times New Roman" w:hAnsi="Times New Roman" w:cs="Times New Roman"/>
          <w:noProof/>
          <w:sz w:val="24"/>
          <w:szCs w:val="24"/>
          <w:lang w:val="en-US"/>
        </w:rPr>
        <w:t>[8]</w:t>
      </w:r>
      <w:r w:rsidRPr="00E94F37">
        <w:rPr>
          <w:rFonts w:ascii="Times New Roman" w:hAnsi="Times New Roman" w:cs="Times New Roman"/>
          <w:noProof/>
          <w:sz w:val="24"/>
          <w:szCs w:val="24"/>
          <w:lang w:val="en-US"/>
        </w:rPr>
        <w:tab/>
        <w:t>T. Among, G. Clusters, G. Yu, clusterProfiler : an R Package for Comparing Biological, 16 (2012) 284–287. doi:10.1089/omi.2011.0118.</w:t>
      </w:r>
    </w:p>
    <w:p w14:paraId="401FD504" w14:textId="77777777" w:rsidR="004C4A9C" w:rsidRPr="00E94F37" w:rsidRDefault="004C4A9C" w:rsidP="004C4A9C">
      <w:pPr>
        <w:widowControl w:val="0"/>
        <w:autoSpaceDE w:val="0"/>
        <w:autoSpaceDN w:val="0"/>
        <w:adjustRightInd w:val="0"/>
        <w:spacing w:after="0" w:line="360" w:lineRule="auto"/>
        <w:ind w:left="640" w:hanging="640"/>
        <w:rPr>
          <w:rFonts w:ascii="Times New Roman" w:hAnsi="Times New Roman" w:cs="Times New Roman"/>
          <w:noProof/>
          <w:sz w:val="24"/>
          <w:lang w:val="en-US"/>
        </w:rPr>
      </w:pPr>
      <w:r w:rsidRPr="00E94F37">
        <w:rPr>
          <w:rFonts w:ascii="Times New Roman" w:hAnsi="Times New Roman" w:cs="Times New Roman"/>
          <w:noProof/>
          <w:sz w:val="24"/>
          <w:szCs w:val="24"/>
          <w:lang w:val="en-US"/>
        </w:rPr>
        <w:t>[9]</w:t>
      </w:r>
      <w:r w:rsidRPr="00E94F37">
        <w:rPr>
          <w:rFonts w:ascii="Times New Roman" w:hAnsi="Times New Roman" w:cs="Times New Roman"/>
          <w:noProof/>
          <w:sz w:val="24"/>
          <w:szCs w:val="24"/>
          <w:lang w:val="en-US"/>
        </w:rPr>
        <w:tab/>
        <w:t>Z. Gu, R. Eils, M. Schlesner, Genome analysis Complex heatmaps reveal patterns and correlations in multidimensional genomic data, 32 (2016) 2847–2849. doi:10.1093/bioinformatics/btw313.</w:t>
      </w:r>
    </w:p>
    <w:p w14:paraId="234CE6B6" w14:textId="028B2C35" w:rsidR="00EB0C86" w:rsidRPr="009A3014" w:rsidRDefault="00526AF7" w:rsidP="000B1D9F">
      <w:pPr>
        <w:pStyle w:val="Header"/>
        <w:spacing w:line="360" w:lineRule="auto"/>
        <w:jc w:val="both"/>
        <w:rPr>
          <w:rFonts w:ascii="Times New Roman" w:hAnsi="Times New Roman" w:cs="Times New Roman"/>
          <w:sz w:val="24"/>
          <w:szCs w:val="24"/>
        </w:rPr>
      </w:pPr>
      <w:r w:rsidRPr="009A3014">
        <w:rPr>
          <w:rFonts w:ascii="Times New Roman" w:hAnsi="Times New Roman" w:cs="Times New Roman"/>
          <w:sz w:val="24"/>
          <w:szCs w:val="24"/>
        </w:rPr>
        <w:fldChar w:fldCharType="end"/>
      </w:r>
    </w:p>
    <w:p w14:paraId="043A056E" w14:textId="77777777" w:rsidR="00EB0C86" w:rsidRPr="009A3014" w:rsidRDefault="00EB0C86" w:rsidP="000B1D9F">
      <w:pPr>
        <w:pStyle w:val="Header"/>
        <w:spacing w:line="360" w:lineRule="auto"/>
        <w:jc w:val="both"/>
        <w:rPr>
          <w:rFonts w:ascii="Times New Roman" w:hAnsi="Times New Roman" w:cs="Times New Roman"/>
          <w:sz w:val="24"/>
          <w:szCs w:val="24"/>
        </w:rPr>
      </w:pPr>
    </w:p>
    <w:p w14:paraId="7DC9A333" w14:textId="49905F2E" w:rsidR="00937293" w:rsidRPr="009A3014" w:rsidRDefault="0093729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lang w:val="en-US"/>
        </w:rPr>
      </w:pPr>
      <w:r w:rsidRPr="009A3014">
        <w:rPr>
          <w:rFonts w:ascii="Times New Roman" w:hAnsi="Times New Roman" w:cs="Times New Roman"/>
          <w:sz w:val="24"/>
          <w:szCs w:val="24"/>
          <w:lang w:val="en-US"/>
        </w:rPr>
        <w:br w:type="page"/>
      </w:r>
    </w:p>
    <w:p w14:paraId="42C5ED19" w14:textId="455D553F" w:rsidR="00BC6748" w:rsidRPr="009A3014" w:rsidRDefault="00BC6748" w:rsidP="00937293">
      <w:pPr>
        <w:pStyle w:val="ListParagraph"/>
        <w:spacing w:after="0" w:line="360" w:lineRule="auto"/>
        <w:ind w:left="0"/>
        <w:jc w:val="both"/>
        <w:rPr>
          <w:rFonts w:ascii="Times New Roman" w:hAnsi="Times New Roman" w:cs="Times New Roman"/>
          <w:b/>
          <w:sz w:val="24"/>
          <w:szCs w:val="24"/>
          <w:u w:val="single"/>
          <w:lang w:val="en-US"/>
        </w:rPr>
      </w:pPr>
      <w:r w:rsidRPr="009A3014">
        <w:rPr>
          <w:rFonts w:ascii="Times New Roman" w:hAnsi="Times New Roman" w:cs="Times New Roman"/>
          <w:b/>
          <w:sz w:val="24"/>
          <w:szCs w:val="24"/>
          <w:u w:val="single"/>
          <w:lang w:val="en-US"/>
        </w:rPr>
        <w:lastRenderedPageBreak/>
        <w:t>Supplementary Figures</w:t>
      </w:r>
    </w:p>
    <w:p w14:paraId="289C1D57" w14:textId="081E6914" w:rsidR="00DC24E6" w:rsidRPr="009A3014" w:rsidRDefault="00DC24E6" w:rsidP="00937293">
      <w:pPr>
        <w:pStyle w:val="ListParagraph"/>
        <w:spacing w:after="0" w:line="360" w:lineRule="auto"/>
        <w:ind w:left="0"/>
        <w:jc w:val="both"/>
        <w:rPr>
          <w:rFonts w:ascii="Times New Roman" w:hAnsi="Times New Roman" w:cs="Times New Roman"/>
          <w:b/>
          <w:sz w:val="24"/>
          <w:szCs w:val="24"/>
          <w:u w:val="single"/>
          <w:lang w:val="en-US"/>
        </w:rPr>
      </w:pPr>
    </w:p>
    <w:p w14:paraId="34712B6C" w14:textId="2809056E" w:rsidR="00DC24E6" w:rsidRPr="009A3014" w:rsidRDefault="00DC24E6" w:rsidP="00DC24E6">
      <w:pPr>
        <w:jc w:val="both"/>
        <w:rPr>
          <w:rFonts w:ascii="Times New Roman" w:hAnsi="Times New Roman" w:cs="Times New Roman"/>
          <w:sz w:val="24"/>
          <w:szCs w:val="24"/>
        </w:rPr>
      </w:pPr>
      <w:r w:rsidRPr="009A3014">
        <w:rPr>
          <w:rFonts w:ascii="Times New Roman" w:hAnsi="Times New Roman" w:cs="Times New Roman"/>
          <w:noProof/>
          <w:sz w:val="24"/>
          <w:szCs w:val="24"/>
          <w:lang w:val="en-GB" w:eastAsia="en-GB"/>
        </w:rPr>
        <w:drawing>
          <wp:inline distT="0" distB="0" distL="0" distR="0" wp14:anchorId="6C753F4D" wp14:editId="21485110">
            <wp:extent cx="5943600" cy="2758831"/>
            <wp:effectExtent l="0" t="0" r="0" b="0"/>
            <wp:docPr id="3" name="Picture 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able&#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b="17716"/>
                    <a:stretch/>
                  </pic:blipFill>
                  <pic:spPr bwMode="auto">
                    <a:xfrm>
                      <a:off x="0" y="0"/>
                      <a:ext cx="5943600" cy="2758831"/>
                    </a:xfrm>
                    <a:prstGeom prst="rect">
                      <a:avLst/>
                    </a:prstGeom>
                    <a:noFill/>
                    <a:ln>
                      <a:noFill/>
                    </a:ln>
                    <a:extLst>
                      <a:ext uri="{53640926-AAD7-44D8-BBD7-CCE9431645EC}">
                        <a14:shadowObscured xmlns:a14="http://schemas.microsoft.com/office/drawing/2010/main"/>
                      </a:ext>
                    </a:extLst>
                  </pic:spPr>
                </pic:pic>
              </a:graphicData>
            </a:graphic>
          </wp:inline>
        </w:drawing>
      </w:r>
    </w:p>
    <w:p w14:paraId="749B9A95" w14:textId="77777777" w:rsidR="00DC24E6" w:rsidRPr="009A3014" w:rsidRDefault="00DC24E6" w:rsidP="00DC24E6">
      <w:pPr>
        <w:pStyle w:val="Heading1"/>
        <w:spacing w:after="120"/>
        <w:jc w:val="both"/>
        <w:rPr>
          <w:rFonts w:ascii="Times New Roman" w:hAnsi="Times New Roman"/>
          <w:b w:val="0"/>
          <w:bCs w:val="0"/>
          <w:color w:val="000000"/>
          <w:sz w:val="24"/>
          <w:szCs w:val="24"/>
        </w:rPr>
      </w:pPr>
      <w:r w:rsidRPr="009A3014">
        <w:rPr>
          <w:rFonts w:ascii="Times New Roman" w:hAnsi="Times New Roman"/>
          <w:sz w:val="24"/>
          <w:szCs w:val="24"/>
        </w:rPr>
        <w:t xml:space="preserve">Supplementary figure 1: </w:t>
      </w:r>
      <w:r w:rsidRPr="009A3014">
        <w:rPr>
          <w:rFonts w:ascii="Times New Roman" w:hAnsi="Times New Roman"/>
          <w:color w:val="111111"/>
          <w:sz w:val="24"/>
          <w:szCs w:val="24"/>
        </w:rPr>
        <w:t>Growth factor and cytokine secretion by MABS</w:t>
      </w:r>
      <w:r w:rsidRPr="009A3014">
        <w:rPr>
          <w:rFonts w:ascii="Times New Roman" w:hAnsi="Times New Roman"/>
          <w:color w:val="111111"/>
          <w:sz w:val="24"/>
          <w:szCs w:val="24"/>
          <w:vertAlign w:val="superscript"/>
        </w:rPr>
        <w:t>allo</w:t>
      </w:r>
      <w:r w:rsidRPr="009A3014">
        <w:rPr>
          <w:rFonts w:ascii="Times New Roman" w:hAnsi="Times New Roman"/>
          <w:color w:val="111111"/>
          <w:sz w:val="24"/>
          <w:szCs w:val="24"/>
        </w:rPr>
        <w:t xml:space="preserve"> and MABs</w:t>
      </w:r>
      <w:r w:rsidRPr="009A3014">
        <w:rPr>
          <w:rFonts w:ascii="Times New Roman" w:hAnsi="Times New Roman"/>
          <w:color w:val="111111"/>
          <w:sz w:val="24"/>
          <w:szCs w:val="24"/>
          <w:vertAlign w:val="superscript"/>
        </w:rPr>
        <w:t>allo-VEGF</w:t>
      </w:r>
      <w:r w:rsidRPr="009A3014">
        <w:rPr>
          <w:rFonts w:ascii="Times New Roman" w:hAnsi="Times New Roman"/>
          <w:color w:val="111111"/>
          <w:sz w:val="24"/>
          <w:szCs w:val="24"/>
        </w:rPr>
        <w:t xml:space="preserve">. </w:t>
      </w:r>
      <w:r w:rsidRPr="009A3014">
        <w:rPr>
          <w:rFonts w:ascii="Times New Roman" w:hAnsi="Times New Roman"/>
          <w:b w:val="0"/>
          <w:bCs w:val="0"/>
          <w:color w:val="111111"/>
          <w:sz w:val="24"/>
          <w:szCs w:val="24"/>
        </w:rPr>
        <w:t>MABs</w:t>
      </w:r>
      <w:r w:rsidRPr="009A3014">
        <w:rPr>
          <w:rFonts w:ascii="Times New Roman" w:hAnsi="Times New Roman"/>
          <w:b w:val="0"/>
          <w:bCs w:val="0"/>
          <w:color w:val="111111"/>
          <w:sz w:val="24"/>
          <w:szCs w:val="24"/>
          <w:vertAlign w:val="superscript"/>
        </w:rPr>
        <w:t>allo-VEGF</w:t>
      </w:r>
      <w:r w:rsidRPr="009A3014">
        <w:rPr>
          <w:rFonts w:ascii="Times New Roman" w:hAnsi="Times New Roman"/>
          <w:b w:val="0"/>
          <w:bCs w:val="0"/>
          <w:color w:val="111111"/>
          <w:sz w:val="24"/>
          <w:szCs w:val="24"/>
        </w:rPr>
        <w:t xml:space="preserve"> enhanced the secretion of CXCL1 (6x), CXCL3 (4x), CXCL5 (8x), MCP1 (3x), TIMP1 (6x) and VEGF (5x) compared to untransduced MABs</w:t>
      </w:r>
      <w:r w:rsidRPr="009A3014">
        <w:rPr>
          <w:rFonts w:ascii="Times New Roman" w:hAnsi="Times New Roman"/>
          <w:b w:val="0"/>
          <w:bCs w:val="0"/>
          <w:color w:val="111111"/>
          <w:sz w:val="24"/>
          <w:szCs w:val="24"/>
          <w:vertAlign w:val="superscript"/>
        </w:rPr>
        <w:t>allo</w:t>
      </w:r>
      <w:r w:rsidRPr="009A3014">
        <w:rPr>
          <w:rFonts w:ascii="Times New Roman" w:hAnsi="Times New Roman"/>
          <w:b w:val="0"/>
          <w:bCs w:val="0"/>
          <w:color w:val="111111"/>
          <w:sz w:val="24"/>
          <w:szCs w:val="24"/>
        </w:rPr>
        <w:t xml:space="preserve">. </w:t>
      </w:r>
      <w:r w:rsidRPr="009A3014">
        <w:rPr>
          <w:rFonts w:ascii="Times New Roman" w:hAnsi="Times New Roman"/>
          <w:b w:val="0"/>
          <w:bCs w:val="0"/>
          <w:color w:val="000000"/>
          <w:sz w:val="24"/>
          <w:szCs w:val="24"/>
        </w:rPr>
        <w:t xml:space="preserve">Targets: </w:t>
      </w:r>
      <w:r w:rsidRPr="009A3014">
        <w:rPr>
          <w:rFonts w:ascii="Times New Roman" w:hAnsi="Times New Roman"/>
          <w:b w:val="0"/>
          <w:bCs w:val="0"/>
          <w:color w:val="000000"/>
          <w:sz w:val="24"/>
          <w:szCs w:val="24"/>
          <w:shd w:val="clear" w:color="auto" w:fill="FFFFFF"/>
        </w:rPr>
        <w:t xml:space="preserve"> Activin A, Agrin, B7-2/CD86, </w:t>
      </w:r>
      <w:r w:rsidRPr="009A3014">
        <w:rPr>
          <w:rFonts w:ascii="Times New Roman" w:eastAsia="Arial Unicode MS" w:hAnsi="Times New Roman"/>
          <w:b w:val="0"/>
          <w:bCs w:val="0"/>
          <w:color w:val="000000"/>
          <w:sz w:val="24"/>
          <w:szCs w:val="24"/>
          <w:shd w:val="clear" w:color="auto" w:fill="FFFFFF"/>
        </w:rPr>
        <w:t>β</w:t>
      </w:r>
      <w:r w:rsidRPr="009A3014">
        <w:rPr>
          <w:rFonts w:ascii="Times New Roman" w:hAnsi="Times New Roman"/>
          <w:b w:val="0"/>
          <w:bCs w:val="0"/>
          <w:color w:val="000000"/>
          <w:sz w:val="24"/>
          <w:szCs w:val="24"/>
          <w:shd w:val="clear" w:color="auto" w:fill="FFFFFF"/>
        </w:rPr>
        <w:t xml:space="preserve"> (BNGF), </w:t>
      </w:r>
      <w:r w:rsidRPr="009A3014">
        <w:rPr>
          <w:rFonts w:ascii="Times New Roman" w:hAnsi="Times New Roman"/>
          <w:b w:val="0"/>
          <w:bCs w:val="0"/>
          <w:color w:val="000000"/>
          <w:sz w:val="24"/>
          <w:szCs w:val="24"/>
        </w:rPr>
        <w:t xml:space="preserve">C-X-C motif chemokine 1 </w:t>
      </w:r>
      <w:r w:rsidRPr="009A3014">
        <w:rPr>
          <w:rFonts w:ascii="Times New Roman" w:hAnsi="Times New Roman"/>
          <w:b w:val="0"/>
          <w:bCs w:val="0"/>
          <w:color w:val="000000"/>
          <w:sz w:val="24"/>
          <w:szCs w:val="24"/>
          <w:shd w:val="clear" w:color="auto" w:fill="FFFFFF"/>
        </w:rPr>
        <w:t xml:space="preserve">(CXCL-1 or CINC1), </w:t>
      </w:r>
      <w:r w:rsidRPr="009A3014">
        <w:rPr>
          <w:rFonts w:ascii="Times New Roman" w:hAnsi="Times New Roman"/>
          <w:b w:val="0"/>
          <w:bCs w:val="0"/>
          <w:color w:val="000000"/>
          <w:sz w:val="24"/>
          <w:szCs w:val="24"/>
        </w:rPr>
        <w:t xml:space="preserve">C-X-C motif chemokine 3 </w:t>
      </w:r>
      <w:r w:rsidRPr="009A3014">
        <w:rPr>
          <w:rFonts w:ascii="Times New Roman" w:hAnsi="Times New Roman"/>
          <w:b w:val="0"/>
          <w:bCs w:val="0"/>
          <w:color w:val="000000"/>
          <w:sz w:val="24"/>
          <w:szCs w:val="24"/>
          <w:shd w:val="clear" w:color="auto" w:fill="FFFFFF"/>
        </w:rPr>
        <w:t xml:space="preserve">(CXCL-3 or CINC2), </w:t>
      </w:r>
      <w:r w:rsidRPr="009A3014">
        <w:rPr>
          <w:rFonts w:ascii="Times New Roman" w:hAnsi="Times New Roman"/>
          <w:b w:val="0"/>
          <w:bCs w:val="0"/>
          <w:color w:val="000000"/>
          <w:sz w:val="24"/>
          <w:szCs w:val="24"/>
        </w:rPr>
        <w:t xml:space="preserve">C-X-C motif chemokine 2 </w:t>
      </w:r>
      <w:r w:rsidRPr="009A3014">
        <w:rPr>
          <w:rFonts w:ascii="Times New Roman" w:hAnsi="Times New Roman"/>
          <w:b w:val="0"/>
          <w:bCs w:val="0"/>
          <w:color w:val="000000"/>
          <w:sz w:val="24"/>
          <w:szCs w:val="24"/>
          <w:shd w:val="clear" w:color="auto" w:fill="FFFFFF"/>
        </w:rPr>
        <w:t xml:space="preserve">(CXCL-2 or CINC-3), CNTF, Fas Ligand, Fractalkine, GM-CSF, ICAM-1, Interferon </w:t>
      </w:r>
      <w:r w:rsidRPr="009A3014">
        <w:rPr>
          <w:rFonts w:ascii="Times New Roman" w:eastAsia="Arial Unicode MS" w:hAnsi="Times New Roman"/>
          <w:b w:val="0"/>
          <w:bCs w:val="0"/>
          <w:color w:val="000000"/>
          <w:sz w:val="24"/>
          <w:szCs w:val="24"/>
          <w:shd w:val="clear" w:color="auto" w:fill="FFFFFF"/>
        </w:rPr>
        <w:t>γ</w:t>
      </w:r>
      <w:r w:rsidRPr="009A3014">
        <w:rPr>
          <w:rFonts w:ascii="Times New Roman" w:hAnsi="Times New Roman"/>
          <w:b w:val="0"/>
          <w:bCs w:val="0"/>
          <w:color w:val="000000"/>
          <w:sz w:val="24"/>
          <w:szCs w:val="24"/>
          <w:shd w:val="clear" w:color="auto" w:fill="FFFFFF"/>
        </w:rPr>
        <w:t xml:space="preserve"> (IFN-G), Interleukin 1 </w:t>
      </w:r>
      <w:r w:rsidRPr="009A3014">
        <w:rPr>
          <w:rFonts w:ascii="Times New Roman" w:eastAsia="Arial Unicode MS" w:hAnsi="Times New Roman"/>
          <w:b w:val="0"/>
          <w:bCs w:val="0"/>
          <w:color w:val="000000"/>
          <w:sz w:val="24"/>
          <w:szCs w:val="24"/>
          <w:shd w:val="clear" w:color="auto" w:fill="FFFFFF"/>
        </w:rPr>
        <w:t>α</w:t>
      </w:r>
      <w:r w:rsidRPr="009A3014">
        <w:rPr>
          <w:rFonts w:ascii="Times New Roman" w:hAnsi="Times New Roman"/>
          <w:b w:val="0"/>
          <w:bCs w:val="0"/>
          <w:color w:val="000000"/>
          <w:sz w:val="24"/>
          <w:szCs w:val="24"/>
          <w:shd w:val="clear" w:color="auto" w:fill="FFFFFF"/>
        </w:rPr>
        <w:t xml:space="preserve"> and </w:t>
      </w:r>
      <w:r w:rsidRPr="009A3014">
        <w:rPr>
          <w:rFonts w:ascii="Times New Roman" w:eastAsia="Arial Unicode MS" w:hAnsi="Times New Roman"/>
          <w:b w:val="0"/>
          <w:bCs w:val="0"/>
          <w:color w:val="000000"/>
          <w:sz w:val="24"/>
          <w:szCs w:val="24"/>
          <w:shd w:val="clear" w:color="auto" w:fill="FFFFFF"/>
        </w:rPr>
        <w:t>β</w:t>
      </w:r>
      <w:r w:rsidRPr="009A3014">
        <w:rPr>
          <w:rFonts w:ascii="Times New Roman" w:hAnsi="Times New Roman"/>
          <w:b w:val="0"/>
          <w:bCs w:val="0"/>
          <w:color w:val="000000"/>
          <w:sz w:val="24"/>
          <w:szCs w:val="24"/>
          <w:shd w:val="clear" w:color="auto" w:fill="FFFFFF"/>
        </w:rPr>
        <w:t xml:space="preserve"> (IL1a and IL1b), Interleukin 1 receptor 5 (IL1R5),  Interleukin 2 (IL2), Interleukin 4 (IL4), Interleukin 6 (IL6), Interleukin 10 (IL10), Interleukin 13 (IL13), Leptin, </w:t>
      </w:r>
      <w:r w:rsidRPr="009A3014">
        <w:rPr>
          <w:rFonts w:ascii="Times New Roman" w:hAnsi="Times New Roman"/>
          <w:b w:val="0"/>
          <w:bCs w:val="0"/>
          <w:color w:val="000000"/>
          <w:sz w:val="24"/>
          <w:szCs w:val="24"/>
        </w:rPr>
        <w:t xml:space="preserve">C-X-C motif chemokine 5 (CXCL5 or </w:t>
      </w:r>
      <w:r w:rsidRPr="009A3014">
        <w:rPr>
          <w:rFonts w:ascii="Times New Roman" w:hAnsi="Times New Roman"/>
          <w:b w:val="0"/>
          <w:bCs w:val="0"/>
          <w:color w:val="000000"/>
          <w:sz w:val="24"/>
          <w:szCs w:val="24"/>
          <w:shd w:val="clear" w:color="auto" w:fill="FFFFFF"/>
        </w:rPr>
        <w:t xml:space="preserve">LIX), L-Selectin, </w:t>
      </w:r>
      <w:r w:rsidRPr="009A3014">
        <w:rPr>
          <w:rFonts w:ascii="Times New Roman" w:hAnsi="Times New Roman"/>
          <w:b w:val="0"/>
          <w:bCs w:val="0"/>
          <w:color w:val="000000"/>
          <w:sz w:val="24"/>
          <w:szCs w:val="24"/>
        </w:rPr>
        <w:t xml:space="preserve">Monocyte Chemoattractant Protein-1 </w:t>
      </w:r>
      <w:r w:rsidRPr="009A3014">
        <w:rPr>
          <w:rFonts w:ascii="Times New Roman" w:hAnsi="Times New Roman"/>
          <w:b w:val="0"/>
          <w:bCs w:val="0"/>
          <w:color w:val="000000"/>
          <w:sz w:val="24"/>
          <w:szCs w:val="24"/>
          <w:shd w:val="clear" w:color="auto" w:fill="FFFFFF"/>
        </w:rPr>
        <w:t xml:space="preserve">(CCL2 or MCP-1), </w:t>
      </w:r>
      <w:r w:rsidRPr="009A3014">
        <w:rPr>
          <w:rFonts w:ascii="Times New Roman" w:hAnsi="Times New Roman"/>
          <w:b w:val="0"/>
          <w:bCs w:val="0"/>
          <w:color w:val="000000"/>
          <w:sz w:val="24"/>
          <w:szCs w:val="24"/>
        </w:rPr>
        <w:t>macrophage inflammatory protein-3</w:t>
      </w:r>
      <w:r w:rsidRPr="009A3014">
        <w:rPr>
          <w:rFonts w:ascii="Times New Roman" w:eastAsia="Arial Unicode MS" w:hAnsi="Times New Roman"/>
          <w:b w:val="0"/>
          <w:bCs w:val="0"/>
          <w:color w:val="000000"/>
          <w:sz w:val="24"/>
          <w:szCs w:val="24"/>
          <w:shd w:val="clear" w:color="auto" w:fill="FFFFFF"/>
        </w:rPr>
        <w:t>α</w:t>
      </w:r>
      <w:r w:rsidRPr="009A3014">
        <w:rPr>
          <w:rFonts w:ascii="Times New Roman" w:hAnsi="Times New Roman"/>
          <w:b w:val="0"/>
          <w:bCs w:val="0"/>
          <w:color w:val="000000"/>
          <w:sz w:val="24"/>
          <w:szCs w:val="24"/>
          <w:shd w:val="clear" w:color="auto" w:fill="FFFFFF"/>
        </w:rPr>
        <w:t xml:space="preserve"> (MIP3-A), Metalloproteinase 8 (MMP8), </w:t>
      </w:r>
      <w:r w:rsidRPr="009A3014">
        <w:rPr>
          <w:rFonts w:ascii="Times New Roman" w:hAnsi="Times New Roman"/>
          <w:b w:val="0"/>
          <w:bCs w:val="0"/>
          <w:color w:val="000000"/>
          <w:sz w:val="24"/>
          <w:szCs w:val="24"/>
        </w:rPr>
        <w:t>Platelet-derived growth factor-AA</w:t>
      </w:r>
      <w:r w:rsidRPr="009A3014">
        <w:rPr>
          <w:rFonts w:ascii="Times New Roman" w:hAnsi="Times New Roman"/>
          <w:b w:val="0"/>
          <w:bCs w:val="0"/>
          <w:color w:val="000000"/>
          <w:sz w:val="24"/>
          <w:szCs w:val="24"/>
          <w:shd w:val="clear" w:color="auto" w:fill="FFFFFF"/>
        </w:rPr>
        <w:t xml:space="preserve"> (PDGF-AA), Prolactin R, </w:t>
      </w:r>
      <w:r w:rsidRPr="009A3014">
        <w:rPr>
          <w:rFonts w:ascii="Times New Roman" w:hAnsi="Times New Roman"/>
          <w:b w:val="0"/>
          <w:bCs w:val="0"/>
          <w:color w:val="000000"/>
          <w:sz w:val="24"/>
          <w:szCs w:val="24"/>
        </w:rPr>
        <w:t xml:space="preserve">Receptor for Advanced Glycation Endproducts </w:t>
      </w:r>
      <w:r w:rsidRPr="009A3014">
        <w:rPr>
          <w:rFonts w:ascii="Times New Roman" w:hAnsi="Times New Roman"/>
          <w:b w:val="0"/>
          <w:bCs w:val="0"/>
          <w:color w:val="000000"/>
          <w:sz w:val="24"/>
          <w:szCs w:val="24"/>
          <w:shd w:val="clear" w:color="auto" w:fill="FFFFFF"/>
        </w:rPr>
        <w:t xml:space="preserve">(RAGE), CXCL7 (Thymus Chemokine-1), </w:t>
      </w:r>
      <w:r w:rsidRPr="009A3014">
        <w:rPr>
          <w:rFonts w:ascii="Times New Roman" w:hAnsi="Times New Roman"/>
          <w:b w:val="0"/>
          <w:bCs w:val="0"/>
          <w:color w:val="000000"/>
          <w:sz w:val="24"/>
          <w:szCs w:val="24"/>
        </w:rPr>
        <w:t>tissue inhibitor of metalloproteinases 1 (</w:t>
      </w:r>
      <w:r w:rsidRPr="009A3014">
        <w:rPr>
          <w:rFonts w:ascii="Times New Roman" w:hAnsi="Times New Roman"/>
          <w:b w:val="0"/>
          <w:bCs w:val="0"/>
          <w:color w:val="000000"/>
          <w:sz w:val="24"/>
          <w:szCs w:val="24"/>
          <w:shd w:val="clear" w:color="auto" w:fill="FFFFFF"/>
        </w:rPr>
        <w:t xml:space="preserve">TIMP1), Tumor necrosis factor </w:t>
      </w:r>
      <w:r w:rsidRPr="009A3014">
        <w:rPr>
          <w:rFonts w:ascii="Times New Roman" w:eastAsia="Arial Unicode MS" w:hAnsi="Times New Roman"/>
          <w:b w:val="0"/>
          <w:bCs w:val="0"/>
          <w:color w:val="000000"/>
          <w:sz w:val="24"/>
          <w:szCs w:val="24"/>
          <w:shd w:val="clear" w:color="auto" w:fill="FFFFFF"/>
        </w:rPr>
        <w:t>α</w:t>
      </w:r>
      <w:r w:rsidRPr="009A3014">
        <w:rPr>
          <w:rFonts w:ascii="Times New Roman" w:hAnsi="Times New Roman"/>
          <w:b w:val="0"/>
          <w:bCs w:val="0"/>
          <w:color w:val="000000"/>
          <w:sz w:val="24"/>
          <w:szCs w:val="24"/>
          <w:shd w:val="clear" w:color="auto" w:fill="FFFFFF"/>
        </w:rPr>
        <w:t xml:space="preserve"> (TNF-a), Vascular endothelial growth factor (VEGF). Data from 48h cytokine secretion.</w:t>
      </w:r>
    </w:p>
    <w:p w14:paraId="108649DB" w14:textId="77777777" w:rsidR="00DC24E6" w:rsidRPr="009A3014" w:rsidRDefault="00DC24E6" w:rsidP="00DC24E6">
      <w:pPr>
        <w:pStyle w:val="NormalWeb"/>
        <w:jc w:val="both"/>
      </w:pPr>
    </w:p>
    <w:p w14:paraId="0ACC16A0" w14:textId="77777777" w:rsidR="00DC24E6" w:rsidRPr="009A3014" w:rsidRDefault="00DC24E6" w:rsidP="00DC24E6">
      <w:pPr>
        <w:jc w:val="both"/>
        <w:rPr>
          <w:rFonts w:ascii="Times New Roman" w:hAnsi="Times New Roman" w:cs="Times New Roman"/>
          <w:sz w:val="24"/>
          <w:szCs w:val="24"/>
        </w:rPr>
      </w:pPr>
    </w:p>
    <w:p w14:paraId="528CB737" w14:textId="77777777" w:rsidR="00DC24E6" w:rsidRPr="009A3014" w:rsidRDefault="00DC24E6" w:rsidP="00DC24E6">
      <w:pPr>
        <w:jc w:val="both"/>
        <w:rPr>
          <w:rFonts w:ascii="Times New Roman" w:hAnsi="Times New Roman" w:cs="Times New Roman"/>
          <w:sz w:val="24"/>
          <w:szCs w:val="24"/>
        </w:rPr>
      </w:pPr>
    </w:p>
    <w:p w14:paraId="7B5D9091" w14:textId="77777777" w:rsidR="00DC24E6" w:rsidRPr="009A3014" w:rsidRDefault="00DC24E6" w:rsidP="00DC24E6">
      <w:pPr>
        <w:jc w:val="both"/>
        <w:rPr>
          <w:rFonts w:ascii="Times New Roman" w:hAnsi="Times New Roman" w:cs="Times New Roman"/>
          <w:noProof/>
          <w:sz w:val="24"/>
          <w:szCs w:val="24"/>
          <w:lang w:val="en-GB" w:eastAsia="en-GB"/>
        </w:rPr>
      </w:pPr>
    </w:p>
    <w:p w14:paraId="4F8017D7" w14:textId="77777777" w:rsidR="00DC24E6" w:rsidRPr="009A3014" w:rsidRDefault="00DC24E6" w:rsidP="00DC24E6">
      <w:pPr>
        <w:jc w:val="both"/>
        <w:rPr>
          <w:rFonts w:ascii="Times New Roman" w:hAnsi="Times New Roman" w:cs="Times New Roman"/>
          <w:sz w:val="24"/>
          <w:szCs w:val="24"/>
        </w:rPr>
      </w:pPr>
    </w:p>
    <w:p w14:paraId="001F750A" w14:textId="77777777" w:rsidR="00DC24E6" w:rsidRPr="009A3014" w:rsidRDefault="00DC24E6" w:rsidP="00DC24E6">
      <w:pPr>
        <w:jc w:val="both"/>
        <w:rPr>
          <w:rFonts w:ascii="Times New Roman" w:hAnsi="Times New Roman" w:cs="Times New Roman"/>
          <w:sz w:val="24"/>
          <w:szCs w:val="24"/>
        </w:rPr>
      </w:pPr>
    </w:p>
    <w:p w14:paraId="51D9C39E" w14:textId="77777777" w:rsidR="00DC24E6" w:rsidRPr="009A3014" w:rsidRDefault="00DC24E6" w:rsidP="00DC24E6">
      <w:pPr>
        <w:jc w:val="both"/>
        <w:rPr>
          <w:rFonts w:ascii="Times New Roman" w:hAnsi="Times New Roman" w:cs="Times New Roman"/>
          <w:sz w:val="24"/>
          <w:szCs w:val="24"/>
        </w:rPr>
      </w:pPr>
    </w:p>
    <w:p w14:paraId="2A326D14" w14:textId="77777777" w:rsidR="00DC24E6" w:rsidRPr="009A3014" w:rsidRDefault="00DC24E6" w:rsidP="00DC24E6">
      <w:pPr>
        <w:jc w:val="both"/>
        <w:rPr>
          <w:rFonts w:ascii="Times New Roman" w:hAnsi="Times New Roman" w:cs="Times New Roman"/>
          <w:sz w:val="24"/>
          <w:szCs w:val="24"/>
        </w:rPr>
      </w:pPr>
    </w:p>
    <w:p w14:paraId="6B8F509C" w14:textId="77777777" w:rsidR="00DC24E6" w:rsidRPr="009A3014" w:rsidRDefault="00DC24E6" w:rsidP="00DC24E6">
      <w:pPr>
        <w:jc w:val="both"/>
        <w:rPr>
          <w:rFonts w:ascii="Times New Roman" w:hAnsi="Times New Roman" w:cs="Times New Roman"/>
          <w:sz w:val="24"/>
          <w:szCs w:val="24"/>
        </w:rPr>
      </w:pPr>
    </w:p>
    <w:p w14:paraId="74146149" w14:textId="5291075B" w:rsidR="00DC24E6" w:rsidRPr="009A3014" w:rsidRDefault="00DC24E6" w:rsidP="00DC24E6">
      <w:pPr>
        <w:jc w:val="both"/>
        <w:rPr>
          <w:rFonts w:ascii="Times New Roman" w:hAnsi="Times New Roman" w:cs="Times New Roman"/>
          <w:sz w:val="24"/>
          <w:szCs w:val="24"/>
        </w:rPr>
      </w:pPr>
      <w:r w:rsidRPr="009A3014">
        <w:rPr>
          <w:rFonts w:ascii="Times New Roman" w:hAnsi="Times New Roman" w:cs="Times New Roman"/>
          <w:noProof/>
          <w:sz w:val="24"/>
          <w:szCs w:val="24"/>
          <w:lang w:val="en-GB" w:eastAsia="en-GB"/>
        </w:rPr>
        <w:lastRenderedPageBreak/>
        <w:drawing>
          <wp:inline distT="0" distB="0" distL="0" distR="0" wp14:anchorId="690A50B3" wp14:editId="21ABB024">
            <wp:extent cx="5753100" cy="2225040"/>
            <wp:effectExtent l="0" t="0" r="0" b="3810"/>
            <wp:docPr id="2" name="Picture 2"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lendar&#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b="45580"/>
                    <a:stretch>
                      <a:fillRect/>
                    </a:stretch>
                  </pic:blipFill>
                  <pic:spPr bwMode="auto">
                    <a:xfrm>
                      <a:off x="0" y="0"/>
                      <a:ext cx="5753100" cy="2225040"/>
                    </a:xfrm>
                    <a:prstGeom prst="rect">
                      <a:avLst/>
                    </a:prstGeom>
                    <a:noFill/>
                    <a:ln>
                      <a:noFill/>
                    </a:ln>
                  </pic:spPr>
                </pic:pic>
              </a:graphicData>
            </a:graphic>
          </wp:inline>
        </w:drawing>
      </w:r>
    </w:p>
    <w:p w14:paraId="5BAA8F8F" w14:textId="3E06CF9E" w:rsidR="00DC24E6" w:rsidRPr="009A3014" w:rsidRDefault="00DC24E6" w:rsidP="00DC24E6">
      <w:pPr>
        <w:pStyle w:val="BodyA"/>
        <w:spacing w:line="276" w:lineRule="auto"/>
        <w:jc w:val="both"/>
        <w:rPr>
          <w:rFonts w:ascii="Times New Roman" w:hAnsi="Times New Roman" w:cs="Times New Roman"/>
        </w:rPr>
      </w:pPr>
      <w:r w:rsidRPr="009A3014">
        <w:rPr>
          <w:rFonts w:ascii="Times New Roman" w:hAnsi="Times New Roman" w:cs="Times New Roman"/>
          <w:b/>
          <w:bCs/>
        </w:rPr>
        <w:t>Supplementary Figure 2.</w:t>
      </w:r>
      <w:r w:rsidRPr="009A3014">
        <w:rPr>
          <w:rFonts w:ascii="Times New Roman" w:hAnsi="Times New Roman" w:cs="Times New Roman"/>
        </w:rPr>
        <w:t xml:space="preserve">  </w:t>
      </w:r>
      <w:r w:rsidRPr="009A3014">
        <w:rPr>
          <w:rFonts w:ascii="Times New Roman" w:hAnsi="Times New Roman" w:cs="Times New Roman"/>
          <w:b/>
          <w:lang w:val="en-GB"/>
        </w:rPr>
        <w:t>MABs improve neovascularization and promote axonal sprouting in the vagina following simulated vaginal birth.</w:t>
      </w:r>
      <w:r w:rsidRPr="009A3014">
        <w:rPr>
          <w:rFonts w:ascii="Times New Roman" w:hAnsi="Times New Roman" w:cs="Times New Roman"/>
          <w:lang w:val="en-GB"/>
        </w:rPr>
        <w:t xml:space="preserve"> A) Representative images of immunostaining for the endothelial cell marker (CD34) in the mid-vagina. B) Histograms of CD34 morphometric analysis. MABs</w:t>
      </w:r>
      <w:r w:rsidRPr="009A3014">
        <w:rPr>
          <w:rFonts w:ascii="Times New Roman" w:hAnsi="Times New Roman" w:cs="Times New Roman"/>
          <w:vertAlign w:val="superscript"/>
          <w:lang w:val="en-GB"/>
        </w:rPr>
        <w:t>allo</w:t>
      </w:r>
      <w:r w:rsidRPr="009A3014">
        <w:rPr>
          <w:rFonts w:ascii="Times New Roman" w:hAnsi="Times New Roman" w:cs="Times New Roman"/>
          <w:lang w:val="en-GB"/>
        </w:rPr>
        <w:t xml:space="preserve"> and MABs</w:t>
      </w:r>
      <w:r w:rsidRPr="009A3014">
        <w:rPr>
          <w:rFonts w:ascii="Times New Roman" w:hAnsi="Times New Roman" w:cs="Times New Roman"/>
          <w:vertAlign w:val="superscript"/>
          <w:lang w:val="en-GB"/>
        </w:rPr>
        <w:t xml:space="preserve">allo-VEGF </w:t>
      </w:r>
      <w:r w:rsidRPr="009A3014">
        <w:rPr>
          <w:rFonts w:ascii="Times New Roman" w:hAnsi="Times New Roman" w:cs="Times New Roman"/>
          <w:lang w:val="en-GB"/>
        </w:rPr>
        <w:t>increased neovascularization of the vagina compared to controls at 14</w:t>
      </w:r>
      <w:r w:rsidR="00145B67">
        <w:rPr>
          <w:rFonts w:ascii="Times New Roman" w:hAnsi="Times New Roman" w:cs="Times New Roman"/>
          <w:lang w:val="en-GB"/>
        </w:rPr>
        <w:t>d</w:t>
      </w:r>
      <w:r w:rsidRPr="009A3014">
        <w:rPr>
          <w:rFonts w:ascii="Times New Roman" w:hAnsi="Times New Roman" w:cs="Times New Roman"/>
          <w:lang w:val="en-GB"/>
        </w:rPr>
        <w:t xml:space="preserve"> and 60d after injection. C) Representative images of immunostaining for nerve sprouting (GAP43) of the mid-vagina at 7d after injection. D) Histograms of GAP-43 morphometric analysis.  At 7d, MABs</w:t>
      </w:r>
      <w:r w:rsidRPr="009A3014">
        <w:rPr>
          <w:rFonts w:ascii="Times New Roman" w:hAnsi="Times New Roman" w:cs="Times New Roman"/>
          <w:vertAlign w:val="superscript"/>
          <w:lang w:val="en-GB"/>
        </w:rPr>
        <w:t xml:space="preserve">allo </w:t>
      </w:r>
      <w:r w:rsidRPr="009A3014">
        <w:rPr>
          <w:rFonts w:ascii="Times New Roman" w:hAnsi="Times New Roman" w:cs="Times New Roman"/>
          <w:lang w:val="en-GB"/>
        </w:rPr>
        <w:t>and MABs</w:t>
      </w:r>
      <w:r w:rsidRPr="009A3014">
        <w:rPr>
          <w:rFonts w:ascii="Times New Roman" w:hAnsi="Times New Roman" w:cs="Times New Roman"/>
          <w:vertAlign w:val="superscript"/>
          <w:lang w:val="en-GB"/>
        </w:rPr>
        <w:t>allo-VEGF</w:t>
      </w:r>
      <w:r w:rsidRPr="009A3014">
        <w:rPr>
          <w:rFonts w:ascii="Times New Roman" w:hAnsi="Times New Roman" w:cs="Times New Roman"/>
          <w:lang w:val="en-GB"/>
        </w:rPr>
        <w:t xml:space="preserve"> rats showed a higher immunostained area for axonal sprouting compared to controls. Abbreviations: *p &lt; .05, ** p&lt; .001; MABs</w:t>
      </w:r>
      <w:r w:rsidRPr="009A3014">
        <w:rPr>
          <w:rFonts w:ascii="Times New Roman" w:hAnsi="Times New Roman" w:cs="Times New Roman"/>
          <w:vertAlign w:val="superscript"/>
          <w:lang w:val="en-GB"/>
        </w:rPr>
        <w:t>allo</w:t>
      </w:r>
      <w:r w:rsidRPr="009A3014">
        <w:rPr>
          <w:rFonts w:ascii="Times New Roman" w:hAnsi="Times New Roman" w:cs="Times New Roman"/>
          <w:lang w:val="en-GB"/>
        </w:rPr>
        <w:t>: allogeneic mesoangioblasts; MABs</w:t>
      </w:r>
      <w:r w:rsidRPr="009A3014">
        <w:rPr>
          <w:rFonts w:ascii="Times New Roman" w:hAnsi="Times New Roman" w:cs="Times New Roman"/>
          <w:vertAlign w:val="superscript"/>
          <w:lang w:val="en-GB"/>
        </w:rPr>
        <w:t>allo-VEGF</w:t>
      </w:r>
      <w:r w:rsidRPr="009A3014">
        <w:rPr>
          <w:rFonts w:ascii="Times New Roman" w:hAnsi="Times New Roman" w:cs="Times New Roman"/>
          <w:lang w:val="en-GB"/>
        </w:rPr>
        <w:t>: VEGF-overexpressed allogeneic mesoangioblasts; control group: saline injection.</w:t>
      </w:r>
      <w:r w:rsidRPr="009A3014">
        <w:rPr>
          <w:rFonts w:ascii="Times New Roman" w:hAnsi="Times New Roman" w:cs="Times New Roman"/>
        </w:rPr>
        <w:t xml:space="preserve"> Data </w:t>
      </w:r>
      <w:r w:rsidR="00787BDC">
        <w:rPr>
          <w:rFonts w:ascii="Times New Roman" w:hAnsi="Times New Roman" w:cs="Times New Roman"/>
        </w:rPr>
        <w:t>are</w:t>
      </w:r>
      <w:r w:rsidRPr="009A3014">
        <w:rPr>
          <w:rFonts w:ascii="Times New Roman" w:hAnsi="Times New Roman" w:cs="Times New Roman"/>
        </w:rPr>
        <w:t xml:space="preserve"> shown as </w:t>
      </w:r>
      <w:r w:rsidR="00145B67">
        <w:rPr>
          <w:rFonts w:ascii="Times New Roman" w:hAnsi="Times New Roman" w:cs="Times New Roman"/>
        </w:rPr>
        <w:t xml:space="preserve">mean and </w:t>
      </w:r>
      <w:proofErr w:type="spellStart"/>
      <w:r w:rsidR="00145B67">
        <w:rPr>
          <w:rFonts w:ascii="Times New Roman" w:hAnsi="Times New Roman" w:cs="Times New Roman"/>
        </w:rPr>
        <w:t>StDev</w:t>
      </w:r>
      <w:proofErr w:type="spellEnd"/>
      <w:r w:rsidR="00145B67" w:rsidRPr="009A3014">
        <w:rPr>
          <w:rFonts w:ascii="Times New Roman" w:hAnsi="Times New Roman" w:cs="Times New Roman"/>
        </w:rPr>
        <w:t xml:space="preserve"> </w:t>
      </w:r>
      <w:r w:rsidRPr="009A3014">
        <w:rPr>
          <w:rFonts w:ascii="Times New Roman" w:hAnsi="Times New Roman" w:cs="Times New Roman"/>
        </w:rPr>
        <w:t>and individual data</w:t>
      </w:r>
      <w:r w:rsidR="00787BDC">
        <w:rPr>
          <w:rFonts w:ascii="Times New Roman" w:hAnsi="Times New Roman" w:cs="Times New Roman"/>
        </w:rPr>
        <w:t xml:space="preserve"> points</w:t>
      </w:r>
      <w:r w:rsidRPr="009A3014">
        <w:rPr>
          <w:rFonts w:ascii="Times New Roman" w:hAnsi="Times New Roman" w:cs="Times New Roman"/>
        </w:rPr>
        <w:t>.</w:t>
      </w:r>
    </w:p>
    <w:p w14:paraId="395252EA" w14:textId="77777777" w:rsidR="00DC24E6" w:rsidRPr="009A3014" w:rsidRDefault="00DC24E6" w:rsidP="00DC24E6">
      <w:pPr>
        <w:pStyle w:val="BodyA"/>
        <w:spacing w:line="360" w:lineRule="auto"/>
        <w:jc w:val="both"/>
        <w:rPr>
          <w:rFonts w:ascii="Times New Roman" w:hAnsi="Times New Roman" w:cs="Times New Roman"/>
        </w:rPr>
      </w:pPr>
    </w:p>
    <w:p w14:paraId="2643BF6A" w14:textId="77777777" w:rsidR="00DC24E6" w:rsidRPr="00787BDC" w:rsidRDefault="00DC24E6" w:rsidP="00DC24E6">
      <w:pPr>
        <w:jc w:val="both"/>
        <w:rPr>
          <w:rFonts w:ascii="Times New Roman" w:hAnsi="Times New Roman" w:cs="Times New Roman"/>
          <w:sz w:val="24"/>
          <w:szCs w:val="24"/>
          <w:lang w:val="en-US"/>
        </w:rPr>
      </w:pPr>
    </w:p>
    <w:p w14:paraId="10130846" w14:textId="77777777" w:rsidR="00DC24E6" w:rsidRPr="00787BDC" w:rsidRDefault="00DC24E6" w:rsidP="00DC24E6">
      <w:pPr>
        <w:jc w:val="both"/>
        <w:rPr>
          <w:rFonts w:ascii="Times New Roman" w:hAnsi="Times New Roman" w:cs="Times New Roman"/>
          <w:sz w:val="24"/>
          <w:szCs w:val="24"/>
          <w:lang w:val="en-US"/>
        </w:rPr>
      </w:pPr>
    </w:p>
    <w:p w14:paraId="453112D6" w14:textId="77777777" w:rsidR="00DC24E6" w:rsidRPr="00787BDC" w:rsidRDefault="00DC24E6" w:rsidP="00DC24E6">
      <w:pPr>
        <w:jc w:val="both"/>
        <w:rPr>
          <w:rFonts w:ascii="Times New Roman" w:hAnsi="Times New Roman" w:cs="Times New Roman"/>
          <w:sz w:val="24"/>
          <w:szCs w:val="24"/>
          <w:lang w:val="en-US"/>
        </w:rPr>
      </w:pPr>
    </w:p>
    <w:p w14:paraId="2194E1E3" w14:textId="4CDA80D5" w:rsidR="00DC24E6" w:rsidRPr="009A3014" w:rsidRDefault="00DC24E6" w:rsidP="00DC24E6">
      <w:pPr>
        <w:jc w:val="both"/>
        <w:rPr>
          <w:rFonts w:ascii="Times New Roman" w:hAnsi="Times New Roman" w:cs="Times New Roman"/>
          <w:sz w:val="24"/>
          <w:szCs w:val="24"/>
        </w:rPr>
      </w:pPr>
      <w:r w:rsidRPr="009A3014">
        <w:rPr>
          <w:rFonts w:ascii="Times New Roman" w:hAnsi="Times New Roman" w:cs="Times New Roman"/>
          <w:noProof/>
          <w:sz w:val="24"/>
          <w:szCs w:val="24"/>
          <w:lang w:val="en-GB" w:eastAsia="en-GB"/>
        </w:rPr>
        <w:lastRenderedPageBreak/>
        <w:drawing>
          <wp:inline distT="0" distB="0" distL="0" distR="0" wp14:anchorId="4BC6DA3D" wp14:editId="6CF80F20">
            <wp:extent cx="4835229" cy="6835140"/>
            <wp:effectExtent l="0" t="0" r="3810" b="381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 schematic&#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7410" cy="6838223"/>
                    </a:xfrm>
                    <a:prstGeom prst="rect">
                      <a:avLst/>
                    </a:prstGeom>
                    <a:noFill/>
                    <a:ln>
                      <a:noFill/>
                    </a:ln>
                  </pic:spPr>
                </pic:pic>
              </a:graphicData>
            </a:graphic>
          </wp:inline>
        </w:drawing>
      </w:r>
    </w:p>
    <w:p w14:paraId="1647DEB0" w14:textId="4CBD6A7B" w:rsidR="00451EEE" w:rsidRPr="009A3014" w:rsidRDefault="00DC24E6" w:rsidP="00CC1EBB">
      <w:pPr>
        <w:pStyle w:val="BodyA"/>
        <w:spacing w:line="276" w:lineRule="auto"/>
        <w:jc w:val="both"/>
        <w:rPr>
          <w:rFonts w:ascii="Times New Roman" w:hAnsi="Times New Roman" w:cs="Times New Roman"/>
        </w:rPr>
      </w:pPr>
      <w:r w:rsidRPr="009A3014">
        <w:rPr>
          <w:rFonts w:ascii="Times New Roman" w:hAnsi="Times New Roman" w:cs="Times New Roman"/>
          <w:b/>
          <w:bCs/>
        </w:rPr>
        <w:t xml:space="preserve">Supplementary Figure 3. Recovered animals showed modulation of inflammatory and oxidative stress response A) </w:t>
      </w:r>
      <w:r w:rsidRPr="009A3014">
        <w:rPr>
          <w:rFonts w:ascii="Times New Roman" w:hAnsi="Times New Roman" w:cs="Times New Roman"/>
        </w:rPr>
        <w:t>Top 15 biological process GO-terms associated with downregulated DEGs between non-functionally recovered urethras and functionally recovered urethras. B) Normalized gene count of individual genes involved in actin cytoskeleton organization (</w:t>
      </w:r>
      <w:r w:rsidRPr="009A3014">
        <w:rPr>
          <w:rFonts w:ascii="Times New Roman" w:hAnsi="Times New Roman" w:cs="Times New Roman"/>
          <w:i/>
          <w:iCs/>
        </w:rPr>
        <w:t>Arhgap18</w:t>
      </w:r>
      <w:r w:rsidRPr="009A3014">
        <w:rPr>
          <w:rFonts w:ascii="Times New Roman" w:hAnsi="Times New Roman" w:cs="Times New Roman"/>
        </w:rPr>
        <w:t>), negative regulator of Wnt pathway (</w:t>
      </w:r>
      <w:r w:rsidRPr="009A3014">
        <w:rPr>
          <w:rFonts w:ascii="Times New Roman" w:hAnsi="Times New Roman" w:cs="Times New Roman"/>
          <w:i/>
          <w:iCs/>
        </w:rPr>
        <w:t>Apcdd1l</w:t>
      </w:r>
      <w:r w:rsidRPr="009A3014">
        <w:rPr>
          <w:rFonts w:ascii="Times New Roman" w:hAnsi="Times New Roman" w:cs="Times New Roman"/>
        </w:rPr>
        <w:t>), inhibition of angiogenesis (</w:t>
      </w:r>
      <w:r w:rsidRPr="009A3014">
        <w:rPr>
          <w:rFonts w:ascii="Times New Roman" w:hAnsi="Times New Roman" w:cs="Times New Roman"/>
          <w:i/>
          <w:iCs/>
        </w:rPr>
        <w:t>Angpt4</w:t>
      </w:r>
      <w:r w:rsidRPr="009A3014">
        <w:rPr>
          <w:rFonts w:ascii="Times New Roman" w:hAnsi="Times New Roman" w:cs="Times New Roman"/>
        </w:rPr>
        <w:t>), apoptosis (</w:t>
      </w:r>
      <w:r w:rsidRPr="009A3014">
        <w:rPr>
          <w:rFonts w:ascii="Times New Roman" w:hAnsi="Times New Roman" w:cs="Times New Roman"/>
          <w:i/>
          <w:iCs/>
        </w:rPr>
        <w:t>Cidec</w:t>
      </w:r>
      <w:r w:rsidRPr="009A3014">
        <w:rPr>
          <w:rFonts w:ascii="Times New Roman" w:hAnsi="Times New Roman" w:cs="Times New Roman"/>
        </w:rPr>
        <w:t>), water permeability (</w:t>
      </w:r>
      <w:r w:rsidRPr="009A3014">
        <w:rPr>
          <w:rFonts w:ascii="Times New Roman" w:hAnsi="Times New Roman" w:cs="Times New Roman"/>
          <w:i/>
          <w:iCs/>
        </w:rPr>
        <w:t>Aqp7</w:t>
      </w:r>
      <w:r w:rsidRPr="009A3014">
        <w:rPr>
          <w:rFonts w:ascii="Times New Roman" w:hAnsi="Times New Roman" w:cs="Times New Roman"/>
        </w:rPr>
        <w:t>), and pro-inflammatory response (</w:t>
      </w:r>
      <w:r w:rsidRPr="009A3014">
        <w:rPr>
          <w:rFonts w:ascii="Times New Roman" w:hAnsi="Times New Roman" w:cs="Times New Roman"/>
          <w:i/>
          <w:iCs/>
        </w:rPr>
        <w:t>Ccl3, Ccl4, CD27, Krtdap, Ankef1</w:t>
      </w:r>
      <w:r w:rsidRPr="009A3014">
        <w:rPr>
          <w:rFonts w:ascii="Times New Roman" w:hAnsi="Times New Roman" w:cs="Times New Roman"/>
        </w:rPr>
        <w:t>) and pro-oxidative stress (</w:t>
      </w:r>
      <w:r w:rsidRPr="009A3014">
        <w:rPr>
          <w:rFonts w:ascii="Times New Roman" w:hAnsi="Times New Roman" w:cs="Times New Roman"/>
          <w:i/>
          <w:iCs/>
        </w:rPr>
        <w:t>Noxo1, SLC1a3, Retn, Cyp11a1, Pck1, Plin1, Akr1c3 and Adipoq</w:t>
      </w:r>
      <w:r w:rsidRPr="009A3014">
        <w:rPr>
          <w:rFonts w:ascii="Times New Roman" w:hAnsi="Times New Roman" w:cs="Times New Roman"/>
        </w:rPr>
        <w:t xml:space="preserve">).  </w:t>
      </w:r>
      <w:r w:rsidR="00787BDC" w:rsidRPr="009A3014">
        <w:rPr>
          <w:rFonts w:ascii="Times New Roman" w:hAnsi="Times New Roman" w:cs="Times New Roman"/>
        </w:rPr>
        <w:t xml:space="preserve">Data </w:t>
      </w:r>
      <w:r w:rsidR="00787BDC">
        <w:rPr>
          <w:rFonts w:ascii="Times New Roman" w:hAnsi="Times New Roman" w:cs="Times New Roman"/>
        </w:rPr>
        <w:t>are</w:t>
      </w:r>
      <w:r w:rsidR="00787BDC" w:rsidRPr="009A3014">
        <w:rPr>
          <w:rFonts w:ascii="Times New Roman" w:hAnsi="Times New Roman" w:cs="Times New Roman"/>
        </w:rPr>
        <w:t xml:space="preserve"> shown as </w:t>
      </w:r>
      <w:r w:rsidR="00787BDC">
        <w:rPr>
          <w:rFonts w:ascii="Times New Roman" w:hAnsi="Times New Roman" w:cs="Times New Roman"/>
        </w:rPr>
        <w:t xml:space="preserve">mean and </w:t>
      </w:r>
      <w:proofErr w:type="spellStart"/>
      <w:r w:rsidR="00787BDC">
        <w:rPr>
          <w:rFonts w:ascii="Times New Roman" w:hAnsi="Times New Roman" w:cs="Times New Roman"/>
        </w:rPr>
        <w:t>StDev</w:t>
      </w:r>
      <w:proofErr w:type="spellEnd"/>
      <w:r w:rsidR="00787BDC" w:rsidRPr="009A3014">
        <w:rPr>
          <w:rFonts w:ascii="Times New Roman" w:hAnsi="Times New Roman" w:cs="Times New Roman"/>
        </w:rPr>
        <w:t xml:space="preserve"> and individual data</w:t>
      </w:r>
      <w:r w:rsidR="00787BDC">
        <w:rPr>
          <w:rFonts w:ascii="Times New Roman" w:hAnsi="Times New Roman" w:cs="Times New Roman"/>
        </w:rPr>
        <w:t xml:space="preserve"> points</w:t>
      </w:r>
      <w:r w:rsidR="00787BDC" w:rsidRPr="009A3014">
        <w:rPr>
          <w:rFonts w:ascii="Times New Roman" w:hAnsi="Times New Roman" w:cs="Times New Roman"/>
        </w:rPr>
        <w:t>.</w:t>
      </w:r>
    </w:p>
    <w:sectPr w:rsidR="00451EEE" w:rsidRPr="009A30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nl-NL" w:vendorID="64" w:dllVersion="4096" w:nlCheck="1" w:checkStyle="0"/>
  <w:activeWritingStyle w:appName="MSWord" w:lang="nl-BE" w:vendorID="64" w:dllVersion="6" w:nlCheck="1" w:checkStyle="0"/>
  <w:activeWritingStyle w:appName="MSWord" w:lang="en-GB" w:vendorID="64" w:dllVersion="0" w:nlCheck="1" w:checkStyle="0"/>
  <w:activeWritingStyle w:appName="MSWord" w:lang="en-US" w:vendorID="64" w:dllVersion="0" w:nlCheck="1" w:checkStyle="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FE"/>
    <w:rsid w:val="00005C65"/>
    <w:rsid w:val="00034376"/>
    <w:rsid w:val="000A1140"/>
    <w:rsid w:val="000B1D9F"/>
    <w:rsid w:val="000C27D9"/>
    <w:rsid w:val="001164D8"/>
    <w:rsid w:val="00136817"/>
    <w:rsid w:val="00145B67"/>
    <w:rsid w:val="0018140A"/>
    <w:rsid w:val="001E4142"/>
    <w:rsid w:val="001F12BD"/>
    <w:rsid w:val="0020284A"/>
    <w:rsid w:val="0023044A"/>
    <w:rsid w:val="002A4134"/>
    <w:rsid w:val="002F4A98"/>
    <w:rsid w:val="00322972"/>
    <w:rsid w:val="0033090C"/>
    <w:rsid w:val="00371A37"/>
    <w:rsid w:val="003729E4"/>
    <w:rsid w:val="003A0C1C"/>
    <w:rsid w:val="003D0B3F"/>
    <w:rsid w:val="003F5B88"/>
    <w:rsid w:val="0044333E"/>
    <w:rsid w:val="00451EEE"/>
    <w:rsid w:val="00480490"/>
    <w:rsid w:val="00487EDA"/>
    <w:rsid w:val="004A40B0"/>
    <w:rsid w:val="004C03C6"/>
    <w:rsid w:val="004C326F"/>
    <w:rsid w:val="004C4A9C"/>
    <w:rsid w:val="004E3D3D"/>
    <w:rsid w:val="00521A43"/>
    <w:rsid w:val="00526AF7"/>
    <w:rsid w:val="00597F44"/>
    <w:rsid w:val="005A6774"/>
    <w:rsid w:val="005C116C"/>
    <w:rsid w:val="005E29DF"/>
    <w:rsid w:val="00667A10"/>
    <w:rsid w:val="00693258"/>
    <w:rsid w:val="006E5688"/>
    <w:rsid w:val="006F74A9"/>
    <w:rsid w:val="00701B3B"/>
    <w:rsid w:val="00787BDC"/>
    <w:rsid w:val="00793EB0"/>
    <w:rsid w:val="008074C1"/>
    <w:rsid w:val="00897CA5"/>
    <w:rsid w:val="008D671A"/>
    <w:rsid w:val="00921FC0"/>
    <w:rsid w:val="00937293"/>
    <w:rsid w:val="00951285"/>
    <w:rsid w:val="009A3014"/>
    <w:rsid w:val="009D692B"/>
    <w:rsid w:val="00A00045"/>
    <w:rsid w:val="00A47725"/>
    <w:rsid w:val="00A50862"/>
    <w:rsid w:val="00A907FA"/>
    <w:rsid w:val="00A95D33"/>
    <w:rsid w:val="00B50064"/>
    <w:rsid w:val="00B671CA"/>
    <w:rsid w:val="00BC6748"/>
    <w:rsid w:val="00C46BB3"/>
    <w:rsid w:val="00C50AA2"/>
    <w:rsid w:val="00CC1EBB"/>
    <w:rsid w:val="00CC6F25"/>
    <w:rsid w:val="00CD0A0E"/>
    <w:rsid w:val="00D02CD6"/>
    <w:rsid w:val="00D75E13"/>
    <w:rsid w:val="00D808FE"/>
    <w:rsid w:val="00DB515E"/>
    <w:rsid w:val="00DC0077"/>
    <w:rsid w:val="00DC24E6"/>
    <w:rsid w:val="00DD2D75"/>
    <w:rsid w:val="00DF214A"/>
    <w:rsid w:val="00E02CD3"/>
    <w:rsid w:val="00E316A0"/>
    <w:rsid w:val="00E506F9"/>
    <w:rsid w:val="00E94F37"/>
    <w:rsid w:val="00E955F0"/>
    <w:rsid w:val="00EB0C86"/>
    <w:rsid w:val="00EF0226"/>
    <w:rsid w:val="00F26705"/>
    <w:rsid w:val="00F55153"/>
    <w:rsid w:val="00F64EA9"/>
    <w:rsid w:val="00F902BE"/>
    <w:rsid w:val="00FA696E"/>
    <w:rsid w:val="00FC41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4006"/>
  <w15:chartTrackingRefBased/>
  <w15:docId w15:val="{86517E90-205E-4CB4-912A-B91A35F3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808FE"/>
    <w:pPr>
      <w:pBdr>
        <w:top w:val="nil"/>
        <w:left w:val="nil"/>
        <w:bottom w:val="nil"/>
        <w:right w:val="nil"/>
        <w:between w:val="nil"/>
        <w:bar w:val="nil"/>
      </w:pBdr>
    </w:pPr>
    <w:rPr>
      <w:rFonts w:ascii="Calibri" w:eastAsia="Calibri" w:hAnsi="Calibri" w:cs="Calibri"/>
      <w:color w:val="000000"/>
      <w:u w:color="000000"/>
      <w:bdr w:val="nil"/>
      <w:lang w:val="nl-NL" w:eastAsia="nl-BE"/>
    </w:rPr>
  </w:style>
  <w:style w:type="paragraph" w:styleId="Heading1">
    <w:name w:val="heading 1"/>
    <w:basedOn w:val="Normal"/>
    <w:next w:val="Normal"/>
    <w:link w:val="Heading1Char"/>
    <w:uiPriority w:val="9"/>
    <w:qFormat/>
    <w:rsid w:val="00DC24E6"/>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outlineLvl w:val="0"/>
    </w:pPr>
    <w:rPr>
      <w:rFonts w:ascii="Calibri Light" w:eastAsia="Times New Roman" w:hAnsi="Calibri Light" w:cs="Times New Roman"/>
      <w:b/>
      <w:bCs/>
      <w:color w:val="auto"/>
      <w:kern w:val="32"/>
      <w:sz w:val="32"/>
      <w:szCs w:val="32"/>
      <w:bdr w:val="none" w:sz="0" w:space="0" w:color="auto"/>
      <w:lang w:val="en-US" w:eastAsia="en-US"/>
    </w:rPr>
  </w:style>
  <w:style w:type="paragraph" w:styleId="Heading3">
    <w:name w:val="heading 3"/>
    <w:basedOn w:val="Normal"/>
    <w:link w:val="Heading3Char"/>
    <w:uiPriority w:val="9"/>
    <w:qFormat/>
    <w:rsid w:val="009512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08FE"/>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nl-BE"/>
    </w:rPr>
  </w:style>
  <w:style w:type="character" w:customStyle="1" w:styleId="DefaultChar">
    <w:name w:val="Default Char"/>
    <w:basedOn w:val="DefaultParagraphFont"/>
    <w:link w:val="Default"/>
    <w:rsid w:val="00D808FE"/>
    <w:rPr>
      <w:rFonts w:ascii="Times New Roman" w:eastAsia="Arial Unicode MS" w:hAnsi="Times New Roman" w:cs="Arial Unicode MS"/>
      <w:color w:val="000000"/>
      <w:sz w:val="24"/>
      <w:szCs w:val="24"/>
      <w:u w:color="000000"/>
      <w:bdr w:val="nil"/>
      <w:lang w:val="en-US" w:eastAsia="nl-BE"/>
    </w:rPr>
  </w:style>
  <w:style w:type="paragraph" w:styleId="ListParagraph">
    <w:name w:val="List Paragraph"/>
    <w:basedOn w:val="Normal"/>
    <w:link w:val="ListParagraphChar"/>
    <w:qFormat/>
    <w:rsid w:val="00F902B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bdr w:val="none" w:sz="0" w:space="0" w:color="auto"/>
      <w:lang w:val="nl-BE" w:eastAsia="en-US"/>
    </w:rPr>
  </w:style>
  <w:style w:type="character" w:customStyle="1" w:styleId="ListParagraphChar">
    <w:name w:val="List Paragraph Char"/>
    <w:basedOn w:val="DefaultParagraphFont"/>
    <w:link w:val="ListParagraph"/>
    <w:rsid w:val="00F902BE"/>
    <w:rPr>
      <w:u w:color="000000"/>
    </w:rPr>
  </w:style>
  <w:style w:type="character" w:customStyle="1" w:styleId="Hyperlink1">
    <w:name w:val="Hyperlink.1"/>
    <w:basedOn w:val="DefaultParagraphFont"/>
    <w:rsid w:val="00F902BE"/>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BC674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en-GB" w:eastAsia="en-GB"/>
    </w:rPr>
  </w:style>
  <w:style w:type="character" w:styleId="CommentReference">
    <w:name w:val="annotation reference"/>
    <w:basedOn w:val="DefaultParagraphFont"/>
    <w:uiPriority w:val="99"/>
    <w:unhideWhenUsed/>
    <w:rsid w:val="00E02CD3"/>
    <w:rPr>
      <w:sz w:val="16"/>
      <w:szCs w:val="16"/>
    </w:rPr>
  </w:style>
  <w:style w:type="paragraph" w:styleId="CommentText">
    <w:name w:val="annotation text"/>
    <w:basedOn w:val="Normal"/>
    <w:link w:val="CommentTextChar"/>
    <w:uiPriority w:val="99"/>
    <w:semiHidden/>
    <w:unhideWhenUsed/>
    <w:rsid w:val="00E02CD3"/>
    <w:pPr>
      <w:spacing w:line="240" w:lineRule="auto"/>
    </w:pPr>
    <w:rPr>
      <w:sz w:val="20"/>
      <w:szCs w:val="20"/>
    </w:rPr>
  </w:style>
  <w:style w:type="character" w:customStyle="1" w:styleId="CommentTextChar">
    <w:name w:val="Comment Text Char"/>
    <w:basedOn w:val="DefaultParagraphFont"/>
    <w:link w:val="CommentText"/>
    <w:uiPriority w:val="99"/>
    <w:semiHidden/>
    <w:rsid w:val="00E02CD3"/>
    <w:rPr>
      <w:rFonts w:ascii="Calibri" w:eastAsia="Calibri" w:hAnsi="Calibri" w:cs="Calibri"/>
      <w:color w:val="000000"/>
      <w:sz w:val="20"/>
      <w:szCs w:val="20"/>
      <w:u w:color="000000"/>
      <w:bdr w:val="nil"/>
      <w:lang w:val="nl-NL" w:eastAsia="nl-BE"/>
    </w:rPr>
  </w:style>
  <w:style w:type="paragraph" w:styleId="BalloonText">
    <w:name w:val="Balloon Text"/>
    <w:basedOn w:val="Normal"/>
    <w:link w:val="BalloonTextChar"/>
    <w:uiPriority w:val="99"/>
    <w:semiHidden/>
    <w:unhideWhenUsed/>
    <w:rsid w:val="00E0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CD3"/>
    <w:rPr>
      <w:rFonts w:ascii="Segoe UI" w:eastAsia="Calibri" w:hAnsi="Segoe UI" w:cs="Segoe UI"/>
      <w:color w:val="000000"/>
      <w:sz w:val="18"/>
      <w:szCs w:val="18"/>
      <w:u w:color="000000"/>
      <w:bdr w:val="nil"/>
      <w:lang w:val="nl-NL" w:eastAsia="nl-BE"/>
    </w:rPr>
  </w:style>
  <w:style w:type="paragraph" w:styleId="CommentSubject">
    <w:name w:val="annotation subject"/>
    <w:basedOn w:val="CommentText"/>
    <w:next w:val="CommentText"/>
    <w:link w:val="CommentSubjectChar"/>
    <w:uiPriority w:val="99"/>
    <w:semiHidden/>
    <w:unhideWhenUsed/>
    <w:rsid w:val="00487EDA"/>
    <w:rPr>
      <w:b/>
      <w:bCs/>
    </w:rPr>
  </w:style>
  <w:style w:type="character" w:customStyle="1" w:styleId="CommentSubjectChar">
    <w:name w:val="Comment Subject Char"/>
    <w:basedOn w:val="CommentTextChar"/>
    <w:link w:val="CommentSubject"/>
    <w:uiPriority w:val="99"/>
    <w:semiHidden/>
    <w:rsid w:val="00487EDA"/>
    <w:rPr>
      <w:rFonts w:ascii="Calibri" w:eastAsia="Calibri" w:hAnsi="Calibri" w:cs="Calibri"/>
      <w:b/>
      <w:bCs/>
      <w:color w:val="000000"/>
      <w:sz w:val="20"/>
      <w:szCs w:val="20"/>
      <w:u w:color="000000"/>
      <w:bdr w:val="nil"/>
      <w:lang w:val="nl-NL" w:eastAsia="nl-BE"/>
    </w:rPr>
  </w:style>
  <w:style w:type="paragraph" w:styleId="Caption">
    <w:name w:val="caption"/>
    <w:basedOn w:val="Normal"/>
    <w:next w:val="Normal"/>
    <w:uiPriority w:val="35"/>
    <w:unhideWhenUsed/>
    <w:qFormat/>
    <w:rsid w:val="00EF022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pPr>
    <w:rPr>
      <w:rFonts w:ascii="Arial" w:eastAsiaTheme="minorHAnsi" w:hAnsi="Arial" w:cstheme="minorBidi"/>
      <w:i/>
      <w:iCs/>
      <w:color w:val="44546A" w:themeColor="text2"/>
      <w:sz w:val="18"/>
      <w:szCs w:val="18"/>
      <w:bdr w:val="none" w:sz="0" w:space="0" w:color="auto"/>
      <w:lang w:eastAsia="en-US"/>
    </w:rPr>
  </w:style>
  <w:style w:type="paragraph" w:customStyle="1" w:styleId="BodyA">
    <w:name w:val="Body A"/>
    <w:rsid w:val="00F55153"/>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nl-BE"/>
    </w:rPr>
  </w:style>
  <w:style w:type="character" w:styleId="Hyperlink">
    <w:name w:val="Hyperlink"/>
    <w:basedOn w:val="DefaultParagraphFont"/>
    <w:uiPriority w:val="99"/>
    <w:unhideWhenUsed/>
    <w:rsid w:val="00951285"/>
    <w:rPr>
      <w:color w:val="0000FF"/>
      <w:u w:val="single"/>
    </w:rPr>
  </w:style>
  <w:style w:type="paragraph" w:styleId="NoSpacing">
    <w:name w:val="No Spacing"/>
    <w:qFormat/>
    <w:rsid w:val="00951285"/>
    <w:pPr>
      <w:spacing w:after="0" w:line="240" w:lineRule="auto"/>
    </w:pPr>
    <w:rPr>
      <w:rFonts w:ascii="Calibri" w:eastAsia="Calibri" w:hAnsi="Calibri" w:cs="Times New Roman"/>
      <w:color w:val="000000"/>
      <w:u w:color="000000"/>
      <w:lang w:val="nl-NL" w:eastAsia="nl-BE"/>
    </w:rPr>
  </w:style>
  <w:style w:type="character" w:customStyle="1" w:styleId="Heading3Char">
    <w:name w:val="Heading 3 Char"/>
    <w:basedOn w:val="DefaultParagraphFont"/>
    <w:link w:val="Heading3"/>
    <w:uiPriority w:val="9"/>
    <w:rsid w:val="00951285"/>
    <w:rPr>
      <w:rFonts w:ascii="Times New Roman" w:eastAsia="Times New Roman" w:hAnsi="Times New Roman" w:cs="Times New Roman"/>
      <w:b/>
      <w:bCs/>
      <w:sz w:val="27"/>
      <w:szCs w:val="27"/>
      <w:lang w:val="en-GB" w:eastAsia="en-GB"/>
    </w:rPr>
  </w:style>
  <w:style w:type="table" w:styleId="TableGrid">
    <w:name w:val="Table Grid"/>
    <w:basedOn w:val="TableNormal"/>
    <w:uiPriority w:val="39"/>
    <w:rsid w:val="00005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2028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eastAsiaTheme="minorHAnsi"/>
      <w:noProof/>
      <w:color w:val="auto"/>
      <w:bdr w:val="none" w:sz="0" w:space="0" w:color="auto"/>
      <w:lang w:val="en-US" w:eastAsia="en-US"/>
    </w:rPr>
  </w:style>
  <w:style w:type="character" w:customStyle="1" w:styleId="EndNoteBibliographyChar">
    <w:name w:val="EndNote Bibliography Char"/>
    <w:basedOn w:val="DefaultParagraphFont"/>
    <w:link w:val="EndNoteBibliography"/>
    <w:rsid w:val="0020284A"/>
    <w:rPr>
      <w:rFonts w:ascii="Calibri" w:hAnsi="Calibri" w:cs="Calibri"/>
      <w:noProof/>
      <w:lang w:val="en-US"/>
    </w:rPr>
  </w:style>
  <w:style w:type="paragraph" w:styleId="Header">
    <w:name w:val="header"/>
    <w:basedOn w:val="Normal"/>
    <w:link w:val="HeaderChar"/>
    <w:uiPriority w:val="99"/>
    <w:unhideWhenUsed/>
    <w:rsid w:val="0020284A"/>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val="en-GB" w:eastAsia="en-US"/>
    </w:rPr>
  </w:style>
  <w:style w:type="character" w:customStyle="1" w:styleId="HeaderChar">
    <w:name w:val="Header Char"/>
    <w:basedOn w:val="DefaultParagraphFont"/>
    <w:link w:val="Header"/>
    <w:uiPriority w:val="99"/>
    <w:rsid w:val="0020284A"/>
    <w:rPr>
      <w:lang w:val="en-GB"/>
    </w:rPr>
  </w:style>
  <w:style w:type="character" w:customStyle="1" w:styleId="apple-converted-space">
    <w:name w:val="apple-converted-space"/>
    <w:rsid w:val="002A4134"/>
  </w:style>
  <w:style w:type="character" w:customStyle="1" w:styleId="Heading1Char">
    <w:name w:val="Heading 1 Char"/>
    <w:basedOn w:val="DefaultParagraphFont"/>
    <w:link w:val="Heading1"/>
    <w:uiPriority w:val="9"/>
    <w:rsid w:val="00DC24E6"/>
    <w:rPr>
      <w:rFonts w:ascii="Calibri Light" w:eastAsia="Times New Roman" w:hAnsi="Calibri Light" w:cs="Times New Roman"/>
      <w:b/>
      <w:bCs/>
      <w:kern w:val="32"/>
      <w:sz w:val="32"/>
      <w:szCs w:val="32"/>
      <w:lang w:val="en-US"/>
    </w:rPr>
  </w:style>
  <w:style w:type="paragraph" w:styleId="Revision">
    <w:name w:val="Revision"/>
    <w:hidden/>
    <w:uiPriority w:val="99"/>
    <w:semiHidden/>
    <w:rsid w:val="0018140A"/>
    <w:pPr>
      <w:spacing w:after="0" w:line="240" w:lineRule="auto"/>
    </w:pPr>
    <w:rPr>
      <w:rFonts w:ascii="Calibri" w:eastAsia="Calibri" w:hAnsi="Calibri" w:cs="Calibri"/>
      <w:color w:val="000000"/>
      <w:u w:color="000000"/>
      <w:bdr w:val="nil"/>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1455">
      <w:bodyDiv w:val="1"/>
      <w:marLeft w:val="0"/>
      <w:marRight w:val="0"/>
      <w:marTop w:val="0"/>
      <w:marBottom w:val="0"/>
      <w:divBdr>
        <w:top w:val="none" w:sz="0" w:space="0" w:color="auto"/>
        <w:left w:val="none" w:sz="0" w:space="0" w:color="auto"/>
        <w:bottom w:val="none" w:sz="0" w:space="0" w:color="auto"/>
        <w:right w:val="none" w:sz="0" w:space="0" w:color="auto"/>
      </w:divBdr>
      <w:divsChild>
        <w:div w:id="1986160665">
          <w:marLeft w:val="0"/>
          <w:marRight w:val="0"/>
          <w:marTop w:val="0"/>
          <w:marBottom w:val="600"/>
          <w:divBdr>
            <w:top w:val="none" w:sz="0" w:space="0" w:color="auto"/>
            <w:left w:val="none" w:sz="0" w:space="0" w:color="auto"/>
            <w:bottom w:val="none" w:sz="0" w:space="0" w:color="auto"/>
            <w:right w:val="none" w:sz="0" w:space="0" w:color="auto"/>
          </w:divBdr>
          <w:divsChild>
            <w:div w:id="1075740364">
              <w:marLeft w:val="0"/>
              <w:marRight w:val="0"/>
              <w:marTop w:val="0"/>
              <w:marBottom w:val="0"/>
              <w:divBdr>
                <w:top w:val="none" w:sz="0" w:space="0" w:color="auto"/>
                <w:left w:val="none" w:sz="0" w:space="0" w:color="auto"/>
                <w:bottom w:val="none" w:sz="0" w:space="0" w:color="auto"/>
                <w:right w:val="none" w:sz="0" w:space="0" w:color="auto"/>
              </w:divBdr>
            </w:div>
          </w:divsChild>
        </w:div>
        <w:div w:id="1896575541">
          <w:marLeft w:val="0"/>
          <w:marRight w:val="0"/>
          <w:marTop w:val="0"/>
          <w:marBottom w:val="0"/>
          <w:divBdr>
            <w:top w:val="none" w:sz="0" w:space="0" w:color="auto"/>
            <w:left w:val="none" w:sz="0" w:space="0" w:color="auto"/>
            <w:bottom w:val="none" w:sz="0" w:space="0" w:color="auto"/>
            <w:right w:val="none" w:sz="0" w:space="0" w:color="auto"/>
          </w:divBdr>
          <w:divsChild>
            <w:div w:id="1127089647">
              <w:marLeft w:val="0"/>
              <w:marRight w:val="0"/>
              <w:marTop w:val="0"/>
              <w:marBottom w:val="0"/>
              <w:divBdr>
                <w:top w:val="none" w:sz="0" w:space="0" w:color="auto"/>
                <w:left w:val="none" w:sz="0" w:space="0" w:color="auto"/>
                <w:bottom w:val="none" w:sz="0" w:space="0" w:color="auto"/>
                <w:right w:val="none" w:sz="0" w:space="0" w:color="auto"/>
              </w:divBdr>
              <w:divsChild>
                <w:div w:id="532621263">
                  <w:marLeft w:val="0"/>
                  <w:marRight w:val="0"/>
                  <w:marTop w:val="0"/>
                  <w:marBottom w:val="600"/>
                  <w:divBdr>
                    <w:top w:val="none" w:sz="0" w:space="0" w:color="auto"/>
                    <w:left w:val="none" w:sz="0" w:space="0" w:color="auto"/>
                    <w:bottom w:val="none" w:sz="0" w:space="0" w:color="auto"/>
                    <w:right w:val="none" w:sz="0" w:space="0" w:color="auto"/>
                  </w:divBdr>
                </w:div>
              </w:divsChild>
            </w:div>
            <w:div w:id="267129994">
              <w:marLeft w:val="0"/>
              <w:marRight w:val="0"/>
              <w:marTop w:val="0"/>
              <w:marBottom w:val="0"/>
              <w:divBdr>
                <w:top w:val="none" w:sz="0" w:space="0" w:color="auto"/>
                <w:left w:val="none" w:sz="0" w:space="0" w:color="auto"/>
                <w:bottom w:val="none" w:sz="0" w:space="0" w:color="auto"/>
                <w:right w:val="none" w:sz="0" w:space="0" w:color="auto"/>
              </w:divBdr>
              <w:divsChild>
                <w:div w:id="794061331">
                  <w:marLeft w:val="0"/>
                  <w:marRight w:val="0"/>
                  <w:marTop w:val="0"/>
                  <w:marBottom w:val="600"/>
                  <w:divBdr>
                    <w:top w:val="none" w:sz="0" w:space="0" w:color="auto"/>
                    <w:left w:val="none" w:sz="0" w:space="0" w:color="auto"/>
                    <w:bottom w:val="none" w:sz="0" w:space="0" w:color="auto"/>
                    <w:right w:val="none" w:sz="0" w:space="0" w:color="auto"/>
                  </w:divBdr>
                </w:div>
              </w:divsChild>
            </w:div>
            <w:div w:id="1203440394">
              <w:marLeft w:val="0"/>
              <w:marRight w:val="0"/>
              <w:marTop w:val="0"/>
              <w:marBottom w:val="0"/>
              <w:divBdr>
                <w:top w:val="none" w:sz="0" w:space="0" w:color="auto"/>
                <w:left w:val="none" w:sz="0" w:space="0" w:color="auto"/>
                <w:bottom w:val="none" w:sz="0" w:space="0" w:color="auto"/>
                <w:right w:val="none" w:sz="0" w:space="0" w:color="auto"/>
              </w:divBdr>
              <w:divsChild>
                <w:div w:id="2026666284">
                  <w:marLeft w:val="0"/>
                  <w:marRight w:val="0"/>
                  <w:marTop w:val="0"/>
                  <w:marBottom w:val="600"/>
                  <w:divBdr>
                    <w:top w:val="none" w:sz="0" w:space="0" w:color="auto"/>
                    <w:left w:val="none" w:sz="0" w:space="0" w:color="auto"/>
                    <w:bottom w:val="none" w:sz="0" w:space="0" w:color="auto"/>
                    <w:right w:val="none" w:sz="0" w:space="0" w:color="auto"/>
                  </w:divBdr>
                  <w:divsChild>
                    <w:div w:id="1205172996">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573390755">
                          <w:marLeft w:val="0"/>
                          <w:marRight w:val="0"/>
                          <w:marTop w:val="0"/>
                          <w:marBottom w:val="240"/>
                          <w:divBdr>
                            <w:top w:val="none" w:sz="0" w:space="0" w:color="auto"/>
                            <w:left w:val="none" w:sz="0" w:space="0" w:color="auto"/>
                            <w:bottom w:val="none" w:sz="0" w:space="0" w:color="auto"/>
                            <w:right w:val="none" w:sz="0" w:space="0" w:color="auto"/>
                          </w:divBdr>
                          <w:divsChild>
                            <w:div w:id="293561032">
                              <w:marLeft w:val="0"/>
                              <w:marRight w:val="0"/>
                              <w:marTop w:val="0"/>
                              <w:marBottom w:val="0"/>
                              <w:divBdr>
                                <w:top w:val="none" w:sz="0" w:space="0" w:color="auto"/>
                                <w:left w:val="none" w:sz="0" w:space="0" w:color="auto"/>
                                <w:bottom w:val="none" w:sz="0" w:space="0" w:color="auto"/>
                                <w:right w:val="none" w:sz="0" w:space="0" w:color="auto"/>
                              </w:divBdr>
                            </w:div>
                            <w:div w:id="6236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1905">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660088121">
                          <w:marLeft w:val="0"/>
                          <w:marRight w:val="0"/>
                          <w:marTop w:val="0"/>
                          <w:marBottom w:val="240"/>
                          <w:divBdr>
                            <w:top w:val="none" w:sz="0" w:space="0" w:color="auto"/>
                            <w:left w:val="none" w:sz="0" w:space="0" w:color="auto"/>
                            <w:bottom w:val="none" w:sz="0" w:space="0" w:color="auto"/>
                            <w:right w:val="none" w:sz="0" w:space="0" w:color="auto"/>
                          </w:divBdr>
                          <w:divsChild>
                            <w:div w:id="1895463151">
                              <w:marLeft w:val="0"/>
                              <w:marRight w:val="0"/>
                              <w:marTop w:val="0"/>
                              <w:marBottom w:val="0"/>
                              <w:divBdr>
                                <w:top w:val="none" w:sz="0" w:space="0" w:color="auto"/>
                                <w:left w:val="none" w:sz="0" w:space="0" w:color="auto"/>
                                <w:bottom w:val="none" w:sz="0" w:space="0" w:color="auto"/>
                                <w:right w:val="none" w:sz="0" w:space="0" w:color="auto"/>
                              </w:divBdr>
                            </w:div>
                            <w:div w:id="5013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9197">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396051622">
                          <w:marLeft w:val="0"/>
                          <w:marRight w:val="0"/>
                          <w:marTop w:val="0"/>
                          <w:marBottom w:val="240"/>
                          <w:divBdr>
                            <w:top w:val="none" w:sz="0" w:space="0" w:color="auto"/>
                            <w:left w:val="none" w:sz="0" w:space="0" w:color="auto"/>
                            <w:bottom w:val="none" w:sz="0" w:space="0" w:color="auto"/>
                            <w:right w:val="none" w:sz="0" w:space="0" w:color="auto"/>
                          </w:divBdr>
                          <w:divsChild>
                            <w:div w:id="1313103631">
                              <w:marLeft w:val="0"/>
                              <w:marRight w:val="0"/>
                              <w:marTop w:val="0"/>
                              <w:marBottom w:val="0"/>
                              <w:divBdr>
                                <w:top w:val="none" w:sz="0" w:space="0" w:color="auto"/>
                                <w:left w:val="none" w:sz="0" w:space="0" w:color="auto"/>
                                <w:bottom w:val="none" w:sz="0" w:space="0" w:color="auto"/>
                                <w:right w:val="none" w:sz="0" w:space="0" w:color="auto"/>
                              </w:divBdr>
                            </w:div>
                            <w:div w:id="14519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2240">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979803618">
                          <w:marLeft w:val="0"/>
                          <w:marRight w:val="0"/>
                          <w:marTop w:val="0"/>
                          <w:marBottom w:val="240"/>
                          <w:divBdr>
                            <w:top w:val="none" w:sz="0" w:space="0" w:color="auto"/>
                            <w:left w:val="none" w:sz="0" w:space="0" w:color="auto"/>
                            <w:bottom w:val="none" w:sz="0" w:space="0" w:color="auto"/>
                            <w:right w:val="none" w:sz="0" w:space="0" w:color="auto"/>
                          </w:divBdr>
                          <w:divsChild>
                            <w:div w:id="1542017360">
                              <w:marLeft w:val="0"/>
                              <w:marRight w:val="0"/>
                              <w:marTop w:val="0"/>
                              <w:marBottom w:val="0"/>
                              <w:divBdr>
                                <w:top w:val="none" w:sz="0" w:space="0" w:color="auto"/>
                                <w:left w:val="none" w:sz="0" w:space="0" w:color="auto"/>
                                <w:bottom w:val="none" w:sz="0" w:space="0" w:color="auto"/>
                                <w:right w:val="none" w:sz="0" w:space="0" w:color="auto"/>
                              </w:divBdr>
                            </w:div>
                            <w:div w:id="25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41001">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548565460">
                          <w:marLeft w:val="0"/>
                          <w:marRight w:val="0"/>
                          <w:marTop w:val="0"/>
                          <w:marBottom w:val="240"/>
                          <w:divBdr>
                            <w:top w:val="none" w:sz="0" w:space="0" w:color="auto"/>
                            <w:left w:val="none" w:sz="0" w:space="0" w:color="auto"/>
                            <w:bottom w:val="none" w:sz="0" w:space="0" w:color="auto"/>
                            <w:right w:val="none" w:sz="0" w:space="0" w:color="auto"/>
                          </w:divBdr>
                          <w:divsChild>
                            <w:div w:id="1798597293">
                              <w:marLeft w:val="0"/>
                              <w:marRight w:val="0"/>
                              <w:marTop w:val="0"/>
                              <w:marBottom w:val="0"/>
                              <w:divBdr>
                                <w:top w:val="none" w:sz="0" w:space="0" w:color="auto"/>
                                <w:left w:val="none" w:sz="0" w:space="0" w:color="auto"/>
                                <w:bottom w:val="none" w:sz="0" w:space="0" w:color="auto"/>
                                <w:right w:val="none" w:sz="0" w:space="0" w:color="auto"/>
                              </w:divBdr>
                            </w:div>
                            <w:div w:id="61370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13874">
              <w:marLeft w:val="0"/>
              <w:marRight w:val="0"/>
              <w:marTop w:val="0"/>
              <w:marBottom w:val="0"/>
              <w:divBdr>
                <w:top w:val="none" w:sz="0" w:space="0" w:color="auto"/>
                <w:left w:val="none" w:sz="0" w:space="0" w:color="auto"/>
                <w:bottom w:val="none" w:sz="0" w:space="0" w:color="auto"/>
                <w:right w:val="none" w:sz="0" w:space="0" w:color="auto"/>
              </w:divBdr>
              <w:divsChild>
                <w:div w:id="2089229334">
                  <w:marLeft w:val="0"/>
                  <w:marRight w:val="0"/>
                  <w:marTop w:val="0"/>
                  <w:marBottom w:val="600"/>
                  <w:divBdr>
                    <w:top w:val="none" w:sz="0" w:space="0" w:color="auto"/>
                    <w:left w:val="none" w:sz="0" w:space="0" w:color="auto"/>
                    <w:bottom w:val="none" w:sz="0" w:space="0" w:color="auto"/>
                    <w:right w:val="none" w:sz="0" w:space="0" w:color="auto"/>
                  </w:divBdr>
                </w:div>
              </w:divsChild>
            </w:div>
            <w:div w:id="954021835">
              <w:marLeft w:val="0"/>
              <w:marRight w:val="0"/>
              <w:marTop w:val="0"/>
              <w:marBottom w:val="0"/>
              <w:divBdr>
                <w:top w:val="none" w:sz="0" w:space="0" w:color="auto"/>
                <w:left w:val="none" w:sz="0" w:space="0" w:color="auto"/>
                <w:bottom w:val="none" w:sz="0" w:space="0" w:color="auto"/>
                <w:right w:val="none" w:sz="0" w:space="0" w:color="auto"/>
              </w:divBdr>
              <w:divsChild>
                <w:div w:id="8683220">
                  <w:marLeft w:val="0"/>
                  <w:marRight w:val="0"/>
                  <w:marTop w:val="0"/>
                  <w:marBottom w:val="600"/>
                  <w:divBdr>
                    <w:top w:val="none" w:sz="0" w:space="0" w:color="auto"/>
                    <w:left w:val="none" w:sz="0" w:space="0" w:color="auto"/>
                    <w:bottom w:val="none" w:sz="0" w:space="0" w:color="auto"/>
                    <w:right w:val="none" w:sz="0" w:space="0" w:color="auto"/>
                  </w:divBdr>
                  <w:divsChild>
                    <w:div w:id="735015550">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sChild>
            </w:div>
          </w:divsChild>
        </w:div>
      </w:divsChild>
    </w:div>
    <w:div w:id="614603249">
      <w:bodyDiv w:val="1"/>
      <w:marLeft w:val="0"/>
      <w:marRight w:val="0"/>
      <w:marTop w:val="0"/>
      <w:marBottom w:val="0"/>
      <w:divBdr>
        <w:top w:val="none" w:sz="0" w:space="0" w:color="auto"/>
        <w:left w:val="none" w:sz="0" w:space="0" w:color="auto"/>
        <w:bottom w:val="none" w:sz="0" w:space="0" w:color="auto"/>
        <w:right w:val="none" w:sz="0" w:space="0" w:color="auto"/>
      </w:divBdr>
    </w:div>
    <w:div w:id="75983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9ADE9-F7A9-442D-A86C-138753582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4072</Words>
  <Characters>23212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27230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Monteiro Carvalho Mori Da Cunha</dc:creator>
  <cp:keywords/>
  <dc:description/>
  <cp:lastModifiedBy>Marina Mori da Cunha</cp:lastModifiedBy>
  <cp:revision>2</cp:revision>
  <cp:lastPrinted>2020-01-08T12:14:00Z</cp:lastPrinted>
  <dcterms:created xsi:type="dcterms:W3CDTF">2021-12-22T13:05:00Z</dcterms:created>
  <dcterms:modified xsi:type="dcterms:W3CDTF">2021-12-22T13:05:00Z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http://www.zotero.org/styles/acta-materialia</vt:lpwstr>
  </property>
  <property fmtid="{D5CDD505-2E9C-101B-9397-08002B2CF9AE}" pid="3" name="Mendeley Recent Style Name 0_1">
    <vt:lpwstr>Acta Materialia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a8900ab9-9ca9-3122-9256-52da328059bb</vt:lpwstr>
  </property>
  <property fmtid="{D5CDD505-2E9C-101B-9397-08002B2CF9AE}" pid="24" name="Mendeley Citation Style_1">
    <vt:lpwstr>http://www.zotero.org/styles/acta-materialia</vt:lpwstr>
  </property>
</Properties>
</file>