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8B6" w:rsidRPr="00473C36" w:rsidRDefault="00425A99">
      <w:pPr>
        <w:rPr>
          <w:rFonts w:ascii="Tahoma" w:hAnsi="Tahoma" w:cs="Tahoma"/>
        </w:rPr>
      </w:pPr>
      <w:bookmarkStart w:id="0" w:name="_GoBack"/>
      <w:r w:rsidRPr="00473C36">
        <w:rPr>
          <w:rFonts w:ascii="Tahoma" w:hAnsi="Tahoma" w:cs="Tahoma"/>
          <w:b/>
          <w:noProof/>
          <w:lang w:bidi="bn-IN"/>
        </w:rPr>
        <w:drawing>
          <wp:inline distT="0" distB="0" distL="0" distR="0" wp14:anchorId="57E8A150" wp14:editId="12816669">
            <wp:extent cx="5505450" cy="3209925"/>
            <wp:effectExtent l="0" t="0" r="0" b="0"/>
            <wp:docPr id="2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425A99" w:rsidRPr="00473C36" w:rsidRDefault="00425A99">
      <w:pPr>
        <w:rPr>
          <w:rFonts w:ascii="Tahoma" w:hAnsi="Tahoma" w:cs="Tahoma"/>
        </w:rPr>
      </w:pPr>
      <w:r w:rsidRPr="00473C36">
        <w:rPr>
          <w:rFonts w:ascii="Tahoma" w:hAnsi="Tahoma" w:cs="Tahoma"/>
        </w:rPr>
        <w:t>Figure S1. Age distribution of hypomagnesemia (n=263) and total normomagnesemia (n=515)</w:t>
      </w:r>
    </w:p>
    <w:sectPr w:rsidR="00425A99" w:rsidRPr="00473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99"/>
    <w:rsid w:val="00425A99"/>
    <w:rsid w:val="00473C36"/>
    <w:rsid w:val="00B40F89"/>
    <w:rsid w:val="00E2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8E85"/>
  <w15:chartTrackingRefBased/>
  <w15:docId w15:val="{02B2F050-9FD5-41FF-8A2A-5752431F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Hypomagnesemia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Palatino Linotype" panose="0204050205050503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&lt;1 year</c:v>
                </c:pt>
                <c:pt idx="1">
                  <c:v>1-5 years</c:v>
                </c:pt>
                <c:pt idx="2">
                  <c:v>5-18 years</c:v>
                </c:pt>
                <c:pt idx="3">
                  <c:v>18-57 years</c:v>
                </c:pt>
                <c:pt idx="4">
                  <c:v>&gt;57 years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13</c:v>
                </c:pt>
                <c:pt idx="1">
                  <c:v>6</c:v>
                </c:pt>
                <c:pt idx="2">
                  <c:v>11</c:v>
                </c:pt>
                <c:pt idx="3">
                  <c:v>150</c:v>
                </c:pt>
                <c:pt idx="4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C-4751-9177-981F0B6B70A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Normomagnesemia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Palatino Linotype" panose="0204050205050503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&lt;1 year</c:v>
                </c:pt>
                <c:pt idx="1">
                  <c:v>1-5 years</c:v>
                </c:pt>
                <c:pt idx="2">
                  <c:v>5-18 years</c:v>
                </c:pt>
                <c:pt idx="3">
                  <c:v>18-57 years</c:v>
                </c:pt>
                <c:pt idx="4">
                  <c:v>&gt;57 years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204</c:v>
                </c:pt>
                <c:pt idx="1">
                  <c:v>125</c:v>
                </c:pt>
                <c:pt idx="2">
                  <c:v>49</c:v>
                </c:pt>
                <c:pt idx="3">
                  <c:v>79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6C-4751-9177-981F0B6B70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2499151"/>
        <c:axId val="1"/>
      </c:barChart>
      <c:catAx>
        <c:axId val="622499151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Palatino Linotype" panose="02040502050505030304" pitchFamily="18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Palatino Linotype" panose="02040502050505030304" pitchFamily="18" charset="0"/>
              </a:defRPr>
            </a:pPr>
            <a:endParaRPr lang="en-US"/>
          </a:p>
        </c:txPr>
        <c:crossAx val="622499151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4734982332155478"/>
          <c:y val="0.90184049079754602"/>
          <c:w val="0.49469964664310956"/>
          <c:h val="7.3619631901840496E-2"/>
        </c:manualLayout>
      </c:layout>
      <c:overlay val="0"/>
      <c:txPr>
        <a:bodyPr/>
        <a:lstStyle/>
        <a:p>
          <a:pPr>
            <a:defRPr>
              <a:latin typeface="Palatino Linotype" panose="02040502050505030304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Gazi Md. Salahuddin Mamun</dc:creator>
  <cp:keywords/>
  <dc:description/>
  <cp:lastModifiedBy>Dr. Gazi Md. Salahuddin Mamun</cp:lastModifiedBy>
  <cp:revision>2</cp:revision>
  <dcterms:created xsi:type="dcterms:W3CDTF">2022-09-14T02:50:00Z</dcterms:created>
  <dcterms:modified xsi:type="dcterms:W3CDTF">2022-09-14T02:52:00Z</dcterms:modified>
</cp:coreProperties>
</file>