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Times New Roman" w:hAnsi="Times New Roman" w:eastAsia="宋体" w:cs="Times New Roman"/>
          <w:b/>
          <w:bCs/>
          <w:color w:val="333333"/>
          <w:sz w:val="24"/>
          <w:shd w:val="clear" w:color="auto" w:fill="FFFFFF"/>
          <w:lang w:val="en-US" w:eastAsia="zh-CN"/>
        </w:rPr>
      </w:pPr>
      <w:r>
        <w:rPr>
          <w:rFonts w:hint="default" w:ascii="Times New Roman" w:hAnsi="Times New Roman" w:eastAsia="宋体" w:cs="Times New Roman"/>
          <w:b/>
          <w:bCs/>
          <w:color w:val="333333"/>
          <w:sz w:val="24"/>
          <w:shd w:val="clear" w:color="auto" w:fill="FFFFFF"/>
          <w:lang w:val="en-US" w:eastAsia="zh-CN"/>
        </w:rPr>
        <w:drawing>
          <wp:anchor distT="0" distB="0" distL="0" distR="0" simplePos="0" relativeHeight="251659264" behindDoc="0" locked="0" layoutInCell="1" allowOverlap="1">
            <wp:simplePos x="0" y="0"/>
            <wp:positionH relativeFrom="column">
              <wp:posOffset>876300</wp:posOffset>
            </wp:positionH>
            <wp:positionV relativeFrom="paragraph">
              <wp:posOffset>560070</wp:posOffset>
            </wp:positionV>
            <wp:extent cx="4118610" cy="3220085"/>
            <wp:effectExtent l="0" t="0" r="15240" b="1841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4124000" cy="3224363"/>
                    </a:xfrm>
                    <a:prstGeom prst="rect">
                      <a:avLst/>
                    </a:prstGeom>
                  </pic:spPr>
                </pic:pic>
              </a:graphicData>
            </a:graphic>
          </wp:anchor>
        </w:drawing>
      </w:r>
      <w:r>
        <w:rPr>
          <w:rFonts w:hint="eastAsia" w:ascii="Times New Roman" w:hAnsi="Times New Roman" w:eastAsia="宋体" w:cs="Times New Roman"/>
          <w:b/>
          <w:bCs/>
          <w:color w:val="333333"/>
          <w:sz w:val="24"/>
          <w:shd w:val="clear" w:color="auto" w:fill="FFFFFF"/>
          <w:lang w:val="en-US" w:eastAsia="zh-CN"/>
        </w:rPr>
        <w:t>1.graphical abstract</w:t>
      </w:r>
    </w:p>
    <w:p>
      <w:pPr>
        <w:spacing w:line="360" w:lineRule="auto"/>
        <w:rPr>
          <w:rFonts w:ascii="Times New Roman" w:hAnsi="Times New Roman" w:eastAsia="Times New Roman" w:cs="Times New Roman"/>
          <w:b/>
          <w:bCs/>
          <w:color w:val="333333"/>
          <w:sz w:val="24"/>
          <w:shd w:val="clear" w:color="auto" w:fill="FFFFFF"/>
        </w:rPr>
      </w:pPr>
      <w:r>
        <w:rPr>
          <w:rFonts w:hint="eastAsia" w:ascii="Times New Roman" w:hAnsi="Times New Roman" w:eastAsia="宋体" w:cs="Times New Roman"/>
          <w:b/>
          <w:bCs/>
          <w:color w:val="333333"/>
          <w:sz w:val="24"/>
          <w:shd w:val="clear" w:color="auto" w:fill="FFFFFF"/>
          <w:lang w:val="en-US" w:eastAsia="zh-CN"/>
        </w:rPr>
        <w:t>2.</w:t>
      </w:r>
      <w:r>
        <w:rPr>
          <w:rFonts w:ascii="Times New Roman" w:hAnsi="Times New Roman" w:eastAsia="Times New Roman" w:cs="Times New Roman"/>
          <w:b/>
          <w:bCs/>
          <w:color w:val="333333"/>
          <w:sz w:val="24"/>
          <w:shd w:val="clear" w:color="auto" w:fill="FFFFFF"/>
        </w:rPr>
        <w:t>Mouse model</w:t>
      </w:r>
    </w:p>
    <w:p>
      <w:pPr>
        <w:spacing w:line="360" w:lineRule="auto"/>
        <w:ind w:firstLine="420"/>
        <w:rPr>
          <w:rFonts w:hint="eastAsia" w:ascii="Times New Roman" w:hAnsi="Times New Roman" w:eastAsia="Times New Roman" w:cs="Times New Roman"/>
          <w:color w:val="333333"/>
          <w:sz w:val="24"/>
          <w:shd w:val="clear" w:color="auto" w:fill="FFFFFF"/>
          <w:lang w:val="en-US" w:eastAsia="zh-CN"/>
        </w:rPr>
      </w:pPr>
      <w:r>
        <w:rPr>
          <w:rFonts w:ascii="Times New Roman" w:hAnsi="Times New Roman" w:eastAsia="Times New Roman" w:cs="Times New Roman"/>
          <w:color w:val="333333"/>
          <w:sz w:val="24"/>
          <w:shd w:val="clear" w:color="auto" w:fill="FFFFFF"/>
        </w:rPr>
        <w:t xml:space="preserve">Changes in mice injected with A549 cells were observed regularly every day. Concave–convex objects were formed in 7–10 days. When the average diameter of subcutaneous tumors in all mice reached 5 mm, the model was considered to be successfully prepared. Treatment was then started. The mouse model is shown in Figure </w:t>
      </w:r>
      <w:r>
        <w:rPr>
          <w:rFonts w:hint="eastAsia" w:ascii="Times New Roman" w:hAnsi="Times New Roman" w:eastAsia="宋体" w:cs="Times New Roman"/>
          <w:color w:val="333333"/>
          <w:sz w:val="24"/>
          <w:shd w:val="clear" w:color="auto" w:fill="FFFFFF"/>
          <w:lang w:val="en-US" w:eastAsia="zh-CN"/>
        </w:rPr>
        <w:t>1</w:t>
      </w:r>
      <w:r>
        <w:rPr>
          <w:rFonts w:ascii="Times New Roman" w:hAnsi="Times New Roman" w:eastAsia="Times New Roman" w:cs="Times New Roman"/>
          <w:color w:val="333333"/>
          <w:sz w:val="24"/>
          <w:shd w:val="clear" w:color="auto" w:fill="FFFFFF"/>
        </w:rPr>
        <w:t>.</w:t>
      </w:r>
    </w:p>
    <w:p>
      <w:pPr>
        <w:spacing w:line="360" w:lineRule="auto"/>
        <w:jc w:val="center"/>
        <w:rPr>
          <w:rFonts w:ascii="Times New Roman" w:hAnsi="Times New Roman" w:eastAsia="Times New Roman" w:cs="Times New Roman"/>
          <w:b w:val="0"/>
          <w:bCs w:val="0"/>
          <w:color w:val="333333"/>
          <w:sz w:val="24"/>
          <w:shd w:val="clear" w:color="auto" w:fill="FFFFFF"/>
        </w:rPr>
      </w:pPr>
      <w:r>
        <w:rPr>
          <w:rFonts w:ascii="Times New Roman" w:hAnsi="Times New Roman" w:eastAsia="Times New Roman" w:cs="Times New Roman"/>
          <w:b w:val="0"/>
          <w:bCs w:val="0"/>
          <w:color w:val="333333"/>
          <w:sz w:val="24"/>
          <w:shd w:val="clear" w:color="auto" w:fill="FFFFFF"/>
        </w:rPr>
        <w:pict>
          <v:shape id="_x0000_s1026" o:spid="_x0000_s1026" o:spt="75" alt="" type="#_x0000_t75" style="position:absolute;left:0pt;margin-left:93pt;margin-top:2.6pt;height:125.2pt;width:202.85pt;mso-wrap-distance-bottom:0pt;mso-wrap-distance-top:0pt;z-index:251660288;mso-width-relative:page;mso-height-relative:page;" o:ole="t" filled="f" o:preferrelative="t" stroked="f" coordsize="21600,21600">
            <v:path/>
            <v:fill on="f" focussize="0,0"/>
            <v:stroke on="f"/>
            <v:imagedata r:id="rId6" o:title=""/>
            <o:lock v:ext="edit" aspectratio="t"/>
            <w10:wrap type="topAndBottom"/>
          </v:shape>
          <o:OLEObject Type="Embed" ProgID="StaticMetafile" ShapeID="_x0000_s1026" DrawAspect="Content" ObjectID="_1468075725" r:id="rId5">
            <o:LockedField>false</o:LockedField>
          </o:OLEObject>
        </w:pict>
      </w:r>
      <w:r>
        <w:rPr>
          <w:rFonts w:ascii="Times New Roman" w:hAnsi="Times New Roman" w:eastAsia="Times New Roman" w:cs="Times New Roman"/>
          <w:b w:val="0"/>
          <w:bCs w:val="0"/>
          <w:color w:val="333333"/>
          <w:sz w:val="24"/>
          <w:shd w:val="clear" w:color="auto" w:fill="FFFFFF"/>
        </w:rPr>
        <w:t xml:space="preserve">Fig. </w:t>
      </w:r>
      <w:r>
        <w:rPr>
          <w:rFonts w:hint="eastAsia" w:ascii="Times New Roman" w:hAnsi="Times New Roman" w:eastAsia="宋体" w:cs="Times New Roman"/>
          <w:b w:val="0"/>
          <w:bCs w:val="0"/>
          <w:color w:val="333333"/>
          <w:sz w:val="24"/>
          <w:shd w:val="clear" w:color="auto" w:fill="FFFFFF"/>
          <w:lang w:val="en-US" w:eastAsia="zh-CN"/>
        </w:rPr>
        <w:t>1</w:t>
      </w:r>
      <w:r>
        <w:rPr>
          <w:rFonts w:ascii="Times New Roman" w:hAnsi="Times New Roman" w:eastAsia="Times New Roman" w:cs="Times New Roman"/>
          <w:b w:val="0"/>
          <w:bCs w:val="0"/>
          <w:color w:val="333333"/>
          <w:sz w:val="24"/>
          <w:shd w:val="clear" w:color="auto" w:fill="FFFFFF"/>
        </w:rPr>
        <w:t xml:space="preserve"> Mouse model</w:t>
      </w:r>
    </w:p>
    <w:p>
      <w:pPr>
        <w:spacing w:line="360" w:lineRule="auto"/>
        <w:rPr>
          <w:rFonts w:ascii="Times New Roman" w:hAnsi="Times New Roman" w:eastAsia="Times New Roman" w:cs="Times New Roman"/>
          <w:b/>
          <w:bCs/>
          <w:color w:val="333333"/>
          <w:sz w:val="24"/>
          <w:shd w:val="clear" w:color="auto" w:fill="FFFFFF"/>
        </w:rPr>
      </w:pPr>
      <w:r>
        <w:rPr>
          <w:rFonts w:hint="eastAsia" w:ascii="Times New Roman" w:hAnsi="Times New Roman" w:eastAsia="宋体" w:cs="Times New Roman"/>
          <w:b/>
          <w:bCs/>
          <w:color w:val="333333"/>
          <w:sz w:val="24"/>
          <w:shd w:val="clear" w:color="auto" w:fill="FFFFFF"/>
          <w:lang w:val="en-US" w:eastAsia="zh-CN"/>
        </w:rPr>
        <w:t>3.</w:t>
      </w:r>
      <w:r>
        <w:rPr>
          <w:rFonts w:ascii="Times New Roman" w:hAnsi="Times New Roman" w:eastAsia="Times New Roman" w:cs="Times New Roman"/>
          <w:b/>
          <w:bCs/>
          <w:color w:val="333333"/>
          <w:sz w:val="24"/>
          <w:shd w:val="clear" w:color="auto" w:fill="FFFFFF"/>
        </w:rPr>
        <w:t>Effect of cisplatin on inhibition of human lung adenocarcinoma A549 cells</w:t>
      </w:r>
    </w:p>
    <w:p>
      <w:pPr>
        <w:spacing w:line="360" w:lineRule="auto"/>
        <w:ind w:firstLine="24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At the same administration time, the inhibitory effect of cisplatin on human lung adenocarcinoma A549 cells was enhanced with increasing drug dose in a concentration-dependent manner (Table 1).</w:t>
      </w:r>
    </w:p>
    <w:p>
      <w:pPr>
        <w:spacing w:line="360" w:lineRule="auto"/>
        <w:jc w:val="center"/>
        <w:rPr>
          <w:rFonts w:ascii="Times New Roman" w:hAnsi="Times New Roman" w:eastAsia="Times New Roman" w:cs="Times New Roman"/>
          <w:b w:val="0"/>
          <w:bCs w:val="0"/>
          <w:color w:val="333333"/>
          <w:sz w:val="24"/>
          <w:shd w:val="clear" w:color="auto" w:fill="FFFFFF"/>
        </w:rPr>
      </w:pPr>
      <w:r>
        <w:rPr>
          <w:rFonts w:ascii="Times New Roman" w:hAnsi="Times New Roman" w:eastAsia="Times New Roman" w:cs="Times New Roman"/>
          <w:b w:val="0"/>
          <w:bCs w:val="0"/>
          <w:color w:val="333333"/>
          <w:sz w:val="24"/>
          <w:shd w:val="clear" w:color="auto" w:fill="FFFFFF"/>
        </w:rPr>
        <w:t>Table 1 Effect of cisplatin on the proliferation of human lung adenocarcinoma A549 cells (x ± s,</w:t>
      </w:r>
      <w:r>
        <w:rPr>
          <w:rFonts w:ascii="Times New Roman" w:hAnsi="Times New Roman" w:eastAsia="Times New Roman" w:cs="Times New Roman"/>
          <w:b w:val="0"/>
          <w:bCs w:val="0"/>
          <w:i/>
          <w:iCs/>
          <w:color w:val="333333"/>
          <w:sz w:val="24"/>
          <w:shd w:val="clear" w:color="auto" w:fill="FFFFFF"/>
        </w:rPr>
        <w:t>n</w:t>
      </w:r>
      <w:r>
        <w:rPr>
          <w:rFonts w:ascii="Times New Roman" w:hAnsi="Times New Roman" w:eastAsia="Times New Roman" w:cs="Times New Roman"/>
          <w:b w:val="0"/>
          <w:bCs w:val="0"/>
          <w:color w:val="333333"/>
          <w:sz w:val="24"/>
          <w:shd w:val="clear" w:color="auto" w:fill="FFFFFF"/>
        </w:rPr>
        <w:t xml:space="preserve"> = 6)</w:t>
      </w:r>
    </w:p>
    <w:tbl>
      <w:tblPr>
        <w:tblStyle w:val="2"/>
        <w:tblW w:w="0" w:type="auto"/>
        <w:jc w:val="center"/>
        <w:tblLayout w:type="fixed"/>
        <w:tblCellMar>
          <w:top w:w="0" w:type="dxa"/>
          <w:left w:w="10" w:type="dxa"/>
          <w:bottom w:w="0" w:type="dxa"/>
          <w:right w:w="10" w:type="dxa"/>
        </w:tblCellMar>
      </w:tblPr>
      <w:tblGrid>
        <w:gridCol w:w="2459"/>
        <w:gridCol w:w="660"/>
        <w:gridCol w:w="1701"/>
        <w:gridCol w:w="2693"/>
      </w:tblGrid>
      <w:tr>
        <w:tblPrEx>
          <w:tblCellMar>
            <w:top w:w="0" w:type="dxa"/>
            <w:left w:w="10" w:type="dxa"/>
            <w:bottom w:w="0" w:type="dxa"/>
            <w:right w:w="10" w:type="dxa"/>
          </w:tblCellMar>
        </w:tblPrEx>
        <w:trPr>
          <w:trHeight w:val="1" w:hRule="atLeast"/>
          <w:jc w:val="center"/>
        </w:trPr>
        <w:tc>
          <w:tcPr>
            <w:tcW w:w="2459" w:type="dxa"/>
            <w:tcBorders>
              <w:top w:val="single" w:color="auto" w:sz="4" w:space="0"/>
              <w:bottom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grouping</w:t>
            </w:r>
          </w:p>
        </w:tc>
        <w:tc>
          <w:tcPr>
            <w:tcW w:w="660" w:type="dxa"/>
            <w:tcBorders>
              <w:top w:val="single" w:color="auto" w:sz="4" w:space="0"/>
              <w:bottom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n</w:t>
            </w:r>
          </w:p>
        </w:tc>
        <w:tc>
          <w:tcPr>
            <w:tcW w:w="1701" w:type="dxa"/>
            <w:tcBorders>
              <w:top w:val="single" w:color="auto" w:sz="4" w:space="0"/>
              <w:bottom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OD</w:t>
            </w:r>
            <w:r>
              <w:rPr>
                <w:rFonts w:ascii="Times New Roman" w:hAnsi="Times New Roman" w:eastAsia="Times New Roman" w:cs="Times New Roman"/>
                <w:color w:val="333333"/>
                <w:sz w:val="24"/>
                <w:shd w:val="clear" w:color="auto" w:fill="FFFFFF"/>
                <w:vertAlign w:val="subscript"/>
              </w:rPr>
              <w:t>450</w:t>
            </w:r>
            <w:r>
              <w:rPr>
                <w:rFonts w:ascii="Times New Roman" w:hAnsi="Times New Roman" w:eastAsia="Times New Roman" w:cs="Times New Roman"/>
                <w:color w:val="333333"/>
                <w:sz w:val="24"/>
                <w:shd w:val="clear" w:color="auto" w:fill="FFFFFF"/>
              </w:rPr>
              <w:t>(24h)</w:t>
            </w:r>
          </w:p>
        </w:tc>
        <w:tc>
          <w:tcPr>
            <w:tcW w:w="2693" w:type="dxa"/>
            <w:tcBorders>
              <w:top w:val="single" w:color="auto" w:sz="4" w:space="0"/>
              <w:bottom w:val="single" w:color="auto" w:sz="4" w:space="0"/>
            </w:tcBorders>
            <w:shd w:val="clear" w:color="000000" w:fill="FFFFFF"/>
            <w:tcMar>
              <w:left w:w="108" w:type="dxa"/>
              <w:right w:w="108" w:type="dxa"/>
            </w:tcMar>
          </w:tcPr>
          <w:p>
            <w:pPr>
              <w:spacing w:line="360" w:lineRule="auto"/>
              <w:ind w:firstLine="360"/>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inhibition ratio</w:t>
            </w:r>
            <w:r>
              <w:rPr>
                <w:rFonts w:ascii="宋体" w:hAnsi="宋体" w:eastAsia="宋体" w:cs="宋体"/>
                <w:color w:val="333333"/>
                <w:sz w:val="24"/>
                <w:shd w:val="clear" w:color="auto" w:fill="FFFFFF"/>
              </w:rPr>
              <w:t>（</w:t>
            </w:r>
            <w:r>
              <w:rPr>
                <w:rFonts w:ascii="Times New Roman" w:hAnsi="Times New Roman" w:eastAsia="Times New Roman" w:cs="Times New Roman"/>
                <w:color w:val="333333"/>
                <w:sz w:val="24"/>
                <w:shd w:val="clear" w:color="auto" w:fill="FFFFFF"/>
              </w:rPr>
              <w:t>%</w:t>
            </w:r>
            <w:r>
              <w:rPr>
                <w:rFonts w:ascii="宋体" w:hAnsi="宋体" w:eastAsia="宋体" w:cs="宋体"/>
                <w:color w:val="333333"/>
                <w:sz w:val="24"/>
                <w:shd w:val="clear" w:color="auto" w:fill="FFFFFF"/>
              </w:rPr>
              <w:t>）</w:t>
            </w:r>
          </w:p>
        </w:tc>
      </w:tr>
      <w:tr>
        <w:tblPrEx>
          <w:tblCellMar>
            <w:top w:w="0" w:type="dxa"/>
            <w:left w:w="10" w:type="dxa"/>
            <w:bottom w:w="0" w:type="dxa"/>
            <w:right w:w="10" w:type="dxa"/>
          </w:tblCellMar>
        </w:tblPrEx>
        <w:trPr>
          <w:trHeight w:val="1" w:hRule="atLeast"/>
          <w:jc w:val="center"/>
        </w:trPr>
        <w:tc>
          <w:tcPr>
            <w:tcW w:w="2459" w:type="dxa"/>
            <w:tcBorders>
              <w:top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Blank group</w:t>
            </w:r>
          </w:p>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Positive control group</w:t>
            </w:r>
          </w:p>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5 µg/mL cisplatin</w:t>
            </w:r>
          </w:p>
        </w:tc>
        <w:tc>
          <w:tcPr>
            <w:tcW w:w="660" w:type="dxa"/>
            <w:tcBorders>
              <w:top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6</w:t>
            </w:r>
          </w:p>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6</w:t>
            </w:r>
          </w:p>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6</w:t>
            </w:r>
          </w:p>
        </w:tc>
        <w:tc>
          <w:tcPr>
            <w:tcW w:w="1701" w:type="dxa"/>
            <w:tcBorders>
              <w:top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0.150.01a</w:t>
            </w:r>
          </w:p>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0.970.08</w:t>
            </w:r>
          </w:p>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0.800.05 a</w:t>
            </w:r>
          </w:p>
        </w:tc>
        <w:tc>
          <w:tcPr>
            <w:tcW w:w="2693" w:type="dxa"/>
            <w:tcBorders>
              <w:top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w:t>
            </w:r>
          </w:p>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w:t>
            </w:r>
          </w:p>
          <w:p>
            <w:pPr>
              <w:spacing w:line="360" w:lineRule="auto"/>
              <w:ind w:firstLine="720" w:firstLineChars="30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20.73±0.91</w:t>
            </w:r>
          </w:p>
        </w:tc>
      </w:tr>
      <w:tr>
        <w:tblPrEx>
          <w:tblCellMar>
            <w:top w:w="0" w:type="dxa"/>
            <w:left w:w="10" w:type="dxa"/>
            <w:bottom w:w="0" w:type="dxa"/>
            <w:right w:w="10" w:type="dxa"/>
          </w:tblCellMar>
        </w:tblPrEx>
        <w:trPr>
          <w:trHeight w:val="1" w:hRule="atLeast"/>
          <w:jc w:val="center"/>
        </w:trPr>
        <w:tc>
          <w:tcPr>
            <w:tcW w:w="2459" w:type="dxa"/>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10 µg/mL cisplatin</w:t>
            </w:r>
          </w:p>
        </w:tc>
        <w:tc>
          <w:tcPr>
            <w:tcW w:w="660" w:type="dxa"/>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6</w:t>
            </w:r>
          </w:p>
        </w:tc>
        <w:tc>
          <w:tcPr>
            <w:tcW w:w="1701" w:type="dxa"/>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0.450.04 a</w:t>
            </w:r>
          </w:p>
        </w:tc>
        <w:tc>
          <w:tcPr>
            <w:tcW w:w="2693" w:type="dxa"/>
            <w:shd w:val="clear" w:color="000000" w:fill="FFFFFF"/>
            <w:tcMar>
              <w:left w:w="108" w:type="dxa"/>
              <w:right w:w="108" w:type="dxa"/>
            </w:tcMar>
          </w:tcPr>
          <w:p>
            <w:pPr>
              <w:spacing w:line="360" w:lineRule="auto"/>
              <w:ind w:firstLine="720" w:firstLineChars="30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63.41±1.37</w:t>
            </w:r>
          </w:p>
        </w:tc>
      </w:tr>
      <w:tr>
        <w:tblPrEx>
          <w:tblCellMar>
            <w:top w:w="0" w:type="dxa"/>
            <w:left w:w="10" w:type="dxa"/>
            <w:bottom w:w="0" w:type="dxa"/>
            <w:right w:w="10" w:type="dxa"/>
          </w:tblCellMar>
        </w:tblPrEx>
        <w:trPr>
          <w:trHeight w:val="1" w:hRule="atLeast"/>
          <w:jc w:val="center"/>
        </w:trPr>
        <w:tc>
          <w:tcPr>
            <w:tcW w:w="2459" w:type="dxa"/>
            <w:tcBorders>
              <w:bottom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20 µg/mL cisplatin</w:t>
            </w:r>
          </w:p>
        </w:tc>
        <w:tc>
          <w:tcPr>
            <w:tcW w:w="660" w:type="dxa"/>
            <w:tcBorders>
              <w:bottom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6</w:t>
            </w:r>
          </w:p>
        </w:tc>
        <w:tc>
          <w:tcPr>
            <w:tcW w:w="1701" w:type="dxa"/>
            <w:tcBorders>
              <w:bottom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0.380.03 a</w:t>
            </w:r>
          </w:p>
        </w:tc>
        <w:tc>
          <w:tcPr>
            <w:tcW w:w="2693" w:type="dxa"/>
            <w:tcBorders>
              <w:bottom w:val="single" w:color="auto" w:sz="4" w:space="0"/>
            </w:tcBorders>
            <w:shd w:val="clear" w:color="000000" w:fill="FFFFFF"/>
            <w:tcMar>
              <w:left w:w="108" w:type="dxa"/>
              <w:right w:w="108" w:type="dxa"/>
            </w:tcMar>
          </w:tcPr>
          <w:p>
            <w:pPr>
              <w:spacing w:line="360" w:lineRule="auto"/>
              <w:ind w:firstLine="720" w:firstLineChars="30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71.95±1.53</w:t>
            </w:r>
          </w:p>
        </w:tc>
      </w:tr>
    </w:tbl>
    <w:p>
      <w:pPr>
        <w:spacing w:line="360" w:lineRule="auto"/>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 xml:space="preserve">Note: a: compared with negative control group, </w:t>
      </w:r>
      <w:r>
        <w:rPr>
          <w:rFonts w:ascii="Times New Roman" w:hAnsi="Times New Roman" w:eastAsia="Times New Roman" w:cs="Times New Roman"/>
          <w:i/>
          <w:iCs/>
          <w:color w:val="333333"/>
          <w:sz w:val="24"/>
          <w:shd w:val="clear" w:color="auto" w:fill="FFFFFF"/>
        </w:rPr>
        <w:t>P</w:t>
      </w:r>
      <w:r>
        <w:rPr>
          <w:rFonts w:ascii="Times New Roman" w:hAnsi="Times New Roman" w:eastAsia="Times New Roman" w:cs="Times New Roman"/>
          <w:color w:val="333333"/>
          <w:sz w:val="24"/>
          <w:shd w:val="clear" w:color="auto" w:fill="FFFFFF"/>
        </w:rPr>
        <w:t>&lt;0.01, 24 h after administration, significant difference was observed between low-concentration (5 µg/mL) cisplatin group and medium-concentration (10 µg/mL) and high-concentration (20 µg/mL) cisplatin groups, but no significant difference was detected between medium- and high-concentration groups. IC</w:t>
      </w:r>
      <w:r>
        <w:rPr>
          <w:rFonts w:ascii="Times New Roman" w:hAnsi="Times New Roman" w:eastAsia="Times New Roman" w:cs="Times New Roman"/>
          <w:color w:val="333333"/>
          <w:sz w:val="24"/>
          <w:shd w:val="clear" w:color="auto" w:fill="FFFFFF"/>
          <w:vertAlign w:val="subscript"/>
        </w:rPr>
        <w:t>50</w:t>
      </w:r>
      <w:r>
        <w:rPr>
          <w:rFonts w:ascii="Times New Roman" w:hAnsi="Times New Roman" w:eastAsia="Times New Roman" w:cs="Times New Roman"/>
          <w:color w:val="333333"/>
          <w:sz w:val="24"/>
          <w:shd w:val="clear" w:color="auto" w:fill="FFFFFF"/>
        </w:rPr>
        <w:t xml:space="preserve"> was close to medium concentration the cisplatin group, so 10 µg/mL cisplatin was used for subsequent administration.</w:t>
      </w:r>
    </w:p>
    <w:p>
      <w:pPr>
        <w:numPr>
          <w:numId w:val="0"/>
        </w:numPr>
        <w:spacing w:line="360" w:lineRule="auto"/>
        <w:rPr>
          <w:rFonts w:ascii="Times New Roman" w:hAnsi="Times New Roman" w:eastAsia="Times New Roman" w:cs="Times New Roman"/>
          <w:b/>
          <w:bCs/>
          <w:color w:val="333333"/>
          <w:sz w:val="24"/>
          <w:shd w:val="clear" w:color="auto" w:fill="FFFFFF"/>
        </w:rPr>
      </w:pPr>
      <w:r>
        <w:rPr>
          <w:rFonts w:hint="eastAsia" w:ascii="Times New Roman" w:hAnsi="Times New Roman" w:eastAsia="宋体" w:cs="Times New Roman"/>
          <w:b/>
          <w:bCs/>
          <w:color w:val="333333"/>
          <w:sz w:val="24"/>
          <w:shd w:val="clear" w:color="auto" w:fill="FFFFFF"/>
          <w:lang w:val="en-US" w:eastAsia="zh-CN"/>
        </w:rPr>
        <w:t>4.</w:t>
      </w:r>
      <w:r>
        <w:rPr>
          <w:rFonts w:ascii="Times New Roman" w:hAnsi="Times New Roman" w:eastAsia="Times New Roman" w:cs="Times New Roman"/>
          <w:b/>
          <w:bCs/>
          <w:color w:val="333333"/>
          <w:sz w:val="24"/>
          <w:shd w:val="clear" w:color="auto" w:fill="FFFFFF"/>
        </w:rPr>
        <w:t>Effects of BRNP on the clonal formation of lung cancer cells</w:t>
      </w:r>
    </w:p>
    <w:p>
      <w:pPr>
        <w:spacing w:line="390" w:lineRule="auto"/>
        <w:rPr>
          <w:rFonts w:ascii="Times New Roman" w:hAnsi="Times New Roman" w:eastAsia="Times New Roman" w:cs="Times New Roman"/>
          <w:b/>
          <w:bCs/>
          <w:color w:val="333333"/>
          <w:sz w:val="24"/>
          <w:shd w:val="clear" w:color="auto" w:fill="FFFFFF"/>
        </w:rPr>
      </w:pPr>
      <w:r>
        <w:rPr>
          <w:rFonts w:hint="eastAsia" w:ascii="Times New Roman" w:hAnsi="Times New Roman" w:eastAsia="宋体" w:cs="Times New Roman"/>
          <w:b/>
          <w:bCs/>
          <w:color w:val="333333"/>
          <w:sz w:val="24"/>
          <w:shd w:val="clear" w:color="auto" w:fill="FFFFFF"/>
          <w:lang w:val="en-US" w:eastAsia="zh-CN"/>
        </w:rPr>
        <w:t>4.1</w:t>
      </w:r>
      <w:r>
        <w:rPr>
          <w:rFonts w:ascii="Times New Roman" w:hAnsi="Times New Roman" w:eastAsia="Times New Roman" w:cs="Times New Roman"/>
          <w:b/>
          <w:bCs/>
          <w:color w:val="333333"/>
          <w:sz w:val="24"/>
          <w:shd w:val="clear" w:color="auto" w:fill="FFFFFF"/>
        </w:rPr>
        <w:t>Clone formation experiment</w:t>
      </w:r>
    </w:p>
    <w:p>
      <w:pPr>
        <w:spacing w:line="390" w:lineRule="auto"/>
        <w:ind w:firstLine="240"/>
        <w:rPr>
          <w:rFonts w:hint="default" w:ascii="Times New Roman" w:hAnsi="Times New Roman" w:eastAsia="宋体" w:cs="Times New Roman"/>
          <w:b/>
          <w:bCs/>
          <w:color w:val="333333"/>
          <w:sz w:val="24"/>
          <w:shd w:val="clear" w:color="auto" w:fill="FFFFFF"/>
          <w:lang w:val="en-US" w:eastAsia="zh-CN"/>
        </w:rPr>
      </w:pPr>
      <w:r>
        <w:rPr>
          <w:rFonts w:ascii="Times New Roman" w:hAnsi="Times New Roman" w:eastAsia="Times New Roman" w:cs="Times New Roman"/>
          <w:color w:val="333333"/>
          <w:sz w:val="24"/>
          <w:shd w:val="clear" w:color="auto" w:fill="FFFFFF"/>
        </w:rPr>
        <w:t>Lung cancer A549 cells were inoculated in a six-well plate at 500 cells per well. After the cells adhered to the wall, the medium was fully removed. The cells were then added with respective culture medium for the negative control group, cisplatin group, medium-dose group, and half-dose combined group for 24 h. The cells were further cultured in an incubator for 10 days and washed twice with PBS buffer. The cells were fixed with fixed solution for 15 min and washed with PBS buffer twice. After crystal violet staining for 15 min, the cells were thoroughly washed with PBS buffer and dried. The number of cell clones in each group was calculated under an inverted microscope.</w:t>
      </w:r>
    </w:p>
    <w:p>
      <w:pPr>
        <w:spacing w:line="360" w:lineRule="auto"/>
        <w:ind w:firstLine="24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Compared with the negative control group, BRNP significantly decreased the clone formation rate of A549 cells (</w:t>
      </w:r>
      <w:r>
        <w:rPr>
          <w:rFonts w:ascii="Times New Roman" w:hAnsi="Times New Roman" w:eastAsia="Times New Roman" w:cs="Times New Roman"/>
          <w:i/>
          <w:iCs/>
          <w:color w:val="333333"/>
          <w:sz w:val="24"/>
          <w:shd w:val="clear" w:color="auto" w:fill="FFFFFF"/>
        </w:rPr>
        <w:t xml:space="preserve">P </w:t>
      </w:r>
      <w:r>
        <w:rPr>
          <w:rFonts w:ascii="Times New Roman" w:hAnsi="Times New Roman" w:eastAsia="Times New Roman" w:cs="Times New Roman"/>
          <w:color w:val="333333"/>
          <w:sz w:val="24"/>
          <w:shd w:val="clear" w:color="auto" w:fill="FFFFFF"/>
        </w:rPr>
        <w:t>&lt; 0.01). The clone formation rate of the dose-reduction combined group was only 0.2%, indicating that BRNP had a strong weakening effect on the proliferation ability of lung cancer A549 cells (Table 3).</w:t>
      </w:r>
    </w:p>
    <w:p>
      <w:pPr>
        <w:spacing w:line="360" w:lineRule="auto"/>
        <w:jc w:val="center"/>
        <w:rPr>
          <w:rFonts w:ascii="Times New Roman" w:hAnsi="Times New Roman" w:eastAsia="Times New Roman" w:cs="Times New Roman"/>
          <w:b w:val="0"/>
          <w:bCs w:val="0"/>
          <w:color w:val="333333"/>
          <w:sz w:val="24"/>
          <w:shd w:val="clear" w:color="auto" w:fill="FFFFFF"/>
        </w:rPr>
      </w:pPr>
      <w:r>
        <w:rPr>
          <w:rFonts w:ascii="Times New Roman" w:hAnsi="Times New Roman" w:eastAsia="Times New Roman" w:cs="Times New Roman"/>
          <w:b w:val="0"/>
          <w:bCs w:val="0"/>
          <w:color w:val="333333"/>
          <w:sz w:val="24"/>
          <w:shd w:val="clear" w:color="auto" w:fill="FFFFFF"/>
        </w:rPr>
        <w:t xml:space="preserve">Table 3 Effect of </w:t>
      </w:r>
      <w:r>
        <w:rPr>
          <w:rFonts w:hint="eastAsia" w:ascii="Times New Roman" w:hAnsi="Times New Roman" w:eastAsia="宋体" w:cs="Times New Roman"/>
          <w:b w:val="0"/>
          <w:bCs w:val="0"/>
          <w:color w:val="333333"/>
          <w:sz w:val="24"/>
          <w:shd w:val="clear" w:color="auto" w:fill="FFFFFF"/>
          <w:lang w:val="en-US" w:eastAsia="zh-CN"/>
        </w:rPr>
        <w:t>BRNP</w:t>
      </w:r>
      <w:r>
        <w:rPr>
          <w:rFonts w:ascii="Times New Roman" w:hAnsi="Times New Roman" w:eastAsia="Times New Roman" w:cs="Times New Roman"/>
          <w:b w:val="0"/>
          <w:bCs w:val="0"/>
          <w:color w:val="333333"/>
          <w:sz w:val="24"/>
          <w:shd w:val="clear" w:color="auto" w:fill="FFFFFF"/>
        </w:rPr>
        <w:t xml:space="preserve"> on the formation of lung cancer cells (x ± s, </w:t>
      </w:r>
      <w:r>
        <w:rPr>
          <w:rFonts w:ascii="Times New Roman" w:hAnsi="Times New Roman" w:eastAsia="Times New Roman" w:cs="Times New Roman"/>
          <w:b w:val="0"/>
          <w:bCs w:val="0"/>
          <w:i/>
          <w:iCs/>
          <w:color w:val="333333"/>
          <w:sz w:val="24"/>
          <w:shd w:val="clear" w:color="auto" w:fill="FFFFFF"/>
        </w:rPr>
        <w:t>n</w:t>
      </w:r>
      <w:r>
        <w:rPr>
          <w:rFonts w:ascii="Times New Roman" w:hAnsi="Times New Roman" w:eastAsia="Times New Roman" w:cs="Times New Roman"/>
          <w:b w:val="0"/>
          <w:bCs w:val="0"/>
          <w:color w:val="333333"/>
          <w:sz w:val="24"/>
          <w:shd w:val="clear" w:color="auto" w:fill="FFFFFF"/>
        </w:rPr>
        <w:t xml:space="preserve"> = 3)</w:t>
      </w:r>
    </w:p>
    <w:tbl>
      <w:tblPr>
        <w:tblStyle w:val="2"/>
        <w:tblW w:w="8505" w:type="dxa"/>
        <w:tblInd w:w="108" w:type="dxa"/>
        <w:tblLayout w:type="fixed"/>
        <w:tblCellMar>
          <w:top w:w="0" w:type="dxa"/>
          <w:left w:w="10" w:type="dxa"/>
          <w:bottom w:w="0" w:type="dxa"/>
          <w:right w:w="10" w:type="dxa"/>
        </w:tblCellMar>
      </w:tblPr>
      <w:tblGrid>
        <w:gridCol w:w="2410"/>
        <w:gridCol w:w="1310"/>
        <w:gridCol w:w="1984"/>
        <w:gridCol w:w="2801"/>
      </w:tblGrid>
      <w:tr>
        <w:tblPrEx>
          <w:tblCellMar>
            <w:top w:w="0" w:type="dxa"/>
            <w:left w:w="10" w:type="dxa"/>
            <w:bottom w:w="0" w:type="dxa"/>
            <w:right w:w="10" w:type="dxa"/>
          </w:tblCellMar>
        </w:tblPrEx>
        <w:tc>
          <w:tcPr>
            <w:tcW w:w="2410" w:type="dxa"/>
            <w:tcBorders>
              <w:top w:val="single" w:color="auto" w:sz="4" w:space="0"/>
              <w:bottom w:val="single" w:color="auto" w:sz="4" w:space="0"/>
            </w:tcBorders>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fldChar w:fldCharType="begin"/>
            </w:r>
            <w:r>
              <w:instrText xml:space="preserve"> HYPERLINK "javascript:;" \h </w:instrText>
            </w:r>
            <w:r>
              <w:fldChar w:fldCharType="separate"/>
            </w:r>
            <w:r>
              <w:rPr>
                <w:rFonts w:ascii="Times New Roman" w:hAnsi="Times New Roman" w:eastAsia="Times New Roman" w:cs="Times New Roman"/>
                <w:color w:val="333333"/>
                <w:sz w:val="24"/>
                <w:shd w:val="clear" w:color="auto" w:fill="FFFFFF"/>
              </w:rPr>
              <w:t>Grouping</w:t>
            </w:r>
            <w:r>
              <w:rPr>
                <w:rFonts w:ascii="Times New Roman" w:hAnsi="Times New Roman" w:eastAsia="Times New Roman" w:cs="Times New Roman"/>
                <w:color w:val="333333"/>
                <w:sz w:val="24"/>
                <w:shd w:val="clear" w:color="auto" w:fill="FFFFFF"/>
              </w:rPr>
              <w:fldChar w:fldCharType="end"/>
            </w:r>
          </w:p>
        </w:tc>
        <w:tc>
          <w:tcPr>
            <w:tcW w:w="1310" w:type="dxa"/>
            <w:tcBorders>
              <w:top w:val="single" w:color="auto" w:sz="4" w:space="0"/>
              <w:bottom w:val="single" w:color="auto" w:sz="4" w:space="0"/>
            </w:tcBorders>
            <w:shd w:val="clear" w:color="000000" w:fill="FFFFFF"/>
            <w:tcMar>
              <w:left w:w="108" w:type="dxa"/>
              <w:right w:w="108" w:type="dxa"/>
            </w:tcMar>
            <w:vAlign w:val="center"/>
          </w:tcPr>
          <w:p>
            <w:pPr>
              <w:spacing w:line="360" w:lineRule="auto"/>
              <w:ind w:left="210" w:firstLine="24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C (µg/mL)</w:t>
            </w:r>
          </w:p>
        </w:tc>
        <w:tc>
          <w:tcPr>
            <w:tcW w:w="1984" w:type="dxa"/>
            <w:tcBorders>
              <w:top w:val="single" w:color="auto" w:sz="4" w:space="0"/>
              <w:bottom w:val="single" w:color="auto" w:sz="4" w:space="0"/>
            </w:tcBorders>
            <w:shd w:val="clear" w:color="000000" w:fill="FFFFFF"/>
            <w:tcMar>
              <w:left w:w="108" w:type="dxa"/>
              <w:right w:w="108" w:type="dxa"/>
            </w:tcMar>
            <w:vAlign w:val="center"/>
          </w:tcPr>
          <w:p>
            <w:pPr>
              <w:spacing w:line="360" w:lineRule="auto"/>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cell clone number</w:t>
            </w:r>
          </w:p>
          <w:p>
            <w:pPr>
              <w:spacing w:line="360" w:lineRule="auto"/>
              <w:rPr>
                <w:rFonts w:ascii="Times New Roman" w:hAnsi="Times New Roman" w:eastAsia="Times New Roman" w:cs="Times New Roman"/>
                <w:color w:val="333333"/>
                <w:sz w:val="24"/>
                <w:shd w:val="clear" w:color="auto" w:fill="FFFFFF"/>
              </w:rPr>
            </w:pPr>
          </w:p>
        </w:tc>
        <w:tc>
          <w:tcPr>
            <w:tcW w:w="2801" w:type="dxa"/>
            <w:tcBorders>
              <w:top w:val="single" w:color="auto" w:sz="4" w:space="0"/>
              <w:bottom w:val="single" w:color="auto" w:sz="4" w:space="0"/>
            </w:tcBorders>
            <w:shd w:val="clear" w:color="000000" w:fill="FFFFFF"/>
            <w:tcMar>
              <w:left w:w="108" w:type="dxa"/>
              <w:right w:w="108" w:type="dxa"/>
            </w:tcMar>
          </w:tcPr>
          <w:p>
            <w:pPr>
              <w:spacing w:line="360" w:lineRule="auto"/>
              <w:ind w:left="465" w:leftChars="50" w:hanging="360" w:hangingChars="15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Cloning efficiency</w:t>
            </w:r>
            <w:r>
              <w:rPr>
                <w:rFonts w:ascii="宋体" w:hAnsi="宋体" w:eastAsia="宋体" w:cs="宋体"/>
                <w:color w:val="333333"/>
                <w:sz w:val="24"/>
                <w:shd w:val="clear" w:color="auto" w:fill="FFFFFF"/>
              </w:rPr>
              <w:t>（</w:t>
            </w:r>
            <w:r>
              <w:rPr>
                <w:rFonts w:ascii="Times New Roman" w:hAnsi="Times New Roman" w:eastAsia="Times New Roman" w:cs="Times New Roman"/>
                <w:color w:val="333333"/>
                <w:sz w:val="24"/>
                <w:shd w:val="clear" w:color="auto" w:fill="FFFFFF"/>
              </w:rPr>
              <w:t>%</w:t>
            </w:r>
            <w:r>
              <w:rPr>
                <w:rFonts w:ascii="宋体" w:hAnsi="宋体" w:eastAsia="宋体" w:cs="宋体"/>
                <w:color w:val="333333"/>
                <w:sz w:val="24"/>
                <w:shd w:val="clear" w:color="auto" w:fill="FFFFFF"/>
              </w:rPr>
              <w:t>）</w:t>
            </w:r>
          </w:p>
        </w:tc>
      </w:tr>
      <w:tr>
        <w:tblPrEx>
          <w:tblCellMar>
            <w:top w:w="0" w:type="dxa"/>
            <w:left w:w="10" w:type="dxa"/>
            <w:bottom w:w="0" w:type="dxa"/>
            <w:right w:w="10" w:type="dxa"/>
          </w:tblCellMar>
        </w:tblPrEx>
        <w:tc>
          <w:tcPr>
            <w:tcW w:w="2410" w:type="dxa"/>
            <w:tcBorders>
              <w:top w:val="single" w:color="auto" w:sz="4" w:space="0"/>
            </w:tcBorders>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Positive control group</w:t>
            </w:r>
          </w:p>
        </w:tc>
        <w:tc>
          <w:tcPr>
            <w:tcW w:w="1310" w:type="dxa"/>
            <w:tcBorders>
              <w:top w:val="single" w:color="auto" w:sz="4" w:space="0"/>
            </w:tcBorders>
            <w:shd w:val="clear" w:color="000000" w:fill="FFFFFF"/>
            <w:tcMar>
              <w:left w:w="108" w:type="dxa"/>
              <w:right w:w="108" w:type="dxa"/>
            </w:tcMar>
            <w:vAlign w:val="center"/>
          </w:tcPr>
          <w:p>
            <w:pPr>
              <w:spacing w:line="360" w:lineRule="auto"/>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 xml:space="preserve">        -</w:t>
            </w:r>
          </w:p>
        </w:tc>
        <w:tc>
          <w:tcPr>
            <w:tcW w:w="1984" w:type="dxa"/>
            <w:tcBorders>
              <w:top w:val="single" w:color="auto" w:sz="4" w:space="0"/>
            </w:tcBorders>
            <w:shd w:val="clear" w:color="000000" w:fill="FFFFFF"/>
            <w:tcMar>
              <w:left w:w="108" w:type="dxa"/>
              <w:right w:w="108" w:type="dxa"/>
            </w:tcMar>
            <w:vAlign w:val="center"/>
          </w:tcPr>
          <w:p>
            <w:pPr>
              <w:spacing w:line="360" w:lineRule="auto"/>
              <w:ind w:firstLine="840" w:firstLineChars="35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8</w:t>
            </w:r>
          </w:p>
        </w:tc>
        <w:tc>
          <w:tcPr>
            <w:tcW w:w="2801" w:type="dxa"/>
            <w:tcBorders>
              <w:top w:val="single" w:color="auto" w:sz="4" w:space="0"/>
            </w:tcBorders>
            <w:shd w:val="clear" w:color="000000" w:fill="FFFFFF"/>
            <w:tcMar>
              <w:left w:w="108" w:type="dxa"/>
              <w:right w:w="108" w:type="dxa"/>
            </w:tcMar>
          </w:tcPr>
          <w:p>
            <w:pPr>
              <w:spacing w:line="360" w:lineRule="auto"/>
              <w:ind w:firstLine="720" w:firstLineChars="30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1.6</w:t>
            </w:r>
            <w:r>
              <w:rPr>
                <w:rFonts w:ascii="Times New Roman" w:hAnsi="Times New Roman" w:eastAsia="Times New Roman" w:cs="Times New Roman"/>
                <w:color w:val="333333"/>
                <w:sz w:val="24"/>
                <w:shd w:val="clear" w:color="auto" w:fill="FFFFFF"/>
              </w:rPr>
              <w:sym w:font="Symbol" w:char="F0B1"/>
            </w:r>
            <w:r>
              <w:rPr>
                <w:rFonts w:ascii="Times New Roman" w:hAnsi="Times New Roman" w:eastAsia="Times New Roman" w:cs="Times New Roman"/>
                <w:color w:val="333333"/>
                <w:sz w:val="24"/>
                <w:shd w:val="clear" w:color="auto" w:fill="FFFFFF"/>
              </w:rPr>
              <w:t>0.01</w:t>
            </w:r>
          </w:p>
        </w:tc>
      </w:tr>
      <w:tr>
        <w:tblPrEx>
          <w:tblCellMar>
            <w:top w:w="0" w:type="dxa"/>
            <w:left w:w="10" w:type="dxa"/>
            <w:bottom w:w="0" w:type="dxa"/>
            <w:right w:w="10" w:type="dxa"/>
          </w:tblCellMar>
        </w:tblPrEx>
        <w:tc>
          <w:tcPr>
            <w:tcW w:w="2410" w:type="dxa"/>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Cisplatin group</w:t>
            </w:r>
          </w:p>
        </w:tc>
        <w:tc>
          <w:tcPr>
            <w:tcW w:w="1310" w:type="dxa"/>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10</w:t>
            </w:r>
          </w:p>
        </w:tc>
        <w:tc>
          <w:tcPr>
            <w:tcW w:w="1984" w:type="dxa"/>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0a</w:t>
            </w:r>
          </w:p>
        </w:tc>
        <w:tc>
          <w:tcPr>
            <w:tcW w:w="2801" w:type="dxa"/>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0.0</w:t>
            </w:r>
            <w:r>
              <w:rPr>
                <w:rFonts w:ascii="Times New Roman" w:hAnsi="Times New Roman" w:eastAsia="Times New Roman" w:cs="Times New Roman"/>
                <w:color w:val="333333"/>
                <w:sz w:val="24"/>
                <w:shd w:val="clear" w:color="auto" w:fill="FFFFFF"/>
              </w:rPr>
              <w:sym w:font="Symbol" w:char="F0B1"/>
            </w:r>
            <w:r>
              <w:rPr>
                <w:rFonts w:ascii="Times New Roman" w:hAnsi="Times New Roman" w:eastAsia="Times New Roman" w:cs="Times New Roman"/>
                <w:color w:val="333333"/>
                <w:sz w:val="24"/>
                <w:shd w:val="clear" w:color="auto" w:fill="FFFFFF"/>
              </w:rPr>
              <w:t>0.00 b</w:t>
            </w:r>
          </w:p>
        </w:tc>
      </w:tr>
      <w:tr>
        <w:tblPrEx>
          <w:tblCellMar>
            <w:top w:w="0" w:type="dxa"/>
            <w:left w:w="10" w:type="dxa"/>
            <w:bottom w:w="0" w:type="dxa"/>
            <w:right w:w="10" w:type="dxa"/>
          </w:tblCellMar>
        </w:tblPrEx>
        <w:tc>
          <w:tcPr>
            <w:tcW w:w="2410" w:type="dxa"/>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BRNP</w:t>
            </w:r>
          </w:p>
        </w:tc>
        <w:tc>
          <w:tcPr>
            <w:tcW w:w="1310" w:type="dxa"/>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400</w:t>
            </w:r>
          </w:p>
        </w:tc>
        <w:tc>
          <w:tcPr>
            <w:tcW w:w="1984" w:type="dxa"/>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3 a</w:t>
            </w:r>
          </w:p>
        </w:tc>
        <w:tc>
          <w:tcPr>
            <w:tcW w:w="2801" w:type="dxa"/>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 xml:space="preserve">0.6 </w:t>
            </w:r>
            <w:r>
              <w:rPr>
                <w:rFonts w:ascii="Times New Roman" w:hAnsi="Times New Roman" w:eastAsia="Times New Roman" w:cs="Times New Roman"/>
                <w:color w:val="333333"/>
                <w:sz w:val="24"/>
                <w:shd w:val="clear" w:color="auto" w:fill="FFFFFF"/>
              </w:rPr>
              <w:sym w:font="Symbol" w:char="F0B1"/>
            </w:r>
            <w:r>
              <w:rPr>
                <w:rFonts w:ascii="Times New Roman" w:hAnsi="Times New Roman" w:eastAsia="Times New Roman" w:cs="Times New Roman"/>
                <w:color w:val="333333"/>
                <w:sz w:val="24"/>
                <w:shd w:val="clear" w:color="auto" w:fill="FFFFFF"/>
              </w:rPr>
              <w:t>0.03b</w:t>
            </w:r>
          </w:p>
        </w:tc>
      </w:tr>
      <w:tr>
        <w:tblPrEx>
          <w:tblCellMar>
            <w:top w:w="0" w:type="dxa"/>
            <w:left w:w="10" w:type="dxa"/>
            <w:bottom w:w="0" w:type="dxa"/>
            <w:right w:w="10" w:type="dxa"/>
          </w:tblCellMar>
        </w:tblPrEx>
        <w:tc>
          <w:tcPr>
            <w:tcW w:w="2410" w:type="dxa"/>
            <w:tcBorders>
              <w:bottom w:val="single" w:color="auto" w:sz="4" w:space="0"/>
            </w:tcBorders>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Joint group</w:t>
            </w:r>
          </w:p>
        </w:tc>
        <w:tc>
          <w:tcPr>
            <w:tcW w:w="1310" w:type="dxa"/>
            <w:tcBorders>
              <w:bottom w:val="single" w:color="auto" w:sz="4" w:space="0"/>
            </w:tcBorders>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10+400</w:t>
            </w:r>
          </w:p>
        </w:tc>
        <w:tc>
          <w:tcPr>
            <w:tcW w:w="1984" w:type="dxa"/>
            <w:tcBorders>
              <w:bottom w:val="single" w:color="auto" w:sz="4" w:space="0"/>
            </w:tcBorders>
            <w:shd w:val="clear" w:color="000000" w:fill="FFFFFF"/>
            <w:tcMar>
              <w:left w:w="108" w:type="dxa"/>
              <w:right w:w="108" w:type="dxa"/>
            </w:tcMar>
            <w:vAlign w:val="cente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1 a</w:t>
            </w:r>
          </w:p>
        </w:tc>
        <w:tc>
          <w:tcPr>
            <w:tcW w:w="2801" w:type="dxa"/>
            <w:tcBorders>
              <w:bottom w:val="single" w:color="auto" w:sz="4" w:space="0"/>
            </w:tcBorders>
            <w:shd w:val="clear" w:color="000000" w:fill="FFFFFF"/>
            <w:tcMar>
              <w:left w:w="108" w:type="dxa"/>
              <w:right w:w="108" w:type="dxa"/>
            </w:tcMar>
          </w:tcPr>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0.2</w:t>
            </w:r>
            <w:r>
              <w:rPr>
                <w:rFonts w:ascii="Times New Roman" w:hAnsi="Times New Roman" w:eastAsia="Times New Roman" w:cs="Times New Roman"/>
                <w:color w:val="333333"/>
                <w:sz w:val="24"/>
                <w:shd w:val="clear" w:color="auto" w:fill="FFFFFF"/>
              </w:rPr>
              <w:sym w:font="Symbol" w:char="F0B1"/>
            </w:r>
            <w:r>
              <w:rPr>
                <w:rFonts w:ascii="Times New Roman" w:hAnsi="Times New Roman" w:eastAsia="Times New Roman" w:cs="Times New Roman"/>
                <w:color w:val="333333"/>
                <w:sz w:val="24"/>
                <w:shd w:val="clear" w:color="auto" w:fill="FFFFFF"/>
              </w:rPr>
              <w:t xml:space="preserve"> 0.01b</w:t>
            </w:r>
          </w:p>
        </w:tc>
      </w:tr>
    </w:tbl>
    <w:p>
      <w:pPr>
        <w:spacing w:line="360" w:lineRule="auto"/>
        <w:jc w:val="left"/>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 xml:space="preserve">Note: Number of cell clones: a </w:t>
      </w:r>
      <w:r>
        <w:rPr>
          <w:rFonts w:ascii="Times New Roman" w:hAnsi="Times New Roman" w:eastAsia="Times New Roman" w:cs="Times New Roman"/>
          <w:i/>
          <w:iCs/>
          <w:color w:val="333333"/>
          <w:sz w:val="24"/>
          <w:shd w:val="clear" w:color="auto" w:fill="FFFFFF"/>
        </w:rPr>
        <w:t>P</w:t>
      </w:r>
      <w:r>
        <w:rPr>
          <w:rFonts w:ascii="Times New Roman" w:hAnsi="Times New Roman" w:eastAsia="Times New Roman" w:cs="Times New Roman"/>
          <w:color w:val="333333"/>
          <w:sz w:val="24"/>
          <w:shd w:val="clear" w:color="auto" w:fill="FFFFFF"/>
        </w:rPr>
        <w:t xml:space="preserve">&lt;0.01 vs. negative control group; Clone formation rate; b </w:t>
      </w:r>
      <w:r>
        <w:rPr>
          <w:rFonts w:ascii="Times New Roman" w:hAnsi="Times New Roman" w:eastAsia="Times New Roman" w:cs="Times New Roman"/>
          <w:i/>
          <w:iCs/>
          <w:color w:val="333333"/>
          <w:sz w:val="24"/>
          <w:shd w:val="clear" w:color="auto" w:fill="FFFFFF"/>
        </w:rPr>
        <w:t>P</w:t>
      </w:r>
      <w:r>
        <w:rPr>
          <w:rFonts w:ascii="Times New Roman" w:hAnsi="Times New Roman" w:eastAsia="Times New Roman" w:cs="Times New Roman"/>
          <w:color w:val="333333"/>
          <w:sz w:val="24"/>
          <w:shd w:val="clear" w:color="auto" w:fill="FFFFFF"/>
        </w:rPr>
        <w:t xml:space="preserve">&lt;0.01vs. negative control group </w:t>
      </w:r>
      <w:r>
        <w:rPr>
          <w:rFonts w:ascii="Times New Roman" w:hAnsi="Times New Roman" w:eastAsia="Times New Roman" w:cs="Times New Roman"/>
          <w:color w:val="333333"/>
          <w:sz w:val="24"/>
          <w:shd w:val="clear" w:color="auto" w:fill="FFFFFF"/>
        </w:rPr>
        <w:object>
          <v:shape id="_x0000_i1029" o:spt="75" type="#_x0000_t75" style="height:192.85pt;width:316.15pt;" o:ole="t" filled="f" o:preferrelative="t" stroked="f" coordsize="21600,21600">
            <v:path/>
            <v:fill on="f" focussize="0,0"/>
            <v:stroke on="f" joinstyle="miter"/>
            <v:imagedata r:id="rId8" cropleft="16839f" croptop="16726f" cropright="19605f" o:title=""/>
            <o:lock v:ext="edit" aspectratio="t"/>
            <w10:wrap type="none"/>
            <w10:anchorlock/>
          </v:shape>
          <o:OLEObject Type="Embed" ProgID="StaticMetafile" ShapeID="_x0000_i1029" DrawAspect="Content" ObjectID="_1468075726" r:id="rId7">
            <o:LockedField>false</o:LockedField>
          </o:OLEObject>
        </w:object>
      </w:r>
    </w:p>
    <w:p>
      <w:pPr>
        <w:spacing w:line="360" w:lineRule="auto"/>
        <w:jc w:val="center"/>
        <w:rPr>
          <w:rFonts w:ascii="Times New Roman" w:hAnsi="Times New Roman" w:eastAsia="Times New Roman" w:cs="Times New Roman"/>
          <w:b w:val="0"/>
          <w:bCs w:val="0"/>
          <w:color w:val="333333"/>
          <w:sz w:val="24"/>
          <w:shd w:val="clear" w:color="auto" w:fill="FFFFFF"/>
        </w:rPr>
      </w:pPr>
      <w:r>
        <w:rPr>
          <w:rFonts w:ascii="Times New Roman" w:hAnsi="Times New Roman" w:eastAsia="Times New Roman" w:cs="Times New Roman"/>
          <w:b w:val="0"/>
          <w:bCs w:val="0"/>
          <w:color w:val="333333"/>
          <w:sz w:val="24"/>
          <w:shd w:val="clear" w:color="auto" w:fill="FFFFFF"/>
        </w:rPr>
        <w:t xml:space="preserve">Fig. 2 Effect of </w:t>
      </w:r>
      <w:r>
        <w:rPr>
          <w:rFonts w:hint="eastAsia" w:ascii="Times New Roman" w:hAnsi="Times New Roman" w:eastAsia="宋体" w:cs="Times New Roman"/>
          <w:b w:val="0"/>
          <w:bCs w:val="0"/>
          <w:color w:val="333333"/>
          <w:sz w:val="24"/>
          <w:shd w:val="clear" w:color="auto" w:fill="FFFFFF"/>
          <w:lang w:val="en-US" w:eastAsia="zh-CN"/>
        </w:rPr>
        <w:t>BRNP</w:t>
      </w:r>
      <w:r>
        <w:rPr>
          <w:rFonts w:ascii="Times New Roman" w:hAnsi="Times New Roman" w:eastAsia="Times New Roman" w:cs="Times New Roman"/>
          <w:b w:val="0"/>
          <w:bCs w:val="0"/>
          <w:color w:val="333333"/>
          <w:sz w:val="24"/>
          <w:shd w:val="clear" w:color="auto" w:fill="FFFFFF"/>
        </w:rPr>
        <w:t xml:space="preserve"> on the formation of lung cancer cells (</w:t>
      </w:r>
      <w:r>
        <w:rPr>
          <w:rFonts w:ascii="Times New Roman" w:hAnsi="Times New Roman" w:eastAsia="Times New Roman" w:cs="Times New Roman"/>
          <w:b w:val="0"/>
          <w:bCs w:val="0"/>
          <w:i/>
          <w:iCs/>
          <w:color w:val="333333"/>
          <w:sz w:val="24"/>
          <w:shd w:val="clear" w:color="auto" w:fill="FFFFFF"/>
        </w:rPr>
        <w:t>n</w:t>
      </w:r>
      <w:r>
        <w:rPr>
          <w:rFonts w:ascii="Times New Roman" w:hAnsi="Times New Roman" w:eastAsia="Times New Roman" w:cs="Times New Roman"/>
          <w:b w:val="0"/>
          <w:bCs w:val="0"/>
          <w:color w:val="333333"/>
          <w:sz w:val="24"/>
          <w:shd w:val="clear" w:color="auto" w:fill="FFFFFF"/>
        </w:rPr>
        <w:t xml:space="preserve"> = 3)</w:t>
      </w:r>
    </w:p>
    <w:p>
      <w:pPr>
        <w:spacing w:line="360" w:lineRule="auto"/>
        <w:rPr>
          <w:rFonts w:ascii="Times New Roman" w:hAnsi="Times New Roman" w:eastAsia="Times New Roman" w:cs="Times New Roman"/>
          <w:b/>
          <w:bCs/>
          <w:color w:val="333333"/>
          <w:sz w:val="24"/>
          <w:shd w:val="clear" w:color="auto" w:fill="FFFFFF"/>
        </w:rPr>
      </w:pPr>
      <w:r>
        <w:rPr>
          <w:rFonts w:hint="eastAsia" w:ascii="Times New Roman" w:hAnsi="Times New Roman" w:eastAsia="宋体" w:cs="Times New Roman"/>
          <w:b/>
          <w:bCs/>
          <w:color w:val="333333"/>
          <w:sz w:val="24"/>
          <w:shd w:val="clear" w:color="auto" w:fill="FFFFFF"/>
          <w:lang w:val="en-US" w:eastAsia="zh-CN"/>
        </w:rPr>
        <w:t>5</w:t>
      </w:r>
      <w:bookmarkStart w:id="0" w:name="_GoBack"/>
      <w:bookmarkEnd w:id="0"/>
      <w:r>
        <w:rPr>
          <w:rFonts w:hint="eastAsia" w:ascii="Times New Roman" w:hAnsi="Times New Roman" w:eastAsia="宋体" w:cs="Times New Roman"/>
          <w:b/>
          <w:bCs/>
          <w:color w:val="333333"/>
          <w:sz w:val="24"/>
          <w:shd w:val="clear" w:color="auto" w:fill="FFFFFF"/>
          <w:lang w:val="en-US" w:eastAsia="zh-CN"/>
        </w:rPr>
        <w:t>.</w:t>
      </w:r>
      <w:r>
        <w:rPr>
          <w:rFonts w:ascii="Times New Roman" w:hAnsi="Times New Roman" w:eastAsia="Times New Roman" w:cs="Times New Roman"/>
          <w:b/>
          <w:bCs/>
          <w:color w:val="333333"/>
          <w:sz w:val="24"/>
          <w:shd w:val="clear" w:color="auto" w:fill="FFFFFF"/>
        </w:rPr>
        <w:t xml:space="preserve">Effects of </w:t>
      </w:r>
      <w:r>
        <w:rPr>
          <w:rFonts w:hint="eastAsia" w:ascii="Times New Roman" w:hAnsi="Times New Roman" w:eastAsia="宋体" w:cs="Times New Roman"/>
          <w:b/>
          <w:bCs/>
          <w:color w:val="333333"/>
          <w:sz w:val="24"/>
          <w:shd w:val="clear" w:color="auto" w:fill="FFFFFF"/>
          <w:lang w:val="en-US" w:eastAsia="zh-CN"/>
        </w:rPr>
        <w:t>BRNP</w:t>
      </w:r>
      <w:r>
        <w:rPr>
          <w:rFonts w:ascii="Times New Roman" w:hAnsi="Times New Roman" w:eastAsia="Times New Roman" w:cs="Times New Roman"/>
          <w:b/>
          <w:bCs/>
          <w:color w:val="333333"/>
          <w:sz w:val="24"/>
          <w:shd w:val="clear" w:color="auto" w:fill="FFFFFF"/>
        </w:rPr>
        <w:t xml:space="preserve"> on A549 cell morphology</w:t>
      </w:r>
    </w:p>
    <w:p>
      <w:pPr>
        <w:spacing w:line="360" w:lineRule="auto"/>
        <w:ind w:firstLine="24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As shown in Fig. 1A, the cells had normal spindle shaped and dense growth. Fig. 1B shows changes in cell morphology, with most cells shrinking and their number decreasing. Fig. 1C presents the morphological changes; some cells were wrinkled, condensed, and rounded. As shown in Fig. 1D, a small number of cells exhibited morphological changes. In the negative control group, the cells grew slowly, and a small number of cells were wrinkled and round.</w:t>
      </w:r>
    </w:p>
    <w:p>
      <w:pPr>
        <w:spacing w:line="360" w:lineRule="auto"/>
        <w:jc w:val="center"/>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object>
          <v:shape id="_x0000_i1030" o:spt="75" type="#_x0000_t75" style="height:195.35pt;width:328.7pt;" o:ole="t" filled="f" o:preferrelative="t" stroked="f" coordsize="21600,21600">
            <v:path/>
            <v:fill on="f" focussize="0,0"/>
            <v:stroke on="f" joinstyle="miter"/>
            <v:imagedata r:id="rId10" cropleft="19133f" croptop="21685f" cropright="21369f" o:title=""/>
            <o:lock v:ext="edit" aspectratio="t"/>
            <w10:wrap type="none"/>
            <w10:anchorlock/>
          </v:shape>
          <o:OLEObject Type="Embed" ProgID="StaticMetafile" ShapeID="_x0000_i1030" DrawAspect="Content" ObjectID="_1468075727" r:id="rId9">
            <o:LockedField>false</o:LockedField>
          </o:OLEObject>
        </w:object>
      </w:r>
    </w:p>
    <w:p>
      <w:pPr>
        <w:spacing w:line="360" w:lineRule="auto"/>
        <w:jc w:val="center"/>
        <w:rPr>
          <w:rFonts w:ascii="Times New Roman" w:hAnsi="Times New Roman" w:eastAsia="Times New Roman" w:cs="Times New Roman"/>
          <w:b w:val="0"/>
          <w:bCs w:val="0"/>
          <w:color w:val="333333"/>
          <w:sz w:val="24"/>
          <w:shd w:val="clear" w:color="auto" w:fill="FFFFFF"/>
        </w:rPr>
      </w:pPr>
      <w:r>
        <w:rPr>
          <w:rFonts w:ascii="Times New Roman" w:hAnsi="Times New Roman" w:eastAsia="Times New Roman" w:cs="Times New Roman"/>
          <w:b w:val="0"/>
          <w:bCs w:val="0"/>
          <w:color w:val="333333"/>
          <w:sz w:val="24"/>
          <w:shd w:val="clear" w:color="auto" w:fill="FFFFFF"/>
        </w:rPr>
        <w:t>Fig. 1 Morphological changes in A549 cells under an inverted microscope (n=3)</w:t>
      </w:r>
    </w:p>
    <w:p>
      <w:pPr>
        <w:spacing w:line="360" w:lineRule="auto"/>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Note: Fig. A negative control group (no drug intervention); Fig. B cisplatin group (10 µg/mL); Fig. C BRNP (400 µg/mL); Fig. D Combined group (400 µg/mL BRNP + 10 µg/mL cisplatin, dose halved)</w:t>
      </w:r>
    </w:p>
    <w:p>
      <w:pPr>
        <w:spacing w:line="360" w:lineRule="auto"/>
        <w:rPr>
          <w:rFonts w:ascii="Times New Roman" w:hAnsi="Times New Roman" w:eastAsia="Times New Roman" w:cs="Times New Roman"/>
          <w:b/>
          <w:bCs/>
          <w:color w:val="333333"/>
          <w:sz w:val="24"/>
          <w:shd w:val="clear" w:color="auto" w:fill="FFFFFF"/>
        </w:rPr>
      </w:pPr>
      <w:r>
        <w:rPr>
          <w:rFonts w:hint="eastAsia" w:ascii="Times New Roman" w:hAnsi="Times New Roman" w:eastAsia="宋体" w:cs="Times New Roman"/>
          <w:b/>
          <w:bCs/>
          <w:color w:val="333333"/>
          <w:sz w:val="24"/>
          <w:shd w:val="clear" w:color="auto" w:fill="FFFFFF"/>
          <w:lang w:val="en-US" w:eastAsia="zh-CN"/>
        </w:rPr>
        <w:t>7.</w:t>
      </w:r>
      <w:r>
        <w:rPr>
          <w:rFonts w:ascii="Times New Roman" w:hAnsi="Times New Roman" w:eastAsia="Times New Roman" w:cs="Times New Roman"/>
          <w:b/>
          <w:bCs/>
          <w:color w:val="333333"/>
          <w:sz w:val="24"/>
          <w:shd w:val="clear" w:color="auto" w:fill="FFFFFF"/>
        </w:rPr>
        <w:t>Cell culture</w:t>
      </w:r>
    </w:p>
    <w:p>
      <w:pPr>
        <w:spacing w:line="360" w:lineRule="auto"/>
        <w:ind w:firstLine="240"/>
        <w:rPr>
          <w:rFonts w:ascii="Times New Roman" w:hAnsi="Times New Roman" w:eastAsia="Times New Roman" w:cs="Times New Roman"/>
          <w:color w:val="333333"/>
          <w:sz w:val="24"/>
          <w:shd w:val="clear" w:color="auto" w:fill="FFFFFF"/>
        </w:rPr>
      </w:pPr>
      <w:r>
        <w:rPr>
          <w:rFonts w:ascii="Times New Roman" w:hAnsi="Times New Roman" w:eastAsia="Times New Roman" w:cs="Times New Roman"/>
          <w:color w:val="333333"/>
          <w:sz w:val="24"/>
          <w:shd w:val="clear" w:color="auto" w:fill="FFFFFF"/>
        </w:rPr>
        <w:t>The bottle of cells was removed from liquid nitrogen tank, rapidly dissolved by thawing in a 37 ℃ water bath pot, in frozen storage tube surface spraying 75% alcohol to get to work station. The  thawed cell suspension was transferred into a 15 mL centrifuge tube with a 1000 µL pipette gun, added with 3 mL, cultured completely, and centrifuged (1000 r/min, 5 min). The supernatant was discarded, to join in centrifuge tube 2 mL culture completely. to beat evenly, remove the cell suspension to T25 cells culture in a bottle, then add 3 mL culture completely, with eight blending method ensures equal distribution of cells. The cells were labeled, and their morphological characteristics were observed under a microscope. The surface of the culture bottle was sprayed with 75% alcohol, and it was placed in an incubator (37 ℃, 5% CO</w:t>
      </w:r>
      <w:r>
        <w:rPr>
          <w:rFonts w:ascii="Times New Roman" w:hAnsi="Times New Roman" w:eastAsia="Times New Roman" w:cs="Times New Roman"/>
          <w:color w:val="333333"/>
          <w:sz w:val="24"/>
          <w:shd w:val="clear" w:color="auto" w:fill="FFFFFF"/>
          <w:vertAlign w:val="subscript"/>
        </w:rPr>
        <w:t>2</w:t>
      </w:r>
      <w:r>
        <w:rPr>
          <w:rFonts w:ascii="Times New Roman" w:hAnsi="Times New Roman" w:eastAsia="Times New Roman" w:cs="Times New Roman"/>
          <w:color w:val="333333"/>
          <w:sz w:val="24"/>
          <w:shd w:val="clear" w:color="auto" w:fill="FFFFFF"/>
        </w:rPr>
        <w:t>) for culture.</w:t>
      </w:r>
    </w:p>
    <w:p>
      <w:pPr>
        <w:spacing w:line="360" w:lineRule="auto"/>
        <w:rPr>
          <w:rFonts w:ascii="Times New Roman" w:hAnsi="Times New Roman" w:eastAsia="Times New Roman" w:cs="Times New Roman"/>
          <w:color w:val="333333"/>
          <w:sz w:val="24"/>
          <w:shd w:val="clear" w:color="auto" w:fill="FFFFFF"/>
        </w:rPr>
      </w:pPr>
    </w:p>
    <w:p>
      <w:pPr>
        <w:jc w:val="center"/>
        <w:rPr>
          <w:rFonts w:ascii="Times New Roman" w:hAnsi="Times New Roman" w:eastAsia="Times New Roman" w:cs="Times New Roman"/>
          <w:b/>
          <w:bCs/>
          <w:color w:val="333333"/>
          <w:sz w:val="24"/>
          <w:shd w:val="clear" w:color="auto" w:fill="FFFFFF"/>
        </w:rPr>
      </w:pPr>
    </w:p>
    <w:p>
      <w:pPr>
        <w:spacing w:line="360" w:lineRule="auto"/>
        <w:rPr>
          <w:rFonts w:ascii="Times New Roman" w:hAnsi="Times New Roman" w:eastAsia="Times New Roman" w:cs="Times New Roman"/>
          <w:color w:val="333333"/>
          <w:sz w:val="24"/>
          <w:shd w:val="clear" w:color="auto" w:fill="FFFFFF"/>
        </w:rPr>
      </w:pPr>
    </w:p>
    <w:p>
      <w:pPr>
        <w:numPr>
          <w:numId w:val="0"/>
        </w:num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ZmMDViNmY3MGEwN2U1MTY2ZTJhYmE4ODNhMjBmYjMifQ=="/>
  </w:docVars>
  <w:rsids>
    <w:rsidRoot w:val="279640B3"/>
    <w:rsid w:val="0ACC485F"/>
    <w:rsid w:val="16832BBD"/>
    <w:rsid w:val="279640B3"/>
    <w:rsid w:val="2C820F08"/>
    <w:rsid w:val="31833800"/>
    <w:rsid w:val="358D0E53"/>
    <w:rsid w:val="400A0418"/>
    <w:rsid w:val="449F47B6"/>
    <w:rsid w:val="44B00772"/>
    <w:rsid w:val="4D995DEB"/>
    <w:rsid w:val="5F9E12C6"/>
    <w:rsid w:val="5FFF2100"/>
    <w:rsid w:val="73B323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3.bin"/><Relationship Id="rId8" Type="http://schemas.openxmlformats.org/officeDocument/2006/relationships/image" Target="media/image3.png"/><Relationship Id="rId7" Type="http://schemas.openxmlformats.org/officeDocument/2006/relationships/oleObject" Target="embeddings/oleObject2.bin"/><Relationship Id="rId6" Type="http://schemas.openxmlformats.org/officeDocument/2006/relationships/image" Target="media/image2.png"/><Relationship Id="rId5" Type="http://schemas.openxmlformats.org/officeDocument/2006/relationships/oleObject" Target="embeddings/oleObject1.bin"/><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771</Words>
  <Characters>3932</Characters>
  <Lines>0</Lines>
  <Paragraphs>0</Paragraphs>
  <TotalTime>2</TotalTime>
  <ScaleCrop>false</ScaleCrop>
  <LinksUpToDate>false</LinksUpToDate>
  <CharactersWithSpaces>4639</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2022-08-28T04:36:00Z</dcterms:created>
  <dc:creator>mzl</dc:creator>
  <cp:lastModifiedBy>mzl</cp:lastModifiedBy>
  <dcterms:modified xsi:type="dcterms:W3CDTF">2022-08-28T08:30:46Z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E186E779077746CC8F4C276A8D9CAB0F</vt:lpwstr>
  </property>
</Properties>
</file>