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D20" w:rsidRDefault="00E01D20" w:rsidP="00E01D20">
      <w:pPr>
        <w:spacing w:after="0" w:line="240" w:lineRule="auto"/>
        <w:rPr>
          <w:rFonts w:ascii="Times New Roman" w:eastAsia="Malgun Gothic" w:hAnsi="Times New Roman" w:cs="Times New Roman"/>
        </w:rPr>
      </w:pPr>
      <w:r>
        <w:rPr>
          <w:rFonts w:ascii="Times New Roman" w:eastAsia="Malgun Gothic" w:hAnsi="Times New Roman" w:cs="Times New Roman"/>
          <w:lang w:eastAsia="ko-KR"/>
        </w:rPr>
        <w:t xml:space="preserve">Supplemental </w:t>
      </w:r>
      <w:r w:rsidRPr="00847042">
        <w:rPr>
          <w:rFonts w:ascii="Times New Roman" w:eastAsia="Malgun Gothic" w:hAnsi="Times New Roman" w:cs="Times New Roman"/>
          <w:lang w:eastAsia="ko-KR"/>
        </w:rPr>
        <w:t xml:space="preserve">Table 1. </w:t>
      </w:r>
      <w:r w:rsidRPr="00847042">
        <w:rPr>
          <w:rFonts w:ascii="Times New Roman" w:eastAsia="Malgun Gothic" w:hAnsi="Times New Roman" w:cs="Times New Roman"/>
        </w:rPr>
        <w:t xml:space="preserve">Demographics, past medical history, course, and outcomes of veno-arterial (VA) and veno-venous (VV) extracorporeal membrane oxygenation (ECMO) patients with </w:t>
      </w:r>
      <w:r>
        <w:rPr>
          <w:rFonts w:ascii="Times New Roman" w:eastAsia="Malgun Gothic" w:hAnsi="Times New Roman" w:cs="Times New Roman"/>
        </w:rPr>
        <w:t xml:space="preserve">(+) </w:t>
      </w:r>
      <w:r w:rsidRPr="00847042">
        <w:rPr>
          <w:rFonts w:ascii="Times New Roman" w:eastAsia="Malgun Gothic" w:hAnsi="Times New Roman" w:cs="Times New Roman"/>
        </w:rPr>
        <w:t xml:space="preserve">and without </w:t>
      </w:r>
      <w:r>
        <w:rPr>
          <w:rFonts w:ascii="Times New Roman" w:eastAsia="Malgun Gothic" w:hAnsi="Times New Roman" w:cs="Times New Roman"/>
        </w:rPr>
        <w:t xml:space="preserve">(-) </w:t>
      </w:r>
      <w:r w:rsidRPr="00847042">
        <w:rPr>
          <w:rFonts w:ascii="Times New Roman" w:eastAsia="Malgun Gothic" w:hAnsi="Times New Roman" w:cs="Times New Roman"/>
        </w:rPr>
        <w:t xml:space="preserve">brain death (BD). </w:t>
      </w:r>
      <w:r w:rsidRPr="00847042">
        <w:rPr>
          <w:rFonts w:ascii="Times New Roman" w:hAnsi="Times New Roman" w:cs="Times New Roman"/>
        </w:rPr>
        <w:t xml:space="preserve">Results are presented as N (%) or median (IQR) as appropriate. </w:t>
      </w:r>
      <w:r w:rsidRPr="00847042">
        <w:rPr>
          <w:rFonts w:ascii="Times New Roman" w:eastAsia="Malgun Gothic" w:hAnsi="Times New Roman" w:cs="Times New Roman"/>
        </w:rPr>
        <w:t>Chi-squared or Fisher’s exact and Wilcoxon rank-sum tests were applied for binary and continuous variables, respectively.</w:t>
      </w:r>
    </w:p>
    <w:p w:rsidR="00E01D20" w:rsidRPr="00847042" w:rsidRDefault="00E01D20" w:rsidP="00E01D20">
      <w:pPr>
        <w:spacing w:after="0" w:line="240" w:lineRule="auto"/>
        <w:rPr>
          <w:rFonts w:ascii="Times New Roman" w:eastAsia="Malgun Gothic" w:hAnsi="Times New Roman" w:cs="Times New Roman"/>
        </w:rPr>
      </w:pPr>
      <w:r w:rsidRPr="00847042">
        <w:rPr>
          <w:rFonts w:ascii="Times New Roman" w:hAnsi="Times New Roman" w:cs="Times New Roman"/>
        </w:rPr>
        <w:t xml:space="preserve"> </w:t>
      </w:r>
    </w:p>
    <w:tbl>
      <w:tblPr>
        <w:tblStyle w:val="TableGridLight1"/>
        <w:tblW w:w="11936" w:type="dxa"/>
        <w:tblInd w:w="-1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1"/>
        <w:gridCol w:w="1449"/>
        <w:gridCol w:w="1440"/>
        <w:gridCol w:w="866"/>
        <w:gridCol w:w="1440"/>
        <w:gridCol w:w="1440"/>
        <w:gridCol w:w="720"/>
      </w:tblGrid>
      <w:tr w:rsidR="00E01D20" w:rsidRPr="00847042" w:rsidTr="00CB1F2F">
        <w:trPr>
          <w:trHeight w:hRule="exact" w:val="252"/>
        </w:trPr>
        <w:tc>
          <w:tcPr>
            <w:tcW w:w="4581" w:type="dxa"/>
            <w:shd w:val="clear" w:color="auto" w:fill="BFBFBF" w:themeFill="background1" w:themeFillShade="BF"/>
            <w:noWrap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755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b/>
                <w:color w:val="000000"/>
              </w:rPr>
              <w:t>VA-ECMO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(n=199)</w:t>
            </w:r>
          </w:p>
        </w:tc>
        <w:tc>
          <w:tcPr>
            <w:tcW w:w="3600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b/>
                <w:color w:val="000000"/>
              </w:rPr>
              <w:t>VV-ECMO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(n=101)</w:t>
            </w:r>
          </w:p>
        </w:tc>
      </w:tr>
      <w:tr w:rsidR="00E01D20" w:rsidRPr="00847042" w:rsidTr="00CB1F2F">
        <w:trPr>
          <w:trHeight w:hRule="exact" w:val="271"/>
        </w:trPr>
        <w:tc>
          <w:tcPr>
            <w:tcW w:w="4581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b/>
                <w:color w:val="000000"/>
              </w:rPr>
              <w:t>BD -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(n=195</w:t>
            </w:r>
            <w:r w:rsidRPr="0084704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)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b/>
                <w:color w:val="000000"/>
              </w:rPr>
              <w:t>BD +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(n=4</w:t>
            </w:r>
            <w:r w:rsidRPr="0084704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) 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b/>
                <w:color w:val="000000"/>
              </w:rPr>
              <w:t>p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b/>
                <w:color w:val="000000"/>
              </w:rPr>
              <w:t>BD -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47042">
              <w:rPr>
                <w:rFonts w:ascii="Times New Roman" w:eastAsia="Times New Roman" w:hAnsi="Times New Roman" w:cs="Times New Roman"/>
                <w:b/>
                <w:color w:val="000000"/>
              </w:rPr>
              <w:t>(n=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97</w:t>
            </w:r>
            <w:r w:rsidRPr="0084704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)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b/>
                <w:color w:val="000000"/>
              </w:rPr>
              <w:t>BD +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847042">
              <w:rPr>
                <w:rFonts w:ascii="Times New Roman" w:eastAsia="Times New Roman" w:hAnsi="Times New Roman" w:cs="Times New Roman"/>
                <w:b/>
                <w:color w:val="000000"/>
              </w:rPr>
              <w:t>(n=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  <w:r w:rsidRPr="0084704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) 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b/>
                <w:color w:val="000000"/>
              </w:rPr>
              <w:t>p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  <w:tcBorders>
              <w:top w:val="single" w:sz="4" w:space="0" w:color="auto"/>
            </w:tcBorders>
            <w:noWrap/>
          </w:tcPr>
          <w:p w:rsidR="00E01D20" w:rsidRPr="00847042" w:rsidRDefault="00E01D20" w:rsidP="00CB1F2F">
            <w:pPr>
              <w:ind w:left="72" w:hanging="72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i/>
                <w:color w:val="000000"/>
              </w:rPr>
              <w:t>Demographics</w:t>
            </w: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  <w:noWrap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Age, median (IQR)</w:t>
            </w:r>
          </w:p>
        </w:tc>
        <w:tc>
          <w:tcPr>
            <w:tcW w:w="1449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(48-68)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(42-47)</w:t>
            </w:r>
          </w:p>
        </w:tc>
        <w:tc>
          <w:tcPr>
            <w:tcW w:w="866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 (38-58)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 (44-53)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  <w:noWrap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 (63.6%)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(50.0%)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 (63.9%)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(75.0%)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  <w:noWrap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Race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  <w:noWrap/>
          </w:tcPr>
          <w:p w:rsidR="00E01D20" w:rsidRPr="00847042" w:rsidRDefault="00E01D20" w:rsidP="00CB1F2F">
            <w:pPr>
              <w:ind w:left="216"/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White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116 (59.5%)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(50.0%)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(39.2%)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(75.0%)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  <w:noWrap/>
          </w:tcPr>
          <w:p w:rsidR="00E01D20" w:rsidRPr="00847042" w:rsidRDefault="00E01D20" w:rsidP="00CB1F2F">
            <w:pPr>
              <w:ind w:left="216"/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Black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 (28.2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(25.0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(34.0%)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  <w:noWrap/>
          </w:tcPr>
          <w:p w:rsidR="00E01D20" w:rsidRPr="00847042" w:rsidRDefault="00E01D20" w:rsidP="00CB1F2F">
            <w:pPr>
              <w:ind w:left="216"/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Hispanic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 (1.5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(20.6%)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(25.0%)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  <w:noWrap/>
          </w:tcPr>
          <w:p w:rsidR="00E01D20" w:rsidRPr="00847042" w:rsidRDefault="00E01D20" w:rsidP="00CB1F2F">
            <w:pPr>
              <w:ind w:left="216"/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Asian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 (4.6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(25.0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(3.1%)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  <w:noWrap/>
          </w:tcPr>
          <w:p w:rsidR="00E01D20" w:rsidRPr="00847042" w:rsidRDefault="00E01D20" w:rsidP="00CB1F2F">
            <w:pPr>
              <w:ind w:left="216"/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Other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 (6.2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(3.1%)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  <w:noWrap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i/>
                <w:color w:val="000000"/>
              </w:rPr>
              <w:t>Past Medical History</w:t>
            </w:r>
          </w:p>
        </w:tc>
        <w:tc>
          <w:tcPr>
            <w:tcW w:w="1449" w:type="dxa"/>
            <w:vAlign w:val="center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6" w:type="dxa"/>
            <w:vAlign w:val="center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  <w:hideMark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 xml:space="preserve">Diabetes mellitus 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 (32.1%)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(15.5%)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(25.0%)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  <w:hideMark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 xml:space="preserve">Hypertension 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 (70.3%)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(50.0%)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(42.3%)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Hyperlipidemia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 (51.8%)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(50.0%)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(36.1%)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Congestive heart failure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(29.2%)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(75.0%)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(2.1%)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Chronic kidney disease (Stage 3+)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(14.4%)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(5.2%)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  <w:hideMark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 xml:space="preserve">Atrial fibrillation 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(23.6%)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(75.0%)</w:t>
            </w:r>
          </w:p>
        </w:tc>
        <w:tc>
          <w:tcPr>
            <w:tcW w:w="866" w:type="dxa"/>
            <w:vAlign w:val="bottom"/>
          </w:tcPr>
          <w:p w:rsidR="00E01D20" w:rsidRPr="00145953" w:rsidRDefault="00E01D20" w:rsidP="00CB1F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953">
              <w:rPr>
                <w:rFonts w:ascii="Times New Roman" w:hAnsi="Times New Roman" w:cs="Times New Roman"/>
                <w:b/>
              </w:rPr>
              <w:t>0.047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(2.1%)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Prior intracranial hemorrhage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(1.5%)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(2.1%)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  <w:hideMark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 xml:space="preserve">Prior ischemic stroke 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(8.2%)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(4.1%)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Anti-coagulant therapy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(21.5%)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(25.0%)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(11.3%)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Anti-platelet therapy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 (47.2%)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(50.0%)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(13.4%)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Intra-aortic balloon pump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 (38.5%)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(50.0%)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(1.0%)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Left ventricular assist device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 (6.7%)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(25.0%)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Impella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 (7.2%)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F96C44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6C44">
              <w:rPr>
                <w:rFonts w:ascii="Times New Roman" w:eastAsia="Times New Roman" w:hAnsi="Times New Roman" w:cs="Times New Roman"/>
                <w:i/>
                <w:color w:val="000000"/>
              </w:rPr>
              <w:t>VA Indication</w:t>
            </w:r>
          </w:p>
        </w:tc>
        <w:tc>
          <w:tcPr>
            <w:tcW w:w="1449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F96C44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Intra-operative p</w:t>
            </w:r>
            <w:r w:rsidRPr="00F96C44">
              <w:rPr>
                <w:rFonts w:ascii="Times New Roman" w:eastAsia="Times New Roman" w:hAnsi="Times New Roman" w:cs="Times New Roman"/>
                <w:color w:val="000000"/>
              </w:rPr>
              <w:t>ost-cardiotomy shock</w:t>
            </w:r>
          </w:p>
        </w:tc>
        <w:tc>
          <w:tcPr>
            <w:tcW w:w="1449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(25.6%)</w:t>
            </w:r>
          </w:p>
        </w:tc>
        <w:tc>
          <w:tcPr>
            <w:tcW w:w="1440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(25.0%)</w:t>
            </w:r>
          </w:p>
        </w:tc>
        <w:tc>
          <w:tcPr>
            <w:tcW w:w="866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F96C44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Post-operative post-cardiotomy shock</w:t>
            </w:r>
          </w:p>
        </w:tc>
        <w:tc>
          <w:tcPr>
            <w:tcW w:w="1449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(23.6%)</w:t>
            </w:r>
          </w:p>
        </w:tc>
        <w:tc>
          <w:tcPr>
            <w:tcW w:w="1440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(50.0%)</w:t>
            </w:r>
          </w:p>
        </w:tc>
        <w:tc>
          <w:tcPr>
            <w:tcW w:w="866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F96C44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6C44">
              <w:rPr>
                <w:rFonts w:ascii="Times New Roman" w:eastAsia="Times New Roman" w:hAnsi="Times New Roman" w:cs="Times New Roman"/>
                <w:color w:val="000000"/>
              </w:rPr>
              <w:t>Acute ischemic cardiomyopathy</w:t>
            </w:r>
          </w:p>
        </w:tc>
        <w:tc>
          <w:tcPr>
            <w:tcW w:w="1449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(14.9%)</w:t>
            </w:r>
          </w:p>
        </w:tc>
        <w:tc>
          <w:tcPr>
            <w:tcW w:w="1440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6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F96C44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6C44">
              <w:rPr>
                <w:rFonts w:ascii="Times New Roman" w:eastAsia="Times New Roman" w:hAnsi="Times New Roman" w:cs="Times New Roman"/>
                <w:color w:val="000000"/>
              </w:rPr>
              <w:t>Chronic ischemic cardiomyopathy</w:t>
            </w:r>
          </w:p>
        </w:tc>
        <w:tc>
          <w:tcPr>
            <w:tcW w:w="1449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(3.6%)</w:t>
            </w:r>
          </w:p>
        </w:tc>
        <w:tc>
          <w:tcPr>
            <w:tcW w:w="1440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6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F96C44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6C44">
              <w:rPr>
                <w:rFonts w:ascii="Times New Roman" w:eastAsia="Times New Roman" w:hAnsi="Times New Roman" w:cs="Times New Roman"/>
                <w:color w:val="000000"/>
              </w:rPr>
              <w:t>Non ischemic cardiomyopathy</w:t>
            </w:r>
          </w:p>
        </w:tc>
        <w:tc>
          <w:tcPr>
            <w:tcW w:w="1449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(15.4%)</w:t>
            </w:r>
          </w:p>
        </w:tc>
        <w:tc>
          <w:tcPr>
            <w:tcW w:w="1440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6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F96C44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6C44">
              <w:rPr>
                <w:rFonts w:ascii="Times New Roman" w:eastAsia="Times New Roman" w:hAnsi="Times New Roman" w:cs="Times New Roman"/>
                <w:color w:val="000000"/>
              </w:rPr>
              <w:t>Cardiac arrhythmia</w:t>
            </w:r>
          </w:p>
        </w:tc>
        <w:tc>
          <w:tcPr>
            <w:tcW w:w="1449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(6.7%)</w:t>
            </w:r>
          </w:p>
        </w:tc>
        <w:tc>
          <w:tcPr>
            <w:tcW w:w="1440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6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F96C44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6C44">
              <w:rPr>
                <w:rFonts w:ascii="Times New Roman" w:eastAsia="Times New Roman" w:hAnsi="Times New Roman" w:cs="Times New Roman"/>
                <w:color w:val="000000"/>
              </w:rPr>
              <w:t>Pulmonary embolism</w:t>
            </w:r>
          </w:p>
        </w:tc>
        <w:tc>
          <w:tcPr>
            <w:tcW w:w="1449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(3.1%)</w:t>
            </w:r>
          </w:p>
        </w:tc>
        <w:tc>
          <w:tcPr>
            <w:tcW w:w="1440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6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F96C44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Bridge to heart transplant</w:t>
            </w:r>
          </w:p>
        </w:tc>
        <w:tc>
          <w:tcPr>
            <w:tcW w:w="1449" w:type="dxa"/>
            <w:vAlign w:val="center"/>
          </w:tcPr>
          <w:p w:rsidR="00E01D20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(2.1%)</w:t>
            </w:r>
          </w:p>
        </w:tc>
        <w:tc>
          <w:tcPr>
            <w:tcW w:w="1440" w:type="dxa"/>
            <w:vAlign w:val="center"/>
          </w:tcPr>
          <w:p w:rsidR="00E01D20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6" w:type="dxa"/>
            <w:vAlign w:val="center"/>
          </w:tcPr>
          <w:p w:rsidR="00E01D20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F96C44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6C44">
              <w:rPr>
                <w:rFonts w:ascii="Times New Roman" w:eastAsia="Times New Roman" w:hAnsi="Times New Roman" w:cs="Times New Roman"/>
                <w:color w:val="000000"/>
              </w:rPr>
              <w:t>Post heart transplant</w:t>
            </w:r>
          </w:p>
        </w:tc>
        <w:tc>
          <w:tcPr>
            <w:tcW w:w="1449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(4.6%)</w:t>
            </w:r>
          </w:p>
        </w:tc>
        <w:tc>
          <w:tcPr>
            <w:tcW w:w="1440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(25.0%)</w:t>
            </w:r>
          </w:p>
        </w:tc>
        <w:tc>
          <w:tcPr>
            <w:tcW w:w="866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D20" w:rsidRPr="00847042" w:rsidTr="00CB1F2F">
        <w:trPr>
          <w:trHeight w:hRule="exact" w:val="279"/>
        </w:trPr>
        <w:tc>
          <w:tcPr>
            <w:tcW w:w="4581" w:type="dxa"/>
          </w:tcPr>
          <w:p w:rsidR="00E01D20" w:rsidRPr="00F96C44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6C44">
              <w:rPr>
                <w:rFonts w:ascii="Times New Roman" w:eastAsia="Times New Roman" w:hAnsi="Times New Roman" w:cs="Times New Roman"/>
                <w:color w:val="000000"/>
              </w:rPr>
              <w:t>Distributive shock</w:t>
            </w:r>
          </w:p>
        </w:tc>
        <w:tc>
          <w:tcPr>
            <w:tcW w:w="1449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(0.5%)</w:t>
            </w:r>
          </w:p>
        </w:tc>
        <w:tc>
          <w:tcPr>
            <w:tcW w:w="1440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6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F96C44" w:rsidRDefault="00E01D20" w:rsidP="00CB1F2F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F96C44">
              <w:rPr>
                <w:rFonts w:ascii="Times New Roman" w:eastAsia="Times New Roman" w:hAnsi="Times New Roman" w:cs="Times New Roman"/>
                <w:i/>
                <w:color w:val="000000"/>
              </w:rPr>
              <w:t>VV Indication</w:t>
            </w:r>
          </w:p>
        </w:tc>
        <w:tc>
          <w:tcPr>
            <w:tcW w:w="1449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F96C44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6C44">
              <w:rPr>
                <w:rFonts w:ascii="Times New Roman" w:eastAsia="Times New Roman" w:hAnsi="Times New Roman" w:cs="Times New Roman"/>
                <w:color w:val="000000"/>
              </w:rPr>
              <w:t>Acute respiratory distress syndrome</w:t>
            </w:r>
          </w:p>
        </w:tc>
        <w:tc>
          <w:tcPr>
            <w:tcW w:w="1449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 (80.4%)</w:t>
            </w: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(100.0%)</w:t>
            </w:r>
          </w:p>
        </w:tc>
        <w:tc>
          <w:tcPr>
            <w:tcW w:w="72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F96C44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6C44">
              <w:rPr>
                <w:rFonts w:ascii="Times New Roman" w:eastAsia="Times New Roman" w:hAnsi="Times New Roman" w:cs="Times New Roman"/>
                <w:color w:val="000000"/>
              </w:rPr>
              <w:t>Bacterial pneumonia</w:t>
            </w:r>
          </w:p>
        </w:tc>
        <w:tc>
          <w:tcPr>
            <w:tcW w:w="1449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F96C44" w:rsidRDefault="00E01D20" w:rsidP="00CB1F2F">
            <w:pPr>
              <w:ind w:right="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12 (12.4%)</w:t>
            </w: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F96C44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COVID-19</w:t>
            </w:r>
            <w:r w:rsidRPr="00F96C44">
              <w:rPr>
                <w:rFonts w:ascii="Times New Roman" w:eastAsia="Times New Roman" w:hAnsi="Times New Roman" w:cs="Times New Roman"/>
                <w:color w:val="000000"/>
              </w:rPr>
              <w:t xml:space="preserve"> pneumonia</w:t>
            </w:r>
          </w:p>
        </w:tc>
        <w:tc>
          <w:tcPr>
            <w:tcW w:w="1449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F96C44" w:rsidRDefault="00E01D20" w:rsidP="00CB1F2F">
            <w:pPr>
              <w:ind w:right="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50 (51.6%)</w:t>
            </w: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(100.0%)</w:t>
            </w:r>
          </w:p>
        </w:tc>
        <w:tc>
          <w:tcPr>
            <w:tcW w:w="72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F96C44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Other viral pneumonia</w:t>
            </w:r>
          </w:p>
        </w:tc>
        <w:tc>
          <w:tcPr>
            <w:tcW w:w="1449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Default="00E01D20" w:rsidP="00CB1F2F">
            <w:pPr>
              <w:ind w:right="3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 (2.1%)</w:t>
            </w:r>
          </w:p>
        </w:tc>
        <w:tc>
          <w:tcPr>
            <w:tcW w:w="1440" w:type="dxa"/>
          </w:tcPr>
          <w:p w:rsidR="00E01D20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F96C44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Fungal pneumonia</w:t>
            </w:r>
          </w:p>
        </w:tc>
        <w:tc>
          <w:tcPr>
            <w:tcW w:w="1449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F96C44" w:rsidRDefault="00E01D20" w:rsidP="00CB1F2F">
            <w:pPr>
              <w:ind w:right="3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 (2.1%)</w:t>
            </w: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F96C44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6C44">
              <w:rPr>
                <w:rFonts w:ascii="Times New Roman" w:eastAsia="Times New Roman" w:hAnsi="Times New Roman" w:cs="Times New Roman"/>
                <w:color w:val="000000"/>
              </w:rPr>
              <w:t>Pulmonary embolism</w:t>
            </w:r>
          </w:p>
        </w:tc>
        <w:tc>
          <w:tcPr>
            <w:tcW w:w="1449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F96C44" w:rsidRDefault="00E01D20" w:rsidP="00CB1F2F">
            <w:pPr>
              <w:ind w:right="3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 (3.1%)</w:t>
            </w: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F96C44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Septic shock</w:t>
            </w:r>
          </w:p>
        </w:tc>
        <w:tc>
          <w:tcPr>
            <w:tcW w:w="1449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F96C44" w:rsidRDefault="00E01D20" w:rsidP="00CB1F2F">
            <w:pPr>
              <w:ind w:right="3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 (2.1%)</w:t>
            </w: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F96C44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Pancreatitis</w:t>
            </w:r>
          </w:p>
        </w:tc>
        <w:tc>
          <w:tcPr>
            <w:tcW w:w="1449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F96C44" w:rsidRDefault="00E01D20" w:rsidP="00CB1F2F">
            <w:pPr>
              <w:ind w:right="3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(1.0%)</w:t>
            </w: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F96C44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6C44">
              <w:rPr>
                <w:rFonts w:ascii="Times New Roman" w:eastAsia="Times New Roman" w:hAnsi="Times New Roman" w:cs="Times New Roman"/>
                <w:color w:val="000000"/>
              </w:rPr>
              <w:t>Aspiration pneumonitis</w:t>
            </w:r>
          </w:p>
        </w:tc>
        <w:tc>
          <w:tcPr>
            <w:tcW w:w="1449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F96C44" w:rsidRDefault="00E01D20" w:rsidP="00CB1F2F">
            <w:pPr>
              <w:ind w:right="3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 (3.1%)</w:t>
            </w: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F96C44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Other</w:t>
            </w:r>
          </w:p>
        </w:tc>
        <w:tc>
          <w:tcPr>
            <w:tcW w:w="1449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Default="00E01D20" w:rsidP="00CB1F2F">
            <w:pPr>
              <w:ind w:right="3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 (3.1%)</w:t>
            </w:r>
          </w:p>
        </w:tc>
        <w:tc>
          <w:tcPr>
            <w:tcW w:w="1440" w:type="dxa"/>
          </w:tcPr>
          <w:p w:rsidR="00E01D20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E01D20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F96C44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Bridge to l</w:t>
            </w:r>
            <w:r w:rsidRPr="00F96C44">
              <w:rPr>
                <w:rFonts w:ascii="Times New Roman" w:eastAsia="Times New Roman" w:hAnsi="Times New Roman" w:cs="Times New Roman"/>
                <w:color w:val="000000"/>
              </w:rPr>
              <w:t>ung transplant</w:t>
            </w:r>
          </w:p>
        </w:tc>
        <w:tc>
          <w:tcPr>
            <w:tcW w:w="1449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F96C44" w:rsidRDefault="00E01D20" w:rsidP="00CB1F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5 (5.2%)</w:t>
            </w: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F96C44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Post lung transplant</w:t>
            </w:r>
          </w:p>
        </w:tc>
        <w:tc>
          <w:tcPr>
            <w:tcW w:w="1449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F96C44" w:rsidRDefault="00E01D20" w:rsidP="00CB1F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9 (9.3%)</w:t>
            </w:r>
          </w:p>
        </w:tc>
        <w:tc>
          <w:tcPr>
            <w:tcW w:w="144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Other</w:t>
            </w:r>
          </w:p>
        </w:tc>
        <w:tc>
          <w:tcPr>
            <w:tcW w:w="1449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Align w:val="center"/>
          </w:tcPr>
          <w:p w:rsidR="00E01D20" w:rsidRPr="00F96C44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Default="00E01D20" w:rsidP="00CB1F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5 (5.2%)</w:t>
            </w:r>
          </w:p>
        </w:tc>
        <w:tc>
          <w:tcPr>
            <w:tcW w:w="1440" w:type="dxa"/>
          </w:tcPr>
          <w:p w:rsidR="00E01D20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E01D20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i/>
                <w:color w:val="000000"/>
              </w:rPr>
              <w:t>Course</w:t>
            </w:r>
          </w:p>
        </w:tc>
        <w:tc>
          <w:tcPr>
            <w:tcW w:w="1449" w:type="dxa"/>
            <w:vAlign w:val="center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Align w:val="center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Cannulation</w:t>
            </w:r>
          </w:p>
        </w:tc>
        <w:tc>
          <w:tcPr>
            <w:tcW w:w="1449" w:type="dxa"/>
            <w:vAlign w:val="center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Align w:val="center"/>
          </w:tcPr>
          <w:p w:rsidR="00E01D20" w:rsidRPr="00960811" w:rsidRDefault="00E01D20" w:rsidP="00CB1F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0.032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ind w:left="239"/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Central</w:t>
            </w:r>
          </w:p>
        </w:tc>
        <w:tc>
          <w:tcPr>
            <w:tcW w:w="1449" w:type="dxa"/>
            <w:vAlign w:val="center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 (41.5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  <w:tc>
          <w:tcPr>
            <w:tcW w:w="1440" w:type="dxa"/>
            <w:vAlign w:val="center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(100.0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  <w:tc>
          <w:tcPr>
            <w:tcW w:w="866" w:type="dxa"/>
            <w:vAlign w:val="center"/>
          </w:tcPr>
          <w:p w:rsidR="00E01D20" w:rsidRPr="00960811" w:rsidRDefault="00E01D20" w:rsidP="00CB1F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ind w:left="239"/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Peripheral</w:t>
            </w:r>
          </w:p>
        </w:tc>
        <w:tc>
          <w:tcPr>
            <w:tcW w:w="1449" w:type="dxa"/>
            <w:vAlign w:val="center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 (58.5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  <w:tc>
          <w:tcPr>
            <w:tcW w:w="1440" w:type="dxa"/>
            <w:vAlign w:val="center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6" w:type="dxa"/>
            <w:vAlign w:val="center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 (100.0%)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(100.0%)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Duration (days), median (IQR)</w:t>
            </w:r>
          </w:p>
        </w:tc>
        <w:tc>
          <w:tcPr>
            <w:tcW w:w="1449" w:type="dxa"/>
            <w:vAlign w:val="center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(3-9)</w:t>
            </w:r>
          </w:p>
        </w:tc>
        <w:tc>
          <w:tcPr>
            <w:tcW w:w="1440" w:type="dxa"/>
            <w:vAlign w:val="center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(2-2)</w:t>
            </w:r>
          </w:p>
        </w:tc>
        <w:tc>
          <w:tcPr>
            <w:tcW w:w="866" w:type="dxa"/>
            <w:vAlign w:val="center"/>
          </w:tcPr>
          <w:p w:rsidR="00E01D20" w:rsidRPr="00D33148" w:rsidRDefault="00E01D20" w:rsidP="00CB1F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0.03</w:t>
            </w:r>
          </w:p>
        </w:tc>
        <w:tc>
          <w:tcPr>
            <w:tcW w:w="1440" w:type="dxa"/>
            <w:vAlign w:val="center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(7-31)</w:t>
            </w:r>
          </w:p>
        </w:tc>
        <w:tc>
          <w:tcPr>
            <w:tcW w:w="1440" w:type="dxa"/>
            <w:vAlign w:val="center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(18-81)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Hemolysis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 (36.9%)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(50.0%)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 (23.7%)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Bloodstream infection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 (21.0%)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 (30.9%)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(50.0%)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Continuous renal replacement therapy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116 (59.5%)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(50.0%)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 (56.7%)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(50.0%)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E01D20" w:rsidRPr="00847042" w:rsidTr="00CB1F2F">
        <w:trPr>
          <w:trHeight w:hRule="exact" w:val="252"/>
        </w:trPr>
        <w:tc>
          <w:tcPr>
            <w:tcW w:w="4581" w:type="dxa"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i/>
                <w:color w:val="000000"/>
              </w:rPr>
              <w:t>Outcomes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1D20" w:rsidRPr="00847042" w:rsidTr="00CB1F2F">
        <w:trPr>
          <w:trHeight w:hRule="exact" w:val="252"/>
        </w:trPr>
        <w:tc>
          <w:tcPr>
            <w:tcW w:w="4581" w:type="dxa"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Neurologic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ind w:left="162"/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Ischemic stroke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 (14.4%)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(50.0%)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 (6.2%)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(25.0%)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ind w:left="162"/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Intracerebral hemorrhage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 (4.1%)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(25.0%)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 (6.2%)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(100.0%)</w:t>
            </w:r>
          </w:p>
        </w:tc>
        <w:tc>
          <w:tcPr>
            <w:tcW w:w="720" w:type="dxa"/>
          </w:tcPr>
          <w:p w:rsidR="00E01D20" w:rsidRPr="00960811" w:rsidRDefault="00E01D20" w:rsidP="00CB1F2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0.01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ind w:left="162"/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Subarachnoid hemorrhage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 (4.1%)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 (7.2%)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(25.0%)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ind w:left="162"/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Subdural hemorrhage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 (4.1%)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(1.0%)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ind w:left="162"/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Hypoxic ischemic brain injury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 (8.7%)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(25.0%)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(3.1%)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ind w:left="162"/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Cerebral edema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(5.1%)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(50.0%)</w:t>
            </w:r>
          </w:p>
        </w:tc>
        <w:tc>
          <w:tcPr>
            <w:tcW w:w="866" w:type="dxa"/>
            <w:vAlign w:val="bottom"/>
          </w:tcPr>
          <w:p w:rsidR="00E01D20" w:rsidRPr="00960811" w:rsidRDefault="00E01D20" w:rsidP="00CB1F2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0.02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(50.0%)</w:t>
            </w:r>
          </w:p>
        </w:tc>
        <w:tc>
          <w:tcPr>
            <w:tcW w:w="720" w:type="dxa"/>
          </w:tcPr>
          <w:p w:rsidR="00E01D20" w:rsidRPr="00960811" w:rsidRDefault="00E01D20" w:rsidP="00CB1F2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0.01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ind w:left="162"/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Seizure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 (6.2%)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(3.1%)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(25.0%)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Thromboembolic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ind w:left="162"/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Intracardiac thrombus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 (6.2%)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(3.1%)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ind w:left="162"/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Pulmonary embolism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 (6.2%)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 (9.3%)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ind w:left="162"/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Deep venous thrombosis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 (6.7%)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(15.5%)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(25.0%)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ind w:left="162"/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Heparin-induced thrombocytopenia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(2.1%)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 (8.3%)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Hemorrhagic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ind w:left="162"/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Surgical site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 (32.3%)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(50.0%)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 (22.7%)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</w:tr>
      <w:tr w:rsidR="00E01D20" w:rsidRPr="00847042" w:rsidTr="00CB1F2F">
        <w:trPr>
          <w:trHeight w:hRule="exact" w:val="243"/>
        </w:trPr>
        <w:tc>
          <w:tcPr>
            <w:tcW w:w="4581" w:type="dxa"/>
          </w:tcPr>
          <w:p w:rsidR="00E01D20" w:rsidRPr="00847042" w:rsidRDefault="00E01D20" w:rsidP="00CB1F2F">
            <w:pPr>
              <w:ind w:left="162"/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Gastrointestinal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 (13.9%)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 (20.6%)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ind w:left="162"/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Cannula site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 (27.2%)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(15.5%)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E01D20" w:rsidRPr="00847042" w:rsidTr="00CB1F2F">
        <w:trPr>
          <w:trHeight w:hRule="exact" w:val="279"/>
        </w:trPr>
        <w:tc>
          <w:tcPr>
            <w:tcW w:w="4581" w:type="dxa"/>
          </w:tcPr>
          <w:p w:rsidR="00E01D20" w:rsidRPr="00847042" w:rsidRDefault="00E01D20" w:rsidP="00CB1F2F">
            <w:pPr>
              <w:ind w:left="162"/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Disseminated intravascular coagulation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 (5.6%)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(3.1%)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E01D20" w:rsidRPr="00847042" w:rsidTr="00CB1F2F">
        <w:trPr>
          <w:trHeight w:hRule="exact" w:val="288"/>
        </w:trPr>
        <w:tc>
          <w:tcPr>
            <w:tcW w:w="4581" w:type="dxa"/>
          </w:tcPr>
          <w:p w:rsidR="00E01D20" w:rsidRPr="00847042" w:rsidRDefault="00E01D20" w:rsidP="00CB1F2F">
            <w:pPr>
              <w:ind w:left="162"/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Pulmonary</w:t>
            </w:r>
          </w:p>
        </w:tc>
        <w:tc>
          <w:tcPr>
            <w:tcW w:w="1449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 (7.2%)</w:t>
            </w:r>
          </w:p>
        </w:tc>
        <w:tc>
          <w:tcPr>
            <w:tcW w:w="1440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(25.0%)</w:t>
            </w:r>
          </w:p>
        </w:tc>
        <w:tc>
          <w:tcPr>
            <w:tcW w:w="866" w:type="dxa"/>
            <w:vAlign w:val="bottom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(10.3%)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E01D20" w:rsidRPr="00847042" w:rsidTr="00CB1F2F">
        <w:trPr>
          <w:trHeight w:hRule="exact" w:val="270"/>
        </w:trPr>
        <w:tc>
          <w:tcPr>
            <w:tcW w:w="4581" w:type="dxa"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Death</w:t>
            </w:r>
          </w:p>
        </w:tc>
        <w:tc>
          <w:tcPr>
            <w:tcW w:w="1449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130 (66.7%)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(100.0%)</w:t>
            </w:r>
          </w:p>
        </w:tc>
        <w:tc>
          <w:tcPr>
            <w:tcW w:w="866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0.31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 (46.4%)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(100.0%)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</w:tr>
      <w:tr w:rsidR="00E01D20" w:rsidRPr="00847042" w:rsidTr="00CB1F2F">
        <w:trPr>
          <w:trHeight w:hRule="exact" w:val="252"/>
        </w:trPr>
        <w:tc>
          <w:tcPr>
            <w:tcW w:w="4581" w:type="dxa"/>
          </w:tcPr>
          <w:p w:rsidR="00E01D20" w:rsidRPr="00847042" w:rsidRDefault="00E01D20" w:rsidP="00CB1F2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7042">
              <w:rPr>
                <w:rFonts w:ascii="Times New Roman" w:eastAsia="Times New Roman" w:hAnsi="Times New Roman" w:cs="Times New Roman"/>
                <w:color w:val="000000"/>
              </w:rPr>
              <w:t>Withdrawal of life-sustaining therapy</w:t>
            </w:r>
          </w:p>
        </w:tc>
        <w:tc>
          <w:tcPr>
            <w:tcW w:w="1449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106 (54.4%)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(100.0%)</w:t>
            </w:r>
          </w:p>
        </w:tc>
        <w:tc>
          <w:tcPr>
            <w:tcW w:w="866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 (38.1%)</w:t>
            </w:r>
          </w:p>
        </w:tc>
        <w:tc>
          <w:tcPr>
            <w:tcW w:w="144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(100.0%)</w:t>
            </w:r>
          </w:p>
        </w:tc>
        <w:tc>
          <w:tcPr>
            <w:tcW w:w="720" w:type="dxa"/>
          </w:tcPr>
          <w:p w:rsidR="00E01D20" w:rsidRPr="00847042" w:rsidRDefault="00E01D20" w:rsidP="00CB1F2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</w:tr>
    </w:tbl>
    <w:p w:rsidR="00E01D20" w:rsidRPr="00847042" w:rsidRDefault="00E01D20" w:rsidP="00E01D20">
      <w:pPr>
        <w:spacing w:after="0" w:line="240" w:lineRule="auto"/>
        <w:rPr>
          <w:rFonts w:ascii="Times New Roman" w:hAnsi="Times New Roman" w:cs="Times New Roman"/>
        </w:rPr>
      </w:pPr>
    </w:p>
    <w:p w:rsidR="001760E5" w:rsidRDefault="00E01D20">
      <w:bookmarkStart w:id="0" w:name="_GoBack"/>
      <w:bookmarkEnd w:id="0"/>
    </w:p>
    <w:sectPr w:rsidR="001760E5" w:rsidSect="005662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D20"/>
    <w:rsid w:val="008A3324"/>
    <w:rsid w:val="00996CDB"/>
    <w:rsid w:val="00BA546E"/>
    <w:rsid w:val="00E0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C57EFB-3A2C-4688-8E3F-4C4088D8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D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E01D20"/>
    <w:pPr>
      <w:spacing w:after="0" w:line="240" w:lineRule="auto"/>
    </w:pPr>
    <w:rPr>
      <w:rFonts w:eastAsia="Malgun Gothic"/>
      <w:lang w:eastAsia="ko-K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2022-10-04T05:45:00Z</dcterms:created>
  <dcterms:modified xsi:type="dcterms:W3CDTF">2022-10-04T05:45:00Z</dcterms:modified>
</cp:coreProperties>
</file>