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left"/>
        <w:rPr>
          <w:rFonts w:ascii="Times New Roman" w:hAnsi="Times New Roman"/>
          <w:b/>
          <w:bCs/>
          <w:color w:val="000000"/>
          <w:kern w:val="0"/>
          <w:sz w:val="22"/>
          <w:szCs w:val="22"/>
        </w:rPr>
      </w:pPr>
      <w:r>
        <w:rPr>
          <w:rFonts w:ascii="Times New Roman" w:hAnsi="Times New Roman"/>
          <w:b/>
          <w:bCs/>
          <w:color w:val="000000"/>
          <w:kern w:val="0"/>
          <w:sz w:val="22"/>
          <w:szCs w:val="22"/>
        </w:rPr>
        <w:t>Figure Legends</w:t>
      </w:r>
    </w:p>
    <w:p>
      <w:pPr>
        <w:spacing w:line="480" w:lineRule="auto"/>
        <w:jc w:val="left"/>
        <w:rPr>
          <w:rFonts w:ascii="Times New Roman" w:hAnsi="Times New Roman"/>
          <w:color w:val="000000"/>
          <w:kern w:val="0"/>
          <w:sz w:val="22"/>
          <w:szCs w:val="22"/>
        </w:rPr>
      </w:pPr>
    </w:p>
    <w:p>
      <w:pPr>
        <w:widowControl/>
        <w:shd w:val="clear" w:color="auto" w:fill="FCFDFE"/>
        <w:spacing w:line="480" w:lineRule="auto"/>
        <w:jc w:val="left"/>
        <w:rPr>
          <w:rFonts w:ascii="Times New Roman" w:hAnsi="Times New Roman" w:eastAsia="微软雅黑" w:cs="微软雅黑"/>
          <w:color w:val="2A2B2E"/>
          <w:sz w:val="22"/>
          <w:szCs w:val="22"/>
        </w:rPr>
      </w:pPr>
      <w:r>
        <w:rPr>
          <w:rFonts w:ascii="Times New Roman" w:hAnsi="Times New Roman"/>
          <w:color w:val="000000"/>
          <w:kern w:val="0"/>
          <w:sz w:val="22"/>
          <w:szCs w:val="22"/>
        </w:rPr>
        <w:t>Figure 1.</w:t>
      </w:r>
      <w:r>
        <w:rPr>
          <w:rFonts w:ascii="Times New Roman" w:hAnsi="Times New Roman" w:eastAsia="微软雅黑" w:cs="微软雅黑"/>
          <w:color w:val="2A2B2E"/>
          <w:sz w:val="22"/>
          <w:szCs w:val="22"/>
          <w:shd w:val="clear" w:color="auto" w:fill="FCFDFE"/>
        </w:rPr>
        <w:t xml:space="preserve"> </w:t>
      </w:r>
      <w:r>
        <w:rPr>
          <w:rFonts w:ascii="Times New Roman" w:hAnsi="Times New Roman" w:eastAsia="微软雅黑"/>
          <w:color w:val="2A2B2E"/>
          <w:sz w:val="22"/>
          <w:szCs w:val="22"/>
          <w:shd w:val="clear" w:color="auto" w:fill="FCFDFE"/>
        </w:rPr>
        <w:t>P</w:t>
      </w:r>
      <w:r>
        <w:rPr>
          <w:rFonts w:ascii="Times New Roman" w:hAnsi="Times New Roman" w:eastAsia="微软雅黑" w:cs="微软雅黑"/>
          <w:color w:val="2A2B2E"/>
          <w:sz w:val="22"/>
          <w:szCs w:val="22"/>
          <w:shd w:val="clear" w:color="auto" w:fill="FCFDFE"/>
        </w:rPr>
        <w:t>artition and column</w:t>
      </w:r>
      <w:r>
        <w:rPr>
          <w:rFonts w:ascii="Times New Roman" w:hAnsi="Times New Roman" w:eastAsia="微软雅黑"/>
          <w:color w:val="2A2B2E"/>
          <w:sz w:val="22"/>
          <w:szCs w:val="22"/>
          <w:shd w:val="clear" w:color="auto" w:fill="FCFDFE"/>
        </w:rPr>
        <w:t>s</w:t>
      </w:r>
      <w:r>
        <w:rPr>
          <w:rFonts w:ascii="Times New Roman" w:hAnsi="Times New Roman" w:eastAsia="微软雅黑" w:cs="微软雅黑"/>
          <w:color w:val="2A2B2E"/>
          <w:sz w:val="22"/>
          <w:szCs w:val="22"/>
          <w:shd w:val="clear" w:color="auto" w:fill="FCFDFE"/>
        </w:rPr>
        <w:t xml:space="preserve"> of the articular surface of the distal tibia</w:t>
      </w:r>
      <w:r>
        <w:rPr>
          <w:rFonts w:ascii="Times New Roman" w:hAnsi="Times New Roman" w:eastAsia="微软雅黑"/>
          <w:color w:val="2A2B2E"/>
          <w:sz w:val="22"/>
          <w:szCs w:val="22"/>
          <w:shd w:val="clear" w:color="auto" w:fill="FCFDFE"/>
        </w:rPr>
        <w:t>.</w:t>
      </w:r>
    </w:p>
    <w:p>
      <w:pPr>
        <w:spacing w:line="480" w:lineRule="auto"/>
        <w:ind w:right="60"/>
        <w:jc w:val="left"/>
        <w:rPr>
          <w:rFonts w:ascii="Times New Roman" w:hAnsi="Times New Roman"/>
          <w:color w:val="000000"/>
          <w:kern w:val="0"/>
          <w:sz w:val="22"/>
          <w:szCs w:val="22"/>
        </w:rPr>
      </w:pPr>
    </w:p>
    <w:p>
      <w:pPr>
        <w:widowControl/>
        <w:spacing w:line="480" w:lineRule="auto"/>
        <w:jc w:val="left"/>
        <w:rPr>
          <w:rFonts w:ascii="Times New Roman" w:hAnsi="Times New Roman"/>
          <w:sz w:val="22"/>
          <w:szCs w:val="22"/>
        </w:rPr>
      </w:pPr>
      <w:r>
        <w:rPr>
          <w:rFonts w:ascii="Times New Roman" w:hAnsi="Times New Roman"/>
          <w:color w:val="000000"/>
          <w:kern w:val="0"/>
          <w:sz w:val="22"/>
          <w:szCs w:val="22"/>
        </w:rPr>
        <w:t>Figure 2. In t</w:t>
      </w:r>
      <w:r>
        <w:rPr>
          <w:rFonts w:ascii="Times New Roman" w:hAnsi="Times New Roman"/>
          <w:sz w:val="22"/>
          <w:szCs w:val="22"/>
        </w:rPr>
        <w:t>ype B1 fractures, the fracture lines mainly involve the anterolateral and anteromedial areas of the distal tibia articular.</w:t>
      </w:r>
    </w:p>
    <w:p>
      <w:pPr>
        <w:spacing w:line="480" w:lineRule="auto"/>
        <w:ind w:right="60"/>
        <w:jc w:val="left"/>
        <w:rPr>
          <w:rFonts w:ascii="Times New Roman" w:hAnsi="Times New Roman"/>
          <w:color w:val="000000"/>
          <w:kern w:val="0"/>
          <w:sz w:val="22"/>
          <w:szCs w:val="22"/>
        </w:rPr>
      </w:pPr>
    </w:p>
    <w:p>
      <w:pPr>
        <w:widowControl/>
        <w:spacing w:line="480" w:lineRule="auto"/>
        <w:jc w:val="left"/>
        <w:rPr>
          <w:rFonts w:ascii="Times New Roman" w:hAnsi="Times New Roman"/>
          <w:sz w:val="22"/>
          <w:szCs w:val="22"/>
        </w:rPr>
      </w:pPr>
      <w:r>
        <w:rPr>
          <w:rFonts w:ascii="Times New Roman" w:hAnsi="Times New Roman"/>
          <w:sz w:val="22"/>
          <w:szCs w:val="22"/>
        </w:rPr>
        <w:t>Figure 3. In type B2 fracture, the fracture lines mainly involve the anterior, anterolateral, and anteromedial areas of the distal tibia articular. The fracture lines in the medial area is more density than the lateral area.</w:t>
      </w:r>
    </w:p>
    <w:p>
      <w:pPr>
        <w:spacing w:line="480" w:lineRule="auto"/>
        <w:ind w:right="60"/>
        <w:jc w:val="left"/>
        <w:rPr>
          <w:rFonts w:ascii="Times New Roman" w:hAnsi="Times New Roman"/>
          <w:color w:val="000000"/>
          <w:kern w:val="0"/>
          <w:sz w:val="22"/>
          <w:szCs w:val="22"/>
        </w:rPr>
      </w:pPr>
    </w:p>
    <w:p>
      <w:pPr>
        <w:widowControl/>
        <w:spacing w:line="480" w:lineRule="auto"/>
        <w:jc w:val="left"/>
        <w:rPr>
          <w:rFonts w:ascii="Times New Roman" w:hAnsi="Times New Roman"/>
          <w:sz w:val="22"/>
          <w:szCs w:val="22"/>
        </w:rPr>
      </w:pPr>
      <w:r>
        <w:rPr>
          <w:rFonts w:ascii="Times New Roman" w:hAnsi="Times New Roman"/>
          <w:sz w:val="22"/>
          <w:szCs w:val="22"/>
        </w:rPr>
        <w:t>Figure 4. Type B3 fractures mainly involve the anterior talofibular ligament area and the medial area of the articular surface. There are some fracture lines accumulating on the posterior area of the medial malleolus.</w:t>
      </w:r>
    </w:p>
    <w:p>
      <w:pPr>
        <w:spacing w:line="480" w:lineRule="auto"/>
        <w:ind w:right="60"/>
        <w:jc w:val="left"/>
        <w:rPr>
          <w:rFonts w:ascii="Times New Roman" w:hAnsi="Times New Roman"/>
          <w:color w:val="000000"/>
          <w:kern w:val="0"/>
          <w:sz w:val="22"/>
          <w:szCs w:val="22"/>
        </w:rPr>
      </w:pPr>
    </w:p>
    <w:p>
      <w:pPr>
        <w:spacing w:line="480" w:lineRule="auto"/>
        <w:jc w:val="left"/>
      </w:pPr>
      <w:r>
        <w:rPr>
          <w:rFonts w:ascii="Times New Roman" w:hAnsi="Times New Roman"/>
          <w:sz w:val="22"/>
          <w:szCs w:val="22"/>
        </w:rPr>
        <w:t>Figure 5. In type C1 fractures, the fracture lines are from superolateral tibial to inferoanterior border of articular surface, involving the distal tibiofibular articular surface and the medial malleolus sulcus. In some fractures, the posterior malleolu are involved.</w:t>
      </w:r>
      <w:r>
        <w:t xml:space="preserve"> </w:t>
      </w:r>
    </w:p>
    <w:p>
      <w:pPr>
        <w:spacing w:line="480" w:lineRule="auto"/>
        <w:jc w:val="left"/>
      </w:pPr>
    </w:p>
    <w:p>
      <w:pPr>
        <w:spacing w:line="480" w:lineRule="auto"/>
        <w:jc w:val="left"/>
        <w:rPr>
          <w:rFonts w:ascii="Times New Roman" w:hAnsi="Times New Roman"/>
          <w:sz w:val="22"/>
          <w:szCs w:val="22"/>
        </w:rPr>
      </w:pPr>
      <w:r>
        <w:rPr>
          <w:rFonts w:ascii="Times New Roman" w:hAnsi="Times New Roman"/>
          <w:sz w:val="22"/>
          <w:szCs w:val="22"/>
        </w:rPr>
        <w:t>Figure 6. In C2 fractures, the fracture lines mainly involve the anterolateral area of the articular surface and anterior colliculus of the medial malleolus where the distal tibiofibular region is located.</w:t>
      </w:r>
    </w:p>
    <w:p>
      <w:pPr>
        <w:spacing w:line="480" w:lineRule="auto"/>
        <w:jc w:val="left"/>
        <w:rPr>
          <w:rFonts w:ascii="Times New Roman" w:hAnsi="Times New Roman"/>
          <w:sz w:val="22"/>
          <w:szCs w:val="22"/>
        </w:rPr>
      </w:pPr>
    </w:p>
    <w:p>
      <w:pPr>
        <w:spacing w:line="480" w:lineRule="auto"/>
        <w:ind w:left="60" w:right="60"/>
        <w:jc w:val="left"/>
        <w:rPr>
          <w:rFonts w:ascii="Times New Roman" w:hAnsi="Times New Roman" w:eastAsia="微软雅黑"/>
          <w:b/>
          <w:bCs/>
          <w:color w:val="2A2B2E"/>
          <w:sz w:val="22"/>
          <w:szCs w:val="22"/>
          <w:shd w:val="clear" w:color="auto" w:fill="FFFFFF"/>
        </w:rPr>
        <w:sectPr>
          <w:pgSz w:w="11906" w:h="16838"/>
          <w:pgMar w:top="1440" w:right="1800" w:bottom="1440" w:left="1800" w:header="851" w:footer="992" w:gutter="0"/>
          <w:lnNumType w:countBy="1" w:restart="continuous"/>
          <w:cols w:space="425" w:num="1"/>
          <w:docGrid w:type="lines" w:linePitch="312" w:charSpace="0"/>
        </w:sectPr>
      </w:pPr>
      <w:r>
        <w:rPr>
          <w:rFonts w:ascii="Times New Roman" w:hAnsi="Times New Roman"/>
          <w:sz w:val="22"/>
          <w:szCs w:val="22"/>
        </w:rPr>
        <w:t>Figure 7. In type C3 fractures, the articular surface is involved, but the fracture lines on the small posterolateral area are distributed sparsely. Except for involvement of the medial malleolus, the dense fracture lines occur in the distal tibiofibular articular surface and anterior area of the medial malleolus</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ZjVlNmExNDNlYmU5ZGRjZTk5ZDA3NTA4OGJiZGUifQ=="/>
  </w:docVars>
  <w:rsids>
    <w:rsidRoot w:val="00000000"/>
    <w:rsid w:val="11400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2022-09-18T10:08:54Z</dcterms:created>
  <dc:creator>Dell</dc:creator>
  <cp:lastModifiedBy>noob</cp:lastModifiedBy>
  <dcterms:modified xsi:type="dcterms:W3CDTF">2022-09-18T10:09:01Z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869DD4BED3A54C74ABC49C47C5499C7B</vt:lpwstr>
  </property>
</Properties>
</file>