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FF9D" w14:textId="77777777" w:rsidR="00F33374" w:rsidRPr="007D5E3A" w:rsidRDefault="00F33374" w:rsidP="00F33374">
      <w:pPr>
        <w:pStyle w:val="Sansinterligne"/>
        <w:spacing w:line="360" w:lineRule="auto"/>
        <w:jc w:val="both"/>
        <w:rPr>
          <w:b/>
          <w:bCs/>
          <w:sz w:val="24"/>
          <w:szCs w:val="24"/>
          <w:u w:val="single"/>
          <w:lang w:val="en-US"/>
        </w:rPr>
      </w:pPr>
      <w:r w:rsidRPr="007D5E3A">
        <w:rPr>
          <w:b/>
          <w:bCs/>
          <w:sz w:val="24"/>
          <w:szCs w:val="24"/>
          <w:u w:val="single"/>
          <w:lang w:val="en-US"/>
        </w:rPr>
        <w:t>Supplementary Figures</w:t>
      </w:r>
    </w:p>
    <w:p w14:paraId="38B7EBBF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  <w:r w:rsidRPr="007B7DF4">
        <w:rPr>
          <w:b/>
          <w:bCs/>
          <w:sz w:val="24"/>
          <w:szCs w:val="24"/>
          <w:lang w:val="en-US"/>
        </w:rPr>
        <w:t>Supp. Figure 1</w:t>
      </w:r>
      <w:r w:rsidRPr="007B7DF4">
        <w:rPr>
          <w:sz w:val="24"/>
          <w:szCs w:val="24"/>
          <w:lang w:val="en-US"/>
        </w:rPr>
        <w:t xml:space="preserve"> : </w:t>
      </w:r>
      <w:r w:rsidRPr="007B7DF4">
        <w:rPr>
          <w:b/>
          <w:sz w:val="24"/>
          <w:szCs w:val="24"/>
          <w:lang w:val="en-US"/>
        </w:rPr>
        <w:t>A)</w:t>
      </w:r>
      <w:r w:rsidRPr="007B7DF4">
        <w:rPr>
          <w:sz w:val="24"/>
          <w:szCs w:val="24"/>
          <w:lang w:val="en-US"/>
        </w:rPr>
        <w:t xml:space="preserve"> RT-PCR amplification of </w:t>
      </w:r>
      <w:proofErr w:type="spellStart"/>
      <w:r w:rsidRPr="007B7DF4">
        <w:rPr>
          <w:i/>
          <w:sz w:val="24"/>
          <w:szCs w:val="24"/>
          <w:lang w:val="en-US"/>
        </w:rPr>
        <w:t>Gfap</w:t>
      </w:r>
      <w:proofErr w:type="spellEnd"/>
      <w:r w:rsidRPr="007B7DF4">
        <w:rPr>
          <w:sz w:val="24"/>
          <w:szCs w:val="24"/>
          <w:lang w:val="en-US"/>
        </w:rPr>
        <w:t xml:space="preserve"> in rat DI TNC1 astrocyte cell line and rat primary </w:t>
      </w:r>
      <w:r w:rsidRPr="007B7DF4">
        <w:rPr>
          <w:color w:val="000000" w:themeColor="text1"/>
          <w:sz w:val="24"/>
          <w:szCs w:val="24"/>
          <w:lang w:val="en-US"/>
        </w:rPr>
        <w:t xml:space="preserve">spinal </w:t>
      </w:r>
      <w:r w:rsidRPr="007B7DF4">
        <w:rPr>
          <w:sz w:val="24"/>
          <w:szCs w:val="24"/>
          <w:lang w:val="en-US"/>
        </w:rPr>
        <w:t>astrocytes stimulated or not with 200 ng/mL of LPS during the time points indicated. H</w:t>
      </w:r>
      <w:r w:rsidRPr="007B7DF4">
        <w:rPr>
          <w:sz w:val="24"/>
          <w:szCs w:val="24"/>
          <w:vertAlign w:val="subscript"/>
          <w:lang w:val="en-US"/>
        </w:rPr>
        <w:t>2</w:t>
      </w:r>
      <w:r w:rsidRPr="007B7DF4">
        <w:rPr>
          <w:sz w:val="24"/>
          <w:szCs w:val="24"/>
          <w:lang w:val="en-US"/>
        </w:rPr>
        <w:t xml:space="preserve">O: negative control. </w:t>
      </w:r>
      <w:r w:rsidRPr="007B7DF4">
        <w:rPr>
          <w:b/>
          <w:sz w:val="24"/>
          <w:szCs w:val="24"/>
          <w:lang w:val="en-US"/>
        </w:rPr>
        <w:t xml:space="preserve">B) </w:t>
      </w:r>
      <w:r w:rsidRPr="007B7DF4">
        <w:rPr>
          <w:sz w:val="24"/>
          <w:szCs w:val="24"/>
          <w:lang w:val="en-US"/>
        </w:rPr>
        <w:t xml:space="preserve">Western blot analyses of GFAP in DI TNC1 cells and rat primary cortex and </w:t>
      </w:r>
      <w:r w:rsidRPr="007B7DF4">
        <w:rPr>
          <w:color w:val="000000" w:themeColor="text1"/>
          <w:sz w:val="24"/>
          <w:szCs w:val="24"/>
          <w:lang w:val="en-US"/>
        </w:rPr>
        <w:t xml:space="preserve">spinal </w:t>
      </w:r>
      <w:r w:rsidRPr="007B7DF4">
        <w:rPr>
          <w:sz w:val="24"/>
          <w:szCs w:val="24"/>
          <w:lang w:val="en-US"/>
        </w:rPr>
        <w:t>astrocytes stimulated or not with 200 ng/mL of LPS during 24h or 48H as well as in spleen.</w:t>
      </w:r>
    </w:p>
    <w:p w14:paraId="02DBE3B2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</w:p>
    <w:p w14:paraId="48BAC6F5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  <w:r w:rsidRPr="007B7DF4">
        <w:rPr>
          <w:b/>
          <w:bCs/>
          <w:sz w:val="24"/>
          <w:szCs w:val="24"/>
          <w:lang w:val="en-US"/>
        </w:rPr>
        <w:t>Supp. Figure 2</w:t>
      </w:r>
      <w:r w:rsidRPr="007B7DF4">
        <w:rPr>
          <w:sz w:val="24"/>
          <w:szCs w:val="24"/>
          <w:lang w:val="en-US"/>
        </w:rPr>
        <w:t xml:space="preserve"> : Comparison of rat IgG2B sequences obtained from transcriptomic and proteomic analyses performed on DI TINC1 cells and rat primary cortex and spinal astrocytes with data obtained from spinal cord injury </w:t>
      </w:r>
      <w:r w:rsidRPr="007B7DF4">
        <w:rPr>
          <w:sz w:val="24"/>
          <w:szCs w:val="24"/>
          <w:lang w:val="en-US"/>
        </w:rPr>
        <w:fldChar w:fldCharType="begin">
          <w:fldData xml:space="preserve">PEVuZE5vdGU+PENpdGU+PEF1dGhvcj5DYXB1ejwvQXV0aG9yPjxZZWFyPjIwMjI8L1llYXI+PFJl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</w:fldData>
        </w:fldChar>
      </w:r>
      <w:r w:rsidRPr="007B7DF4">
        <w:rPr>
          <w:sz w:val="24"/>
          <w:szCs w:val="24"/>
          <w:lang w:val="en-US"/>
        </w:rPr>
        <w:instrText xml:space="preserve"> ADDIN EN.CITE </w:instrText>
      </w:r>
      <w:r w:rsidRPr="007B7DF4">
        <w:rPr>
          <w:sz w:val="24"/>
          <w:szCs w:val="24"/>
          <w:lang w:val="en-US"/>
        </w:rPr>
        <w:fldChar w:fldCharType="begin">
          <w:fldData xml:space="preserve">PEVuZE5vdGU+PENpdGU+PEF1dGhvcj5DYXB1ejwvQXV0aG9yPjxZZWFyPjIwMjI8L1llYXI+PFJl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</w:fldData>
        </w:fldChar>
      </w:r>
      <w:r w:rsidRPr="007B7DF4">
        <w:rPr>
          <w:sz w:val="24"/>
          <w:szCs w:val="24"/>
          <w:lang w:val="en-US"/>
        </w:rPr>
        <w:instrText xml:space="preserve"> ADDIN EN.CITE.DATA </w:instrText>
      </w:r>
      <w:r w:rsidRPr="007B7DF4">
        <w:rPr>
          <w:sz w:val="24"/>
          <w:szCs w:val="24"/>
          <w:lang w:val="en-US"/>
        </w:rPr>
      </w:r>
      <w:r w:rsidRPr="007B7DF4">
        <w:rPr>
          <w:sz w:val="24"/>
          <w:szCs w:val="24"/>
          <w:lang w:val="en-US"/>
        </w:rPr>
        <w:fldChar w:fldCharType="end"/>
      </w:r>
      <w:r w:rsidRPr="007B7DF4">
        <w:rPr>
          <w:sz w:val="24"/>
          <w:szCs w:val="24"/>
          <w:lang w:val="en-US"/>
        </w:rPr>
      </w:r>
      <w:r w:rsidRPr="007B7DF4">
        <w:rPr>
          <w:sz w:val="24"/>
          <w:szCs w:val="24"/>
          <w:lang w:val="en-US"/>
        </w:rPr>
        <w:fldChar w:fldCharType="separate"/>
      </w:r>
      <w:r w:rsidRPr="007B7DF4">
        <w:rPr>
          <w:noProof/>
          <w:sz w:val="24"/>
          <w:szCs w:val="24"/>
          <w:vertAlign w:val="superscript"/>
          <w:lang w:val="en-US"/>
        </w:rPr>
        <w:t>8</w:t>
      </w:r>
      <w:r w:rsidRPr="007B7DF4">
        <w:rPr>
          <w:sz w:val="24"/>
          <w:szCs w:val="24"/>
          <w:lang w:val="en-US"/>
        </w:rPr>
        <w:fldChar w:fldCharType="end"/>
      </w:r>
      <w:r w:rsidRPr="007B7DF4">
        <w:rPr>
          <w:sz w:val="24"/>
          <w:szCs w:val="24"/>
          <w:lang w:val="en-US"/>
        </w:rPr>
        <w:t xml:space="preserve">. </w:t>
      </w:r>
    </w:p>
    <w:p w14:paraId="406F6DB0" w14:textId="77777777" w:rsidR="00F33374" w:rsidRPr="007B7DF4" w:rsidRDefault="00F33374" w:rsidP="00F33374">
      <w:pPr>
        <w:pStyle w:val="Sansinterligne"/>
        <w:spacing w:line="360" w:lineRule="auto"/>
        <w:jc w:val="both"/>
        <w:rPr>
          <w:b/>
          <w:bCs/>
          <w:sz w:val="24"/>
          <w:szCs w:val="24"/>
          <w:lang w:val="en-US"/>
        </w:rPr>
      </w:pPr>
    </w:p>
    <w:p w14:paraId="0DCFCAC3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  <w:r w:rsidRPr="007B7DF4">
        <w:rPr>
          <w:b/>
          <w:bCs/>
          <w:sz w:val="24"/>
          <w:szCs w:val="24"/>
          <w:lang w:val="en-US"/>
        </w:rPr>
        <w:t>Supp. Figure 3</w:t>
      </w:r>
      <w:r w:rsidRPr="007B7DF4">
        <w:rPr>
          <w:sz w:val="24"/>
          <w:szCs w:val="24"/>
          <w:lang w:val="en-US"/>
        </w:rPr>
        <w:t xml:space="preserve"> : RT-PCR amplification of IgHV and </w:t>
      </w:r>
      <w:proofErr w:type="spellStart"/>
      <w:r w:rsidRPr="007B7DF4">
        <w:rPr>
          <w:sz w:val="24"/>
          <w:szCs w:val="24"/>
          <w:lang w:val="en-US"/>
        </w:rPr>
        <w:t>IgKV</w:t>
      </w:r>
      <w:proofErr w:type="spellEnd"/>
      <w:r w:rsidRPr="007B7DF4">
        <w:rPr>
          <w:sz w:val="24"/>
          <w:szCs w:val="24"/>
          <w:lang w:val="en-US"/>
        </w:rPr>
        <w:t xml:space="preserve"> variable chains in rat primary </w:t>
      </w:r>
      <w:r w:rsidRPr="007B7DF4">
        <w:rPr>
          <w:color w:val="000000" w:themeColor="text1"/>
          <w:sz w:val="24"/>
          <w:szCs w:val="24"/>
          <w:lang w:val="en-US"/>
        </w:rPr>
        <w:t xml:space="preserve">spinal or cortex </w:t>
      </w:r>
      <w:r w:rsidRPr="007B7DF4">
        <w:rPr>
          <w:sz w:val="24"/>
          <w:szCs w:val="24"/>
          <w:lang w:val="en-US"/>
        </w:rPr>
        <w:t>astrocytes. cDNA from spleen served as a positive control. H</w:t>
      </w:r>
      <w:r w:rsidRPr="007B7DF4">
        <w:rPr>
          <w:sz w:val="24"/>
          <w:szCs w:val="24"/>
          <w:vertAlign w:val="subscript"/>
          <w:lang w:val="en-US"/>
        </w:rPr>
        <w:t>2</w:t>
      </w:r>
      <w:r w:rsidRPr="007B7DF4">
        <w:rPr>
          <w:sz w:val="24"/>
          <w:szCs w:val="24"/>
          <w:lang w:val="en-US"/>
        </w:rPr>
        <w:t>O and negative Reverse Transcriptase (RT-) serve as negative controls</w:t>
      </w:r>
    </w:p>
    <w:p w14:paraId="77A25BCD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</w:p>
    <w:p w14:paraId="2AA8B3D2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  <w:r w:rsidRPr="007B7DF4">
        <w:rPr>
          <w:b/>
          <w:bCs/>
          <w:sz w:val="24"/>
          <w:szCs w:val="24"/>
          <w:lang w:val="en-US"/>
        </w:rPr>
        <w:t>Supp. Figure 4</w:t>
      </w:r>
      <w:r w:rsidRPr="007B7DF4">
        <w:rPr>
          <w:sz w:val="24"/>
          <w:szCs w:val="24"/>
          <w:lang w:val="en-US"/>
        </w:rPr>
        <w:t xml:space="preserve"> : </w:t>
      </w:r>
      <w:r w:rsidRPr="007B7DF4">
        <w:rPr>
          <w:b/>
          <w:sz w:val="24"/>
          <w:szCs w:val="24"/>
          <w:lang w:val="en-US"/>
        </w:rPr>
        <w:t>A)</w:t>
      </w:r>
      <w:r w:rsidRPr="007B7DF4">
        <w:rPr>
          <w:sz w:val="24"/>
          <w:szCs w:val="24"/>
          <w:lang w:val="en-US"/>
        </w:rPr>
        <w:t xml:space="preserve"> Sequences alignment of different </w:t>
      </w:r>
      <w:proofErr w:type="spellStart"/>
      <w:r w:rsidRPr="007B7DF4">
        <w:rPr>
          <w:sz w:val="24"/>
          <w:szCs w:val="24"/>
          <w:lang w:val="en-US"/>
        </w:rPr>
        <w:t>IgVH</w:t>
      </w:r>
      <w:proofErr w:type="spellEnd"/>
      <w:r w:rsidRPr="007B7DF4">
        <w:rPr>
          <w:sz w:val="24"/>
          <w:szCs w:val="24"/>
          <w:lang w:val="en-US"/>
        </w:rPr>
        <w:t xml:space="preserve"> retrieved from RNAseq analyses performed on DI TNC1 cells and rat primary cortex and spinal astrocytes. These sequences were confirmed by RT-PCR amplification. </w:t>
      </w:r>
      <w:r w:rsidRPr="007B7DF4">
        <w:rPr>
          <w:b/>
          <w:sz w:val="24"/>
          <w:szCs w:val="24"/>
          <w:lang w:val="en-US"/>
        </w:rPr>
        <w:t>B)</w:t>
      </w:r>
      <w:r w:rsidRPr="007B7DF4">
        <w:rPr>
          <w:sz w:val="24"/>
          <w:szCs w:val="24"/>
          <w:lang w:val="en-US"/>
        </w:rPr>
        <w:t xml:space="preserve"> Rat IgM sequence characterized by RNAseq, RT-PCR and proteomic analyses carried out on rat primary spinal and cortex astrocytes </w:t>
      </w:r>
      <w:r w:rsidRPr="007B7DF4">
        <w:rPr>
          <w:b/>
          <w:sz w:val="24"/>
          <w:szCs w:val="24"/>
          <w:lang w:val="en-US"/>
        </w:rPr>
        <w:t>C)</w:t>
      </w:r>
      <w:r w:rsidRPr="007B7DF4">
        <w:rPr>
          <w:sz w:val="24"/>
          <w:szCs w:val="24"/>
          <w:lang w:val="en-US"/>
        </w:rPr>
        <w:t xml:space="preserve"> RT-PCR amplification of </w:t>
      </w:r>
      <w:r w:rsidRPr="007B7DF4">
        <w:rPr>
          <w:iCs/>
          <w:sz w:val="24"/>
          <w:szCs w:val="24"/>
          <w:lang w:val="en-US"/>
        </w:rPr>
        <w:t xml:space="preserve">IgG2B </w:t>
      </w:r>
      <w:r w:rsidRPr="007B7DF4">
        <w:rPr>
          <w:sz w:val="24"/>
          <w:szCs w:val="24"/>
          <w:lang w:val="en-US"/>
        </w:rPr>
        <w:t xml:space="preserve">constant </w:t>
      </w:r>
      <w:r w:rsidRPr="007B7DF4">
        <w:rPr>
          <w:b/>
          <w:bCs/>
          <w:sz w:val="24"/>
          <w:szCs w:val="24"/>
          <w:lang w:val="en-US"/>
        </w:rPr>
        <w:t>a</w:t>
      </w:r>
      <w:r w:rsidRPr="007B7DF4">
        <w:rPr>
          <w:sz w:val="24"/>
          <w:szCs w:val="24"/>
          <w:lang w:val="en-US"/>
        </w:rPr>
        <w:t xml:space="preserve">) and variable heavy chains </w:t>
      </w:r>
      <w:r w:rsidRPr="007B7DF4">
        <w:rPr>
          <w:b/>
          <w:bCs/>
          <w:sz w:val="24"/>
          <w:szCs w:val="24"/>
          <w:lang w:val="en-US"/>
        </w:rPr>
        <w:t>b</w:t>
      </w:r>
      <w:r w:rsidRPr="007B7DF4">
        <w:rPr>
          <w:sz w:val="24"/>
          <w:szCs w:val="24"/>
          <w:lang w:val="en-US"/>
        </w:rPr>
        <w:t xml:space="preserve">) coding sequences from primary astrocytes from adult rats. cDNA from spleen served as a positive control. </w:t>
      </w:r>
      <w:r w:rsidRPr="007B7DF4">
        <w:rPr>
          <w:b/>
          <w:bCs/>
          <w:sz w:val="24"/>
          <w:szCs w:val="24"/>
          <w:lang w:val="en-US"/>
        </w:rPr>
        <w:t>c</w:t>
      </w:r>
      <w:r w:rsidRPr="007B7DF4">
        <w:rPr>
          <w:sz w:val="24"/>
          <w:szCs w:val="24"/>
          <w:lang w:val="en-US"/>
        </w:rPr>
        <w:t xml:space="preserve">) RT-PCR amplification of </w:t>
      </w:r>
      <w:r w:rsidRPr="007B7DF4">
        <w:rPr>
          <w:i/>
          <w:iCs/>
          <w:sz w:val="24"/>
          <w:szCs w:val="24"/>
          <w:lang w:val="en-US"/>
        </w:rPr>
        <w:t>kappa</w:t>
      </w:r>
      <w:r w:rsidRPr="007B7DF4">
        <w:rPr>
          <w:sz w:val="24"/>
          <w:szCs w:val="24"/>
          <w:lang w:val="en-US"/>
        </w:rPr>
        <w:t xml:space="preserve"> light constant chains and </w:t>
      </w:r>
      <w:r w:rsidRPr="007B7DF4">
        <w:rPr>
          <w:i/>
          <w:iCs/>
          <w:sz w:val="24"/>
          <w:szCs w:val="24"/>
          <w:lang w:val="en-US"/>
        </w:rPr>
        <w:t>kappa</w:t>
      </w:r>
      <w:r w:rsidRPr="007B7DF4">
        <w:rPr>
          <w:sz w:val="24"/>
          <w:szCs w:val="24"/>
          <w:lang w:val="en-US"/>
        </w:rPr>
        <w:t xml:space="preserve"> light variable chain mRNA from embryonic primary culture of human astrocytes. The experiment was also performed on a negative reverse transcriptase sample to rule out genomic DNA contamination. H</w:t>
      </w:r>
      <w:r w:rsidRPr="007B7DF4">
        <w:rPr>
          <w:sz w:val="24"/>
          <w:szCs w:val="24"/>
          <w:vertAlign w:val="subscript"/>
          <w:lang w:val="en-US"/>
        </w:rPr>
        <w:t>2</w:t>
      </w:r>
      <w:r w:rsidRPr="007B7DF4">
        <w:rPr>
          <w:sz w:val="24"/>
          <w:szCs w:val="24"/>
          <w:lang w:val="en-US"/>
        </w:rPr>
        <w:t>0: negative control.</w:t>
      </w:r>
    </w:p>
    <w:p w14:paraId="25074BF1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</w:p>
    <w:p w14:paraId="23F92F6C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  <w:r w:rsidRPr="007B7DF4">
        <w:rPr>
          <w:b/>
          <w:bCs/>
          <w:sz w:val="24"/>
          <w:szCs w:val="24"/>
          <w:lang w:val="en-US"/>
        </w:rPr>
        <w:t xml:space="preserve">Supp. Figure 5 </w:t>
      </w:r>
      <w:r w:rsidRPr="007B7DF4">
        <w:rPr>
          <w:sz w:val="24"/>
          <w:szCs w:val="24"/>
          <w:lang w:val="en-US"/>
        </w:rPr>
        <w:t xml:space="preserve">: String analyses of the specific proteins identified after </w:t>
      </w:r>
      <w:r w:rsidRPr="007B7DF4">
        <w:rPr>
          <w:i/>
          <w:sz w:val="24"/>
          <w:szCs w:val="24"/>
          <w:lang w:val="en-US"/>
        </w:rPr>
        <w:t>IgH6</w:t>
      </w:r>
      <w:r w:rsidRPr="007B7DF4">
        <w:rPr>
          <w:sz w:val="24"/>
          <w:szCs w:val="24"/>
          <w:lang w:val="en-US"/>
        </w:rPr>
        <w:t xml:space="preserve">-1 KO or </w:t>
      </w:r>
      <w:r w:rsidRPr="007B7DF4">
        <w:rPr>
          <w:i/>
          <w:sz w:val="24"/>
          <w:szCs w:val="24"/>
          <w:lang w:val="en-US"/>
        </w:rPr>
        <w:t>IgH6</w:t>
      </w:r>
      <w:r w:rsidRPr="007B7DF4">
        <w:rPr>
          <w:sz w:val="24"/>
          <w:szCs w:val="24"/>
          <w:lang w:val="en-US"/>
        </w:rPr>
        <w:t>-2 KO.</w:t>
      </w:r>
    </w:p>
    <w:p w14:paraId="299D1807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</w:p>
    <w:p w14:paraId="0AAF9D90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  <w:r w:rsidRPr="007B7DF4">
        <w:rPr>
          <w:b/>
          <w:bCs/>
          <w:sz w:val="24"/>
          <w:szCs w:val="24"/>
          <w:lang w:val="en-US"/>
        </w:rPr>
        <w:t>Supp. Figure 6:  A)</w:t>
      </w:r>
      <w:r w:rsidRPr="007B7DF4">
        <w:rPr>
          <w:sz w:val="24"/>
          <w:szCs w:val="24"/>
          <w:lang w:val="en-US"/>
        </w:rPr>
        <w:t xml:space="preserve"> Anti-Flag Western blot analyses from Gel electrophoresis in non-reducing conditions of </w:t>
      </w:r>
      <w:proofErr w:type="spellStart"/>
      <w:r w:rsidRPr="007B7DF4">
        <w:rPr>
          <w:sz w:val="24"/>
          <w:szCs w:val="24"/>
          <w:lang w:val="en-US"/>
        </w:rPr>
        <w:t>IgGH</w:t>
      </w:r>
      <w:proofErr w:type="spellEnd"/>
      <w:r w:rsidRPr="007B7DF4">
        <w:rPr>
          <w:sz w:val="24"/>
          <w:szCs w:val="24"/>
          <w:lang w:val="en-US"/>
        </w:rPr>
        <w:t xml:space="preserve"> constructs with or without TM domain in DI TNC1, cells transduced with empty vector (EV) or LPS-stimulated for 24h, 48h or 72h. </w:t>
      </w:r>
      <w:r w:rsidRPr="007B7DF4">
        <w:rPr>
          <w:b/>
          <w:bCs/>
          <w:sz w:val="24"/>
          <w:szCs w:val="24"/>
          <w:lang w:val="en-US"/>
        </w:rPr>
        <w:t>B)</w:t>
      </w:r>
      <w:r w:rsidRPr="007B7DF4">
        <w:rPr>
          <w:sz w:val="24"/>
          <w:szCs w:val="24"/>
          <w:lang w:val="en-US"/>
        </w:rPr>
        <w:t xml:space="preserve"> anti-</w:t>
      </w:r>
      <w:proofErr w:type="spellStart"/>
      <w:r w:rsidRPr="007B7DF4">
        <w:rPr>
          <w:sz w:val="24"/>
          <w:szCs w:val="24"/>
          <w:lang w:val="en-US"/>
        </w:rPr>
        <w:t>IgKV</w:t>
      </w:r>
      <w:proofErr w:type="spellEnd"/>
      <w:r w:rsidRPr="007B7DF4">
        <w:rPr>
          <w:sz w:val="24"/>
          <w:szCs w:val="24"/>
          <w:lang w:val="en-US"/>
        </w:rPr>
        <w:t xml:space="preserve"> Western blot analyses under </w:t>
      </w:r>
      <w:r w:rsidRPr="007B7DF4">
        <w:rPr>
          <w:sz w:val="24"/>
          <w:szCs w:val="24"/>
          <w:lang w:val="en-US"/>
        </w:rPr>
        <w:lastRenderedPageBreak/>
        <w:t xml:space="preserve">reducing conditions of DI TNC1 cells as well as spinal and cortex primary astrocytes stimulated or not with LPS , </w:t>
      </w:r>
      <w:r w:rsidRPr="007B7DF4">
        <w:rPr>
          <w:b/>
          <w:bCs/>
          <w:sz w:val="24"/>
          <w:szCs w:val="24"/>
          <w:lang w:val="en-US"/>
        </w:rPr>
        <w:t>C)</w:t>
      </w:r>
      <w:r w:rsidRPr="007B7DF4">
        <w:rPr>
          <w:sz w:val="24"/>
          <w:szCs w:val="24"/>
          <w:lang w:val="en-US"/>
        </w:rPr>
        <w:t xml:space="preserve"> Western blot analyses of secretome of LPS-stimulated CRIPSR-CAS 9 (IgH6-1, IgH6-2) DI TNC1 cells versus T2 (Trop2), control, polybrene and empty vector transfected cells with anti-Heimdall </w:t>
      </w:r>
      <w:r w:rsidRPr="007B7DF4">
        <w:rPr>
          <w:b/>
          <w:bCs/>
          <w:sz w:val="24"/>
          <w:szCs w:val="24"/>
          <w:lang w:val="en-US"/>
        </w:rPr>
        <w:t>D)</w:t>
      </w:r>
      <w:r w:rsidRPr="007B7DF4">
        <w:rPr>
          <w:sz w:val="24"/>
          <w:szCs w:val="24"/>
          <w:lang w:val="en-US"/>
        </w:rPr>
        <w:t xml:space="preserve"> Venn diagram of the three conditions with controls and EV conditions.</w:t>
      </w:r>
    </w:p>
    <w:p w14:paraId="0E3C48B3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</w:p>
    <w:p w14:paraId="39BDB506" w14:textId="77777777" w:rsidR="00F33374" w:rsidRPr="007B7DF4" w:rsidRDefault="00F33374" w:rsidP="00F33374">
      <w:pPr>
        <w:pStyle w:val="Sansinterligne"/>
        <w:spacing w:line="360" w:lineRule="auto"/>
        <w:jc w:val="both"/>
        <w:rPr>
          <w:sz w:val="24"/>
          <w:szCs w:val="24"/>
          <w:lang w:val="en-US"/>
        </w:rPr>
      </w:pPr>
      <w:r w:rsidRPr="007B7DF4">
        <w:rPr>
          <w:b/>
          <w:bCs/>
          <w:sz w:val="24"/>
          <w:szCs w:val="24"/>
          <w:lang w:val="en-US"/>
        </w:rPr>
        <w:t xml:space="preserve">Supp. Figure 7 </w:t>
      </w:r>
      <w:r w:rsidRPr="007B7DF4">
        <w:rPr>
          <w:sz w:val="24"/>
          <w:szCs w:val="24"/>
          <w:lang w:val="en-US"/>
        </w:rPr>
        <w:t xml:space="preserve">: </w:t>
      </w:r>
      <w:r w:rsidRPr="007B7DF4">
        <w:rPr>
          <w:bCs/>
          <w:sz w:val="24"/>
          <w:szCs w:val="24"/>
          <w:lang w:val="en-US"/>
        </w:rPr>
        <w:t xml:space="preserve">Proximal labeling study in HEK 293 cells with rat IgG2B transmembrane form as a bait in </w:t>
      </w:r>
      <w:r w:rsidRPr="007B7DF4">
        <w:rPr>
          <w:sz w:val="24"/>
          <w:szCs w:val="24"/>
          <w:lang w:val="en-US"/>
        </w:rPr>
        <w:t>control conditions</w:t>
      </w:r>
      <w:r w:rsidRPr="007B7DF4">
        <w:rPr>
          <w:bCs/>
          <w:sz w:val="24"/>
          <w:szCs w:val="24"/>
          <w:lang w:val="en-US"/>
        </w:rPr>
        <w:t xml:space="preserve">. </w:t>
      </w:r>
      <w:r w:rsidRPr="007B7DF4">
        <w:rPr>
          <w:color w:val="000000"/>
          <w:sz w:val="24"/>
          <w:szCs w:val="24"/>
          <w:lang w:val="en-US"/>
        </w:rPr>
        <w:t xml:space="preserve">Detection of biotinylated proteins (green, Streptavidin Alexa Fluor 488 conjugate) and rat IgG2B (red, anti-Flag) in HEK293 cells after overexpression of IgG2B constant part in fusion with </w:t>
      </w:r>
      <w:proofErr w:type="spellStart"/>
      <w:r w:rsidRPr="007B7DF4">
        <w:rPr>
          <w:color w:val="000000"/>
          <w:sz w:val="24"/>
          <w:szCs w:val="24"/>
          <w:lang w:val="en-US"/>
        </w:rPr>
        <w:t>BirA</w:t>
      </w:r>
      <w:proofErr w:type="spellEnd"/>
      <w:r w:rsidRPr="007B7DF4">
        <w:rPr>
          <w:color w:val="000000"/>
          <w:sz w:val="24"/>
          <w:szCs w:val="24"/>
          <w:lang w:val="en-US"/>
        </w:rPr>
        <w:t>*Flag. IgG2B was overexpressed with a rat or a human signal peptide. Nuclei were stained with DAPI (blue).</w:t>
      </w:r>
    </w:p>
    <w:p w14:paraId="7BF206E1" w14:textId="7C3C6CBB" w:rsidR="00912E24" w:rsidRDefault="00912E24">
      <w:pPr>
        <w:rPr>
          <w:lang w:val="en-US"/>
        </w:rPr>
      </w:pPr>
    </w:p>
    <w:p w14:paraId="47979217" w14:textId="77777777" w:rsidR="007C0F29" w:rsidRPr="004B3193" w:rsidRDefault="007C0F29" w:rsidP="007C0F29">
      <w:pPr>
        <w:spacing w:line="259" w:lineRule="auto"/>
        <w:rPr>
          <w:rFonts w:asciiTheme="minorHAnsi" w:hAnsiTheme="minorHAnsi" w:cstheme="minorHAnsi"/>
          <w:szCs w:val="24"/>
          <w:lang w:val="en-US"/>
        </w:rPr>
      </w:pPr>
      <w:r w:rsidRPr="004B3193">
        <w:rPr>
          <w:rFonts w:asciiTheme="minorHAnsi" w:hAnsiTheme="minorHAnsi" w:cstheme="minorHAnsi"/>
          <w:b/>
          <w:bCs/>
          <w:szCs w:val="24"/>
          <w:lang w:val="en-US"/>
        </w:rPr>
        <w:t xml:space="preserve">Supp. Table 1 : </w:t>
      </w:r>
      <w:r w:rsidRPr="007D5E3A">
        <w:rPr>
          <w:rFonts w:asciiTheme="minorHAnsi" w:hAnsiTheme="minorHAnsi" w:cstheme="minorHAnsi"/>
          <w:szCs w:val="24"/>
          <w:lang w:val="en-US"/>
        </w:rPr>
        <w:t>List of the primers used</w:t>
      </w:r>
    </w:p>
    <w:p w14:paraId="44881BFE" w14:textId="77777777" w:rsidR="007C0F29" w:rsidRDefault="007C0F29" w:rsidP="007C0F29">
      <w:pPr>
        <w:spacing w:line="259" w:lineRule="auto"/>
        <w:rPr>
          <w:rFonts w:asciiTheme="minorHAnsi" w:hAnsiTheme="minorHAnsi" w:cstheme="minorHAnsi"/>
          <w:b/>
          <w:bCs/>
          <w:szCs w:val="24"/>
          <w:lang w:val="en-US"/>
        </w:rPr>
      </w:pPr>
    </w:p>
    <w:p w14:paraId="1CCC54EC" w14:textId="65E2B008" w:rsidR="007C0F29" w:rsidRPr="007D5E3A" w:rsidRDefault="007C0F29" w:rsidP="007C0F29">
      <w:pPr>
        <w:spacing w:line="259" w:lineRule="auto"/>
        <w:rPr>
          <w:rFonts w:asciiTheme="minorHAnsi" w:hAnsiTheme="minorHAnsi" w:cstheme="minorHAnsi"/>
          <w:szCs w:val="24"/>
          <w:lang w:val="en-US"/>
        </w:rPr>
      </w:pPr>
      <w:r w:rsidRPr="004B3193">
        <w:rPr>
          <w:rFonts w:asciiTheme="minorHAnsi" w:hAnsiTheme="minorHAnsi" w:cstheme="minorHAnsi"/>
          <w:b/>
          <w:bCs/>
          <w:szCs w:val="24"/>
          <w:lang w:val="en-US"/>
        </w:rPr>
        <w:t xml:space="preserve">Supp. Table 2 </w:t>
      </w:r>
      <w:r w:rsidRPr="007D5E3A">
        <w:rPr>
          <w:rFonts w:asciiTheme="minorHAnsi" w:hAnsiTheme="minorHAnsi" w:cstheme="minorHAnsi"/>
          <w:szCs w:val="24"/>
          <w:lang w:val="en-US"/>
        </w:rPr>
        <w:t>: RT-PCR and RACE_PCR parameters</w:t>
      </w:r>
    </w:p>
    <w:p w14:paraId="35242B22" w14:textId="77777777" w:rsidR="007C0F29" w:rsidRPr="00785FC1" w:rsidRDefault="007C0F29">
      <w:pPr>
        <w:rPr>
          <w:lang w:val="en-US"/>
        </w:rPr>
      </w:pPr>
    </w:p>
    <w:sectPr w:rsidR="007C0F29" w:rsidRPr="00785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C1"/>
    <w:rsid w:val="001C6CE8"/>
    <w:rsid w:val="00785FC1"/>
    <w:rsid w:val="007C0F29"/>
    <w:rsid w:val="007D5E3A"/>
    <w:rsid w:val="00912E24"/>
    <w:rsid w:val="00C66945"/>
    <w:rsid w:val="00F3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5C6A"/>
  <w15:chartTrackingRefBased/>
  <w15:docId w15:val="{3EC9BA98-255E-49D6-9C13-58987C8F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85FC1"/>
    <w:pPr>
      <w:suppressAutoHyphens/>
      <w:autoSpaceDN w:val="0"/>
      <w:spacing w:line="360" w:lineRule="auto"/>
      <w:jc w:val="both"/>
      <w:textAlignment w:val="baseline"/>
    </w:pPr>
    <w:rPr>
      <w:rFonts w:ascii="Calibri" w:eastAsia="Calibri" w:hAnsi="Calibri" w:cs="Times New Roman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qFormat/>
    <w:rsid w:val="00F33374"/>
    <w:pPr>
      <w:spacing w:after="0" w:line="240" w:lineRule="auto"/>
    </w:pPr>
    <w:rPr>
      <w:lang w:val="fr-FR"/>
    </w:rPr>
  </w:style>
  <w:style w:type="character" w:customStyle="1" w:styleId="SansinterligneCar">
    <w:name w:val="Sans interligne Car"/>
    <w:basedOn w:val="Policepardfaut"/>
    <w:link w:val="Sansinterligne"/>
    <w:rsid w:val="00F33374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capuz</dc:creator>
  <cp:keywords/>
  <dc:description/>
  <cp:lastModifiedBy>alice capuz</cp:lastModifiedBy>
  <cp:revision>3</cp:revision>
  <dcterms:created xsi:type="dcterms:W3CDTF">2022-10-17T11:39:00Z</dcterms:created>
  <dcterms:modified xsi:type="dcterms:W3CDTF">2022-10-17T12:03:00Z</dcterms:modified>
</cp:coreProperties>
</file>