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D264DA" w14:textId="2D527181" w:rsidR="00640BF8" w:rsidRPr="00E05BB0" w:rsidRDefault="00A84774">
      <w:pPr>
        <w:rPr>
          <w:lang w:val="en-CA"/>
        </w:rPr>
      </w:pPr>
      <w:r w:rsidRPr="00E05BB0">
        <w:rPr>
          <w:lang w:val="en-CA"/>
        </w:rPr>
        <w:t>Table 1. Characteristics of included studies assessing cancer risk with diabetes medication</w:t>
      </w:r>
      <w:r w:rsidR="003E1F9C" w:rsidRPr="00E05BB0">
        <w:rPr>
          <w:lang w:val="en-CA"/>
        </w:rPr>
        <w:t>s</w:t>
      </w:r>
    </w:p>
    <w:tbl>
      <w:tblPr>
        <w:tblStyle w:val="TableGrid"/>
        <w:tblpPr w:leftFromText="180" w:rightFromText="180" w:vertAnchor="text" w:tblpY="1"/>
        <w:tblOverlap w:val="never"/>
        <w:tblW w:w="5000" w:type="pct"/>
        <w:tblLook w:val="04A0" w:firstRow="1" w:lastRow="0" w:firstColumn="1" w:lastColumn="0" w:noHBand="0" w:noVBand="1"/>
      </w:tblPr>
      <w:tblGrid>
        <w:gridCol w:w="1340"/>
        <w:gridCol w:w="1159"/>
        <w:gridCol w:w="1271"/>
        <w:gridCol w:w="1607"/>
        <w:gridCol w:w="1607"/>
        <w:gridCol w:w="1392"/>
        <w:gridCol w:w="1220"/>
        <w:gridCol w:w="2032"/>
        <w:gridCol w:w="794"/>
        <w:gridCol w:w="528"/>
      </w:tblGrid>
      <w:tr w:rsidR="00B7487B" w:rsidRPr="00F1762B" w14:paraId="607FDC8C" w14:textId="30620902" w:rsidTr="00F1762B">
        <w:tc>
          <w:tcPr>
            <w:tcW w:w="517" w:type="pct"/>
          </w:tcPr>
          <w:p w14:paraId="433FCA5F" w14:textId="6C61FE7D" w:rsidR="008721DE" w:rsidRPr="00F1762B" w:rsidRDefault="008721DE" w:rsidP="00E05BB0">
            <w:pPr>
              <w:rPr>
                <w:sz w:val="15"/>
                <w:szCs w:val="15"/>
                <w:lang w:val="en-CA"/>
              </w:rPr>
            </w:pPr>
            <w:r w:rsidRPr="00F1762B">
              <w:rPr>
                <w:sz w:val="15"/>
                <w:szCs w:val="15"/>
                <w:lang w:val="en-CA"/>
              </w:rPr>
              <w:t>Study</w:t>
            </w:r>
          </w:p>
        </w:tc>
        <w:tc>
          <w:tcPr>
            <w:tcW w:w="447" w:type="pct"/>
          </w:tcPr>
          <w:p w14:paraId="124ABEF1" w14:textId="066CFFF8" w:rsidR="008721DE" w:rsidRPr="00F1762B" w:rsidRDefault="008721DE" w:rsidP="00E05BB0">
            <w:pPr>
              <w:rPr>
                <w:sz w:val="15"/>
                <w:szCs w:val="15"/>
                <w:lang w:val="en-CA"/>
              </w:rPr>
            </w:pPr>
            <w:r w:rsidRPr="00F1762B">
              <w:rPr>
                <w:sz w:val="15"/>
                <w:szCs w:val="15"/>
                <w:lang w:val="en-CA"/>
              </w:rPr>
              <w:t>Location/setting</w:t>
            </w:r>
          </w:p>
        </w:tc>
        <w:tc>
          <w:tcPr>
            <w:tcW w:w="491" w:type="pct"/>
          </w:tcPr>
          <w:p w14:paraId="588BE650" w14:textId="1AE342E1" w:rsidR="008721DE" w:rsidRPr="00F1762B" w:rsidRDefault="008721DE" w:rsidP="00E05BB0">
            <w:pPr>
              <w:rPr>
                <w:sz w:val="15"/>
                <w:szCs w:val="15"/>
                <w:lang w:val="en-CA"/>
              </w:rPr>
            </w:pPr>
            <w:r w:rsidRPr="00F1762B">
              <w:rPr>
                <w:sz w:val="15"/>
                <w:szCs w:val="15"/>
                <w:lang w:val="en-CA"/>
              </w:rPr>
              <w:t>Time period; mean/median follow-up (years)</w:t>
            </w:r>
          </w:p>
        </w:tc>
        <w:tc>
          <w:tcPr>
            <w:tcW w:w="620" w:type="pct"/>
          </w:tcPr>
          <w:p w14:paraId="576F8A25" w14:textId="54423C49" w:rsidR="008721DE" w:rsidRPr="00F1762B" w:rsidRDefault="008721DE" w:rsidP="00E05BB0">
            <w:pPr>
              <w:rPr>
                <w:sz w:val="15"/>
                <w:szCs w:val="15"/>
              </w:rPr>
            </w:pPr>
            <w:r w:rsidRPr="00F1762B">
              <w:rPr>
                <w:sz w:val="15"/>
                <w:szCs w:val="15"/>
              </w:rPr>
              <w:t>Age range, mean/median and standard deviation/IQR (years)</w:t>
            </w:r>
          </w:p>
        </w:tc>
        <w:tc>
          <w:tcPr>
            <w:tcW w:w="620" w:type="pct"/>
          </w:tcPr>
          <w:p w14:paraId="71E4EAFC" w14:textId="03892880" w:rsidR="008721DE" w:rsidRPr="00F1762B" w:rsidRDefault="008721DE" w:rsidP="00E05BB0">
            <w:pPr>
              <w:rPr>
                <w:sz w:val="15"/>
                <w:szCs w:val="15"/>
                <w:lang w:val="en-CA"/>
              </w:rPr>
            </w:pPr>
            <w:r w:rsidRPr="00F1762B">
              <w:rPr>
                <w:sz w:val="15"/>
                <w:szCs w:val="15"/>
                <w:lang w:val="en-CA"/>
              </w:rPr>
              <w:t>Percent male (%)</w:t>
            </w:r>
          </w:p>
        </w:tc>
        <w:tc>
          <w:tcPr>
            <w:tcW w:w="537" w:type="pct"/>
          </w:tcPr>
          <w:p w14:paraId="0A0F6A56" w14:textId="701F0A8E" w:rsidR="008721DE" w:rsidRPr="00F1762B" w:rsidRDefault="008721DE" w:rsidP="00E05BB0">
            <w:pPr>
              <w:rPr>
                <w:sz w:val="15"/>
                <w:szCs w:val="15"/>
                <w:lang w:val="en-CA"/>
              </w:rPr>
            </w:pPr>
            <w:r w:rsidRPr="00F1762B">
              <w:rPr>
                <w:sz w:val="15"/>
                <w:szCs w:val="15"/>
                <w:lang w:val="en-CA"/>
              </w:rPr>
              <w:t>Exposure/treatment categories</w:t>
            </w:r>
          </w:p>
        </w:tc>
        <w:tc>
          <w:tcPr>
            <w:tcW w:w="471" w:type="pct"/>
          </w:tcPr>
          <w:p w14:paraId="0C6F2A2E" w14:textId="75AF7118" w:rsidR="008721DE" w:rsidRPr="00F1762B" w:rsidRDefault="008721DE" w:rsidP="00E05BB0">
            <w:pPr>
              <w:rPr>
                <w:sz w:val="15"/>
                <w:szCs w:val="15"/>
                <w:lang w:val="en-CA"/>
              </w:rPr>
            </w:pPr>
            <w:r w:rsidRPr="00F1762B">
              <w:rPr>
                <w:sz w:val="15"/>
                <w:szCs w:val="15"/>
                <w:lang w:val="en-CA"/>
              </w:rPr>
              <w:t>Outcome</w:t>
            </w:r>
          </w:p>
        </w:tc>
        <w:tc>
          <w:tcPr>
            <w:tcW w:w="785" w:type="pct"/>
          </w:tcPr>
          <w:p w14:paraId="1FB1DE63" w14:textId="667295E7" w:rsidR="008721DE" w:rsidRPr="00F1762B" w:rsidRDefault="008721DE" w:rsidP="00E05BB0">
            <w:pPr>
              <w:rPr>
                <w:sz w:val="15"/>
                <w:szCs w:val="15"/>
                <w:lang w:val="en-CA"/>
              </w:rPr>
            </w:pPr>
            <w:r w:rsidRPr="00F1762B">
              <w:rPr>
                <w:sz w:val="15"/>
                <w:szCs w:val="15"/>
                <w:lang w:val="en-CA"/>
              </w:rPr>
              <w:t>Matched/adjusted/randomized factors</w:t>
            </w:r>
          </w:p>
        </w:tc>
        <w:tc>
          <w:tcPr>
            <w:tcW w:w="307" w:type="pct"/>
          </w:tcPr>
          <w:p w14:paraId="05AD2DDF" w14:textId="2102D6EF" w:rsidR="008721DE" w:rsidRPr="00F1762B" w:rsidRDefault="008721DE" w:rsidP="00E05BB0">
            <w:pPr>
              <w:rPr>
                <w:sz w:val="15"/>
                <w:szCs w:val="15"/>
                <w:lang w:val="en-CA"/>
              </w:rPr>
            </w:pPr>
            <w:r w:rsidRPr="00F1762B">
              <w:rPr>
                <w:sz w:val="15"/>
                <w:szCs w:val="15"/>
                <w:lang w:val="en-CA"/>
              </w:rPr>
              <w:t>Risk of bias</w:t>
            </w:r>
          </w:p>
        </w:tc>
        <w:tc>
          <w:tcPr>
            <w:tcW w:w="204" w:type="pct"/>
          </w:tcPr>
          <w:p w14:paraId="3C0059F5" w14:textId="00BD23D0" w:rsidR="008721DE" w:rsidRPr="00F1762B" w:rsidRDefault="003E1F9C" w:rsidP="00E05BB0">
            <w:pPr>
              <w:rPr>
                <w:sz w:val="15"/>
                <w:szCs w:val="15"/>
                <w:lang w:val="en-CA"/>
              </w:rPr>
            </w:pPr>
            <w:r w:rsidRPr="00F1762B">
              <w:rPr>
                <w:sz w:val="15"/>
                <w:szCs w:val="15"/>
                <w:lang w:val="en-CA"/>
              </w:rPr>
              <w:t>NOS score</w:t>
            </w:r>
          </w:p>
        </w:tc>
      </w:tr>
      <w:tr w:rsidR="00B7487B" w:rsidRPr="00F1762B" w14:paraId="3055C0BF" w14:textId="7487E9BC" w:rsidTr="00F1762B">
        <w:tc>
          <w:tcPr>
            <w:tcW w:w="517" w:type="pct"/>
            <w:shd w:val="clear" w:color="auto" w:fill="F2F2F2" w:themeFill="background1" w:themeFillShade="F2"/>
          </w:tcPr>
          <w:p w14:paraId="76879186" w14:textId="7FD2E9EF" w:rsidR="008721DE" w:rsidRPr="00F1762B" w:rsidRDefault="008721DE" w:rsidP="00E05BB0">
            <w:pPr>
              <w:rPr>
                <w:sz w:val="15"/>
                <w:szCs w:val="15"/>
                <w:lang w:val="en-CA"/>
              </w:rPr>
            </w:pPr>
            <w:r w:rsidRPr="00F1762B">
              <w:rPr>
                <w:sz w:val="15"/>
                <w:szCs w:val="15"/>
                <w:lang w:val="en-CA"/>
              </w:rPr>
              <w:t>3 Randomized controlled trials (RCTs)</w:t>
            </w:r>
          </w:p>
        </w:tc>
        <w:tc>
          <w:tcPr>
            <w:tcW w:w="447" w:type="pct"/>
            <w:shd w:val="clear" w:color="auto" w:fill="F2F2F2" w:themeFill="background1" w:themeFillShade="F2"/>
          </w:tcPr>
          <w:p w14:paraId="49E6C1A8" w14:textId="77777777" w:rsidR="008721DE" w:rsidRPr="00F1762B" w:rsidRDefault="008721DE" w:rsidP="00E05BB0">
            <w:pPr>
              <w:rPr>
                <w:sz w:val="15"/>
                <w:szCs w:val="15"/>
                <w:lang w:val="en-CA"/>
              </w:rPr>
            </w:pPr>
          </w:p>
        </w:tc>
        <w:tc>
          <w:tcPr>
            <w:tcW w:w="491" w:type="pct"/>
            <w:shd w:val="clear" w:color="auto" w:fill="F2F2F2" w:themeFill="background1" w:themeFillShade="F2"/>
          </w:tcPr>
          <w:p w14:paraId="34A02D2A" w14:textId="77777777" w:rsidR="008721DE" w:rsidRPr="00F1762B" w:rsidRDefault="008721DE" w:rsidP="00E05BB0">
            <w:pPr>
              <w:rPr>
                <w:sz w:val="15"/>
                <w:szCs w:val="15"/>
                <w:lang w:val="en-CA"/>
              </w:rPr>
            </w:pPr>
          </w:p>
        </w:tc>
        <w:tc>
          <w:tcPr>
            <w:tcW w:w="620" w:type="pct"/>
            <w:shd w:val="clear" w:color="auto" w:fill="F2F2F2" w:themeFill="background1" w:themeFillShade="F2"/>
          </w:tcPr>
          <w:p w14:paraId="20A70D6D" w14:textId="77777777" w:rsidR="008721DE" w:rsidRPr="00F1762B" w:rsidRDefault="008721DE" w:rsidP="00E05BB0">
            <w:pPr>
              <w:rPr>
                <w:sz w:val="15"/>
                <w:szCs w:val="15"/>
                <w:lang w:val="en-CA"/>
              </w:rPr>
            </w:pPr>
          </w:p>
        </w:tc>
        <w:tc>
          <w:tcPr>
            <w:tcW w:w="620" w:type="pct"/>
            <w:shd w:val="clear" w:color="auto" w:fill="F2F2F2" w:themeFill="background1" w:themeFillShade="F2"/>
          </w:tcPr>
          <w:p w14:paraId="0749BCAD" w14:textId="77777777" w:rsidR="008721DE" w:rsidRPr="00F1762B" w:rsidRDefault="008721DE" w:rsidP="00E05BB0">
            <w:pPr>
              <w:rPr>
                <w:sz w:val="15"/>
                <w:szCs w:val="15"/>
                <w:lang w:val="en-CA"/>
              </w:rPr>
            </w:pPr>
          </w:p>
        </w:tc>
        <w:tc>
          <w:tcPr>
            <w:tcW w:w="537" w:type="pct"/>
            <w:shd w:val="clear" w:color="auto" w:fill="F2F2F2" w:themeFill="background1" w:themeFillShade="F2"/>
          </w:tcPr>
          <w:p w14:paraId="7FF163A5" w14:textId="7617BA0F" w:rsidR="008721DE" w:rsidRPr="00F1762B" w:rsidRDefault="008721DE" w:rsidP="00E05BB0">
            <w:pPr>
              <w:rPr>
                <w:sz w:val="15"/>
                <w:szCs w:val="15"/>
                <w:lang w:val="en-CA"/>
              </w:rPr>
            </w:pPr>
          </w:p>
        </w:tc>
        <w:tc>
          <w:tcPr>
            <w:tcW w:w="471" w:type="pct"/>
            <w:shd w:val="clear" w:color="auto" w:fill="F2F2F2" w:themeFill="background1" w:themeFillShade="F2"/>
          </w:tcPr>
          <w:p w14:paraId="6A88A467" w14:textId="77777777" w:rsidR="008721DE" w:rsidRPr="00F1762B" w:rsidRDefault="008721DE" w:rsidP="00E05BB0">
            <w:pPr>
              <w:rPr>
                <w:sz w:val="15"/>
                <w:szCs w:val="15"/>
                <w:lang w:val="en-CA"/>
              </w:rPr>
            </w:pPr>
          </w:p>
        </w:tc>
        <w:tc>
          <w:tcPr>
            <w:tcW w:w="785" w:type="pct"/>
            <w:shd w:val="clear" w:color="auto" w:fill="F2F2F2" w:themeFill="background1" w:themeFillShade="F2"/>
          </w:tcPr>
          <w:p w14:paraId="1718002D" w14:textId="77777777" w:rsidR="008721DE" w:rsidRPr="00F1762B" w:rsidRDefault="008721DE" w:rsidP="00E05BB0">
            <w:pPr>
              <w:rPr>
                <w:sz w:val="15"/>
                <w:szCs w:val="15"/>
                <w:lang w:val="en-CA"/>
              </w:rPr>
            </w:pPr>
          </w:p>
        </w:tc>
        <w:tc>
          <w:tcPr>
            <w:tcW w:w="307" w:type="pct"/>
            <w:shd w:val="clear" w:color="auto" w:fill="F2F2F2" w:themeFill="background1" w:themeFillShade="F2"/>
          </w:tcPr>
          <w:p w14:paraId="0ECB8263" w14:textId="77777777" w:rsidR="008721DE" w:rsidRPr="00F1762B" w:rsidRDefault="008721DE" w:rsidP="00E05BB0">
            <w:pPr>
              <w:rPr>
                <w:sz w:val="15"/>
                <w:szCs w:val="15"/>
                <w:lang w:val="en-CA"/>
              </w:rPr>
            </w:pPr>
          </w:p>
        </w:tc>
        <w:tc>
          <w:tcPr>
            <w:tcW w:w="204" w:type="pct"/>
            <w:shd w:val="clear" w:color="auto" w:fill="F2F2F2" w:themeFill="background1" w:themeFillShade="F2"/>
          </w:tcPr>
          <w:p w14:paraId="1D1EDA6B" w14:textId="77777777" w:rsidR="008721DE" w:rsidRPr="00F1762B" w:rsidRDefault="008721DE" w:rsidP="00E05BB0">
            <w:pPr>
              <w:rPr>
                <w:sz w:val="15"/>
                <w:szCs w:val="15"/>
                <w:lang w:val="en-CA"/>
              </w:rPr>
            </w:pPr>
          </w:p>
        </w:tc>
      </w:tr>
      <w:tr w:rsidR="00B7487B" w:rsidRPr="00F1762B" w14:paraId="37776D54" w14:textId="43ADFDEF" w:rsidTr="00F1762B">
        <w:tc>
          <w:tcPr>
            <w:tcW w:w="517" w:type="pct"/>
          </w:tcPr>
          <w:p w14:paraId="538D1075" w14:textId="336C1F20" w:rsidR="008721DE" w:rsidRPr="00F1762B" w:rsidRDefault="008721DE" w:rsidP="00E05BB0">
            <w:pPr>
              <w:rPr>
                <w:sz w:val="15"/>
                <w:szCs w:val="15"/>
              </w:rPr>
            </w:pPr>
            <w:r w:rsidRPr="00F1762B">
              <w:rPr>
                <w:sz w:val="15"/>
                <w:szCs w:val="15"/>
              </w:rPr>
              <w:t>Hernandez 2018</w:t>
            </w:r>
          </w:p>
        </w:tc>
        <w:tc>
          <w:tcPr>
            <w:tcW w:w="447" w:type="pct"/>
          </w:tcPr>
          <w:p w14:paraId="26C565B2" w14:textId="731D5062" w:rsidR="008721DE" w:rsidRPr="00F1762B" w:rsidRDefault="008721DE" w:rsidP="00E05BB0">
            <w:pPr>
              <w:rPr>
                <w:sz w:val="15"/>
                <w:szCs w:val="15"/>
                <w:lang w:val="en-CA"/>
              </w:rPr>
            </w:pPr>
            <w:r w:rsidRPr="00F1762B">
              <w:rPr>
                <w:sz w:val="15"/>
                <w:szCs w:val="15"/>
                <w:lang w:val="en-CA"/>
              </w:rPr>
              <w:t>28 countries; hospital-based</w:t>
            </w:r>
          </w:p>
        </w:tc>
        <w:tc>
          <w:tcPr>
            <w:tcW w:w="491" w:type="pct"/>
          </w:tcPr>
          <w:p w14:paraId="7DDB12EF" w14:textId="43C140D5" w:rsidR="008721DE" w:rsidRPr="00F1762B" w:rsidRDefault="008721DE" w:rsidP="00E05BB0">
            <w:pPr>
              <w:rPr>
                <w:sz w:val="15"/>
                <w:szCs w:val="15"/>
                <w:lang w:val="en-CA"/>
              </w:rPr>
            </w:pPr>
            <w:r w:rsidRPr="00F1762B">
              <w:rPr>
                <w:rFonts w:ascii="Calibri" w:hAnsi="Calibri"/>
                <w:sz w:val="15"/>
                <w:szCs w:val="15"/>
              </w:rPr>
              <w:t>2015 to 2018; median 1.6</w:t>
            </w:r>
          </w:p>
        </w:tc>
        <w:tc>
          <w:tcPr>
            <w:tcW w:w="620" w:type="pct"/>
          </w:tcPr>
          <w:p w14:paraId="71660589" w14:textId="54BA430C" w:rsidR="008721DE" w:rsidRPr="00F1762B" w:rsidRDefault="008721DE" w:rsidP="00E05BB0">
            <w:pPr>
              <w:rPr>
                <w:sz w:val="15"/>
                <w:szCs w:val="15"/>
                <w:lang w:val="en-CA"/>
              </w:rPr>
            </w:pPr>
            <w:r w:rsidRPr="00F1762B">
              <w:rPr>
                <w:rFonts w:ascii="Calibri" w:hAnsi="Calibri"/>
                <w:sz w:val="15"/>
                <w:szCs w:val="15"/>
              </w:rPr>
              <w:t>40+; 64.1 (8.7) in albiglutide group; 64.2 (8.7) in placebo group</w:t>
            </w:r>
          </w:p>
        </w:tc>
        <w:tc>
          <w:tcPr>
            <w:tcW w:w="620" w:type="pct"/>
          </w:tcPr>
          <w:p w14:paraId="202A827B" w14:textId="1BBEDCF3" w:rsidR="008721DE" w:rsidRPr="00F1762B" w:rsidRDefault="008721DE" w:rsidP="00E05BB0">
            <w:pPr>
              <w:rPr>
                <w:sz w:val="15"/>
                <w:szCs w:val="15"/>
                <w:lang w:val="en-CA"/>
              </w:rPr>
            </w:pPr>
            <w:r w:rsidRPr="00F1762B">
              <w:rPr>
                <w:rFonts w:ascii="Calibri" w:hAnsi="Calibri"/>
                <w:sz w:val="15"/>
                <w:szCs w:val="15"/>
              </w:rPr>
              <w:t>69.4</w:t>
            </w:r>
          </w:p>
        </w:tc>
        <w:tc>
          <w:tcPr>
            <w:tcW w:w="537" w:type="pct"/>
          </w:tcPr>
          <w:p w14:paraId="587260A5" w14:textId="4FE33BBD" w:rsidR="008721DE" w:rsidRPr="00F1762B" w:rsidRDefault="008721DE" w:rsidP="00E05BB0">
            <w:pPr>
              <w:rPr>
                <w:sz w:val="15"/>
                <w:szCs w:val="15"/>
                <w:lang w:val="en-CA"/>
              </w:rPr>
            </w:pPr>
            <w:r w:rsidRPr="00F1762B">
              <w:rPr>
                <w:sz w:val="15"/>
                <w:szCs w:val="15"/>
              </w:rPr>
              <w:t xml:space="preserve">Class 2, </w:t>
            </w:r>
            <w:r w:rsidRPr="00F1762B">
              <w:rPr>
                <w:sz w:val="15"/>
                <w:szCs w:val="15"/>
                <w:lang w:val="en-CA"/>
              </w:rPr>
              <w:t>albiglutide vs no use of albiglutide</w:t>
            </w:r>
          </w:p>
        </w:tc>
        <w:tc>
          <w:tcPr>
            <w:tcW w:w="471" w:type="pct"/>
          </w:tcPr>
          <w:p w14:paraId="06260A8C" w14:textId="5B2A9060" w:rsidR="004979AA" w:rsidRPr="00F1762B" w:rsidRDefault="004979AA" w:rsidP="004979AA">
            <w:pPr>
              <w:rPr>
                <w:sz w:val="15"/>
                <w:szCs w:val="15"/>
                <w:lang w:val="en-CA"/>
              </w:rPr>
            </w:pPr>
            <w:r w:rsidRPr="00F1762B">
              <w:rPr>
                <w:sz w:val="15"/>
                <w:szCs w:val="15"/>
                <w:lang w:val="en-CA"/>
              </w:rPr>
              <w:t>Pancreatic cancer</w:t>
            </w:r>
          </w:p>
          <w:p w14:paraId="36F283AB" w14:textId="3FE36555" w:rsidR="008721DE" w:rsidRPr="00F1762B" w:rsidRDefault="008721DE" w:rsidP="00E05BB0">
            <w:pPr>
              <w:rPr>
                <w:sz w:val="15"/>
                <w:szCs w:val="15"/>
                <w:lang w:val="en-CA"/>
              </w:rPr>
            </w:pPr>
          </w:p>
        </w:tc>
        <w:tc>
          <w:tcPr>
            <w:tcW w:w="785" w:type="pct"/>
          </w:tcPr>
          <w:p w14:paraId="10B1F5EA" w14:textId="77AB6B43" w:rsidR="008721DE" w:rsidRPr="00F1762B" w:rsidRDefault="008721DE" w:rsidP="00E05BB0">
            <w:pPr>
              <w:rPr>
                <w:sz w:val="15"/>
                <w:szCs w:val="15"/>
                <w:lang w:val="en-CA"/>
              </w:rPr>
            </w:pPr>
            <w:r w:rsidRPr="00F1762B">
              <w:rPr>
                <w:sz w:val="15"/>
                <w:szCs w:val="15"/>
                <w:lang w:val="en-CA"/>
              </w:rPr>
              <w:t xml:space="preserve">Randomized by age, sex, race/ethnicity, geographic region, current smoking, medical history, </w:t>
            </w:r>
            <w:r w:rsidR="00F06F8F">
              <w:rPr>
                <w:sz w:val="15"/>
                <w:szCs w:val="15"/>
                <w:lang w:val="en-CA"/>
              </w:rPr>
              <w:t>body mass index</w:t>
            </w:r>
            <w:r w:rsidRPr="00F1762B">
              <w:rPr>
                <w:sz w:val="15"/>
                <w:szCs w:val="15"/>
                <w:lang w:val="en-CA"/>
              </w:rPr>
              <w:t>, glycated haemoglobin, estimated glomerular filtration rate (EGFR), duration of diabetes, history of microvascular disease, cardiovascular medications, and glucose-lowering medications</w:t>
            </w:r>
          </w:p>
        </w:tc>
        <w:tc>
          <w:tcPr>
            <w:tcW w:w="307" w:type="pct"/>
          </w:tcPr>
          <w:p w14:paraId="1633CDBB" w14:textId="53A68B80" w:rsidR="008721DE" w:rsidRPr="00F1762B" w:rsidRDefault="008721DE" w:rsidP="00E05BB0">
            <w:pPr>
              <w:rPr>
                <w:sz w:val="15"/>
                <w:szCs w:val="15"/>
                <w:lang w:val="en-CA"/>
              </w:rPr>
            </w:pPr>
            <w:r w:rsidRPr="00F1762B">
              <w:rPr>
                <w:rFonts w:ascii="Calibri" w:hAnsi="Calibri"/>
                <w:sz w:val="15"/>
                <w:szCs w:val="15"/>
              </w:rPr>
              <w:t>High</w:t>
            </w:r>
          </w:p>
        </w:tc>
        <w:tc>
          <w:tcPr>
            <w:tcW w:w="204" w:type="pct"/>
          </w:tcPr>
          <w:p w14:paraId="04F3831C" w14:textId="1574D3B3" w:rsidR="008721DE" w:rsidRPr="00F1762B" w:rsidRDefault="00E05BB0" w:rsidP="00E05BB0">
            <w:pPr>
              <w:rPr>
                <w:rFonts w:ascii="Calibri" w:hAnsi="Calibri"/>
                <w:sz w:val="15"/>
                <w:szCs w:val="15"/>
              </w:rPr>
            </w:pPr>
            <w:r w:rsidRPr="00F1762B">
              <w:rPr>
                <w:rFonts w:ascii="Calibri" w:hAnsi="Calibri"/>
                <w:sz w:val="15"/>
                <w:szCs w:val="15"/>
              </w:rPr>
              <w:t>NA</w:t>
            </w:r>
          </w:p>
        </w:tc>
      </w:tr>
      <w:tr w:rsidR="00B7487B" w:rsidRPr="00F1762B" w14:paraId="610F78C7" w14:textId="0CF96F04" w:rsidTr="00F1762B">
        <w:tc>
          <w:tcPr>
            <w:tcW w:w="517" w:type="pct"/>
          </w:tcPr>
          <w:p w14:paraId="6C1DF575" w14:textId="262EAEE7" w:rsidR="008721DE" w:rsidRPr="00F1762B" w:rsidRDefault="008721DE" w:rsidP="00E05BB0">
            <w:pPr>
              <w:rPr>
                <w:rFonts w:ascii="Calibri" w:hAnsi="Calibri"/>
                <w:sz w:val="15"/>
                <w:szCs w:val="15"/>
              </w:rPr>
            </w:pPr>
            <w:r w:rsidRPr="00F1762B">
              <w:rPr>
                <w:rFonts w:ascii="Calibri" w:hAnsi="Calibri"/>
                <w:sz w:val="15"/>
                <w:szCs w:val="15"/>
              </w:rPr>
              <w:t>Jones 2015</w:t>
            </w:r>
          </w:p>
        </w:tc>
        <w:tc>
          <w:tcPr>
            <w:tcW w:w="447" w:type="pct"/>
          </w:tcPr>
          <w:p w14:paraId="4851A7E2" w14:textId="458B385F" w:rsidR="008721DE" w:rsidRPr="00F1762B" w:rsidRDefault="008721DE" w:rsidP="00E05BB0">
            <w:pPr>
              <w:rPr>
                <w:sz w:val="15"/>
                <w:szCs w:val="15"/>
                <w:lang w:val="en-CA"/>
              </w:rPr>
            </w:pPr>
            <w:r w:rsidRPr="00F1762B">
              <w:rPr>
                <w:rFonts w:ascii="Calibri" w:hAnsi="Calibri"/>
                <w:sz w:val="15"/>
                <w:szCs w:val="15"/>
              </w:rPr>
              <w:t>364 centers in 25 countries in Europe and Australasia</w:t>
            </w:r>
            <w:r w:rsidRPr="00F1762B">
              <w:rPr>
                <w:sz w:val="15"/>
                <w:szCs w:val="15"/>
                <w:lang w:val="en-CA"/>
              </w:rPr>
              <w:t>; hospital-based</w:t>
            </w:r>
          </w:p>
        </w:tc>
        <w:tc>
          <w:tcPr>
            <w:tcW w:w="491" w:type="pct"/>
          </w:tcPr>
          <w:p w14:paraId="7FA275BE" w14:textId="651A9F18" w:rsidR="008721DE" w:rsidRPr="00F1762B" w:rsidRDefault="008721DE" w:rsidP="00E05BB0">
            <w:pPr>
              <w:rPr>
                <w:sz w:val="15"/>
                <w:szCs w:val="15"/>
                <w:lang w:val="en-CA"/>
              </w:rPr>
            </w:pPr>
            <w:r w:rsidRPr="00F1762B">
              <w:rPr>
                <w:rFonts w:ascii="Calibri" w:hAnsi="Calibri"/>
                <w:sz w:val="15"/>
                <w:szCs w:val="15"/>
              </w:rPr>
              <w:t>2008 to 2012; NA</w:t>
            </w:r>
          </w:p>
        </w:tc>
        <w:tc>
          <w:tcPr>
            <w:tcW w:w="620" w:type="pct"/>
          </w:tcPr>
          <w:p w14:paraId="41D997E7" w14:textId="6E65FEE4" w:rsidR="008721DE" w:rsidRPr="00F1762B" w:rsidRDefault="008721DE" w:rsidP="00E05BB0">
            <w:pPr>
              <w:rPr>
                <w:sz w:val="15"/>
                <w:szCs w:val="15"/>
                <w:lang w:val="en-CA"/>
              </w:rPr>
            </w:pPr>
            <w:r w:rsidRPr="00F1762B">
              <w:rPr>
                <w:rFonts w:ascii="Calibri" w:hAnsi="Calibri"/>
                <w:sz w:val="15"/>
                <w:szCs w:val="15"/>
              </w:rPr>
              <w:t>40 to 75; 58.4 (8.3) in rosiglitazone group; 58.5 (8.3) in metformin/sulfonylurea group</w:t>
            </w:r>
          </w:p>
        </w:tc>
        <w:tc>
          <w:tcPr>
            <w:tcW w:w="620" w:type="pct"/>
          </w:tcPr>
          <w:p w14:paraId="05D74937" w14:textId="1F2259EC" w:rsidR="008721DE" w:rsidRPr="00F1762B" w:rsidRDefault="008721DE" w:rsidP="00E05BB0">
            <w:pPr>
              <w:rPr>
                <w:sz w:val="15"/>
                <w:szCs w:val="15"/>
                <w:lang w:val="en-CA"/>
              </w:rPr>
            </w:pPr>
            <w:r w:rsidRPr="00F1762B">
              <w:rPr>
                <w:rFonts w:ascii="Calibri" w:hAnsi="Calibri"/>
                <w:sz w:val="15"/>
                <w:szCs w:val="15"/>
              </w:rPr>
              <w:t>51.4 in rosiglitazone group; 51.7 in metformin/sulfonylurea group</w:t>
            </w:r>
          </w:p>
        </w:tc>
        <w:tc>
          <w:tcPr>
            <w:tcW w:w="537" w:type="pct"/>
          </w:tcPr>
          <w:p w14:paraId="168C08C4" w14:textId="4E8C0FF0" w:rsidR="008721DE" w:rsidRPr="00F1762B" w:rsidRDefault="008721DE" w:rsidP="00E05BB0">
            <w:pPr>
              <w:rPr>
                <w:sz w:val="15"/>
                <w:szCs w:val="15"/>
                <w:lang w:val="en-CA"/>
              </w:rPr>
            </w:pPr>
            <w:r w:rsidRPr="00F1762B">
              <w:rPr>
                <w:sz w:val="15"/>
                <w:szCs w:val="15"/>
                <w:lang w:val="en-CA"/>
              </w:rPr>
              <w:t>Class 5, rosiglitazone combined with sulfonylurea or metformin vs metformin and sulfonylurea</w:t>
            </w:r>
          </w:p>
        </w:tc>
        <w:tc>
          <w:tcPr>
            <w:tcW w:w="471" w:type="pct"/>
          </w:tcPr>
          <w:p w14:paraId="1538FBBB" w14:textId="11B33583" w:rsidR="008721DE" w:rsidRPr="00F1762B" w:rsidRDefault="004979AA" w:rsidP="00E05BB0">
            <w:pPr>
              <w:rPr>
                <w:sz w:val="15"/>
                <w:szCs w:val="15"/>
                <w:lang w:val="en-CA"/>
              </w:rPr>
            </w:pPr>
            <w:r w:rsidRPr="00F1762B">
              <w:rPr>
                <w:sz w:val="15"/>
                <w:szCs w:val="15"/>
                <w:lang w:val="en-CA"/>
              </w:rPr>
              <w:t>Breast, lung, colorectal, prostate, liver, and pancreatic cancers</w:t>
            </w:r>
          </w:p>
        </w:tc>
        <w:tc>
          <w:tcPr>
            <w:tcW w:w="785" w:type="pct"/>
          </w:tcPr>
          <w:p w14:paraId="461DF512" w14:textId="3C50DDDC" w:rsidR="008721DE" w:rsidRPr="00F1762B" w:rsidRDefault="008721DE" w:rsidP="00E05BB0">
            <w:pPr>
              <w:rPr>
                <w:sz w:val="15"/>
                <w:szCs w:val="15"/>
                <w:lang w:val="en-CA"/>
              </w:rPr>
            </w:pPr>
            <w:r w:rsidRPr="00F1762B">
              <w:rPr>
                <w:sz w:val="15"/>
                <w:szCs w:val="15"/>
                <w:lang w:val="en-CA"/>
              </w:rPr>
              <w:t xml:space="preserve">Randomized by age, gender, ethnicity, body weight, </w:t>
            </w:r>
            <w:r w:rsidR="00F06F8F">
              <w:rPr>
                <w:sz w:val="15"/>
                <w:szCs w:val="15"/>
                <w:lang w:val="en-CA"/>
              </w:rPr>
              <w:t>body mass index</w:t>
            </w:r>
            <w:r w:rsidRPr="00F1762B">
              <w:rPr>
                <w:sz w:val="15"/>
                <w:szCs w:val="15"/>
                <w:lang w:val="en-CA"/>
              </w:rPr>
              <w:t>, menopause status, duration of diabetes, HbA1c</w:t>
            </w:r>
          </w:p>
        </w:tc>
        <w:tc>
          <w:tcPr>
            <w:tcW w:w="307" w:type="pct"/>
          </w:tcPr>
          <w:p w14:paraId="064F9FF7" w14:textId="1157035D" w:rsidR="008721DE" w:rsidRPr="00F1762B" w:rsidRDefault="008721DE" w:rsidP="00E05BB0">
            <w:pPr>
              <w:rPr>
                <w:sz w:val="15"/>
                <w:szCs w:val="15"/>
                <w:lang w:val="en-CA"/>
              </w:rPr>
            </w:pPr>
            <w:r w:rsidRPr="00F1762B">
              <w:rPr>
                <w:rFonts w:ascii="Calibri" w:hAnsi="Calibri"/>
                <w:sz w:val="15"/>
                <w:szCs w:val="15"/>
              </w:rPr>
              <w:t>High</w:t>
            </w:r>
          </w:p>
        </w:tc>
        <w:tc>
          <w:tcPr>
            <w:tcW w:w="204" w:type="pct"/>
          </w:tcPr>
          <w:p w14:paraId="58249583" w14:textId="5F7E15E4" w:rsidR="008721DE" w:rsidRPr="00F1762B" w:rsidRDefault="00E05BB0" w:rsidP="00E05BB0">
            <w:pPr>
              <w:rPr>
                <w:rFonts w:ascii="Calibri" w:hAnsi="Calibri"/>
                <w:sz w:val="15"/>
                <w:szCs w:val="15"/>
              </w:rPr>
            </w:pPr>
            <w:r w:rsidRPr="00F1762B">
              <w:rPr>
                <w:rFonts w:ascii="Calibri" w:hAnsi="Calibri"/>
                <w:sz w:val="15"/>
                <w:szCs w:val="15"/>
              </w:rPr>
              <w:t>NA</w:t>
            </w:r>
          </w:p>
        </w:tc>
      </w:tr>
      <w:tr w:rsidR="00B7487B" w:rsidRPr="00F1762B" w14:paraId="4FE123FB" w14:textId="0E88B11D" w:rsidTr="00F1762B">
        <w:tc>
          <w:tcPr>
            <w:tcW w:w="517" w:type="pct"/>
          </w:tcPr>
          <w:p w14:paraId="5A7A7156" w14:textId="319F4CAC" w:rsidR="008721DE" w:rsidRPr="00F1762B" w:rsidRDefault="008721DE" w:rsidP="00E05BB0">
            <w:pPr>
              <w:rPr>
                <w:sz w:val="15"/>
                <w:szCs w:val="15"/>
                <w:lang w:val="en-CA"/>
              </w:rPr>
            </w:pPr>
            <w:r w:rsidRPr="00F1762B">
              <w:rPr>
                <w:sz w:val="15"/>
                <w:szCs w:val="15"/>
                <w:lang w:val="en-CA"/>
              </w:rPr>
              <w:t>Bethel 2017</w:t>
            </w:r>
          </w:p>
        </w:tc>
        <w:tc>
          <w:tcPr>
            <w:tcW w:w="447" w:type="pct"/>
          </w:tcPr>
          <w:p w14:paraId="265AD34D" w14:textId="08FE7E2A" w:rsidR="008721DE" w:rsidRPr="00F1762B" w:rsidRDefault="008721DE" w:rsidP="00E05BB0">
            <w:pPr>
              <w:rPr>
                <w:sz w:val="15"/>
                <w:szCs w:val="15"/>
                <w:lang w:val="en-CA"/>
              </w:rPr>
            </w:pPr>
            <w:r w:rsidRPr="00F1762B">
              <w:rPr>
                <w:rFonts w:ascii="Calibri" w:hAnsi="Calibri"/>
                <w:sz w:val="15"/>
                <w:szCs w:val="15"/>
              </w:rPr>
              <w:t>38 countries</w:t>
            </w:r>
            <w:r w:rsidRPr="00F1762B">
              <w:rPr>
                <w:sz w:val="15"/>
                <w:szCs w:val="15"/>
                <w:lang w:val="en-CA"/>
              </w:rPr>
              <w:t>; hospital-based</w:t>
            </w:r>
          </w:p>
        </w:tc>
        <w:tc>
          <w:tcPr>
            <w:tcW w:w="491" w:type="pct"/>
          </w:tcPr>
          <w:p w14:paraId="0568F4DD" w14:textId="67E1104E" w:rsidR="008721DE" w:rsidRPr="00F1762B" w:rsidRDefault="008721DE" w:rsidP="00E05BB0">
            <w:pPr>
              <w:rPr>
                <w:sz w:val="15"/>
                <w:szCs w:val="15"/>
                <w:lang w:val="en-CA"/>
              </w:rPr>
            </w:pPr>
            <w:r w:rsidRPr="00F1762B">
              <w:rPr>
                <w:rFonts w:ascii="Calibri" w:hAnsi="Calibri"/>
                <w:sz w:val="15"/>
                <w:szCs w:val="15"/>
              </w:rPr>
              <w:t>NA; median 2.9</w:t>
            </w:r>
          </w:p>
        </w:tc>
        <w:tc>
          <w:tcPr>
            <w:tcW w:w="620" w:type="pct"/>
          </w:tcPr>
          <w:p w14:paraId="08FD074C" w14:textId="4A87677E" w:rsidR="008721DE" w:rsidRPr="00F1762B" w:rsidRDefault="008721DE" w:rsidP="00E05BB0">
            <w:pPr>
              <w:rPr>
                <w:sz w:val="15"/>
                <w:szCs w:val="15"/>
                <w:lang w:val="en-CA"/>
              </w:rPr>
            </w:pPr>
            <w:r w:rsidRPr="00F1762B">
              <w:rPr>
                <w:rFonts w:ascii="Calibri" w:hAnsi="Calibri"/>
                <w:sz w:val="15"/>
                <w:szCs w:val="15"/>
              </w:rPr>
              <w:t>50+; 82% were &lt;75</w:t>
            </w:r>
          </w:p>
        </w:tc>
        <w:tc>
          <w:tcPr>
            <w:tcW w:w="620" w:type="pct"/>
          </w:tcPr>
          <w:p w14:paraId="0DDFDBFC" w14:textId="632F3FE4" w:rsidR="008721DE" w:rsidRPr="00F1762B" w:rsidRDefault="008721DE" w:rsidP="00E05BB0">
            <w:pPr>
              <w:rPr>
                <w:sz w:val="15"/>
                <w:szCs w:val="15"/>
                <w:lang w:val="en-CA"/>
              </w:rPr>
            </w:pPr>
            <w:r w:rsidRPr="00F1762B">
              <w:rPr>
                <w:rFonts w:ascii="Calibri" w:hAnsi="Calibri"/>
                <w:sz w:val="15"/>
                <w:szCs w:val="15"/>
              </w:rPr>
              <w:t>71.1</w:t>
            </w:r>
          </w:p>
        </w:tc>
        <w:tc>
          <w:tcPr>
            <w:tcW w:w="537" w:type="pct"/>
          </w:tcPr>
          <w:p w14:paraId="26866521" w14:textId="30C60DD9" w:rsidR="008721DE" w:rsidRPr="00F1762B" w:rsidRDefault="008721DE" w:rsidP="00E05BB0">
            <w:pPr>
              <w:rPr>
                <w:sz w:val="15"/>
                <w:szCs w:val="15"/>
                <w:lang w:val="en-CA"/>
              </w:rPr>
            </w:pPr>
            <w:r w:rsidRPr="00F1762B">
              <w:rPr>
                <w:sz w:val="15"/>
                <w:szCs w:val="15"/>
                <w:lang w:val="en-CA"/>
              </w:rPr>
              <w:t>Class 2, sitagliptin vs no use of sitagliptin</w:t>
            </w:r>
          </w:p>
        </w:tc>
        <w:tc>
          <w:tcPr>
            <w:tcW w:w="471" w:type="pct"/>
          </w:tcPr>
          <w:p w14:paraId="0CE2683A" w14:textId="2318AEF2" w:rsidR="008721DE" w:rsidRPr="00F1762B" w:rsidRDefault="004979AA" w:rsidP="00E05BB0">
            <w:pPr>
              <w:rPr>
                <w:sz w:val="15"/>
                <w:szCs w:val="15"/>
                <w:lang w:val="en-CA"/>
              </w:rPr>
            </w:pPr>
            <w:r w:rsidRPr="00F1762B">
              <w:rPr>
                <w:sz w:val="15"/>
                <w:szCs w:val="15"/>
                <w:lang w:val="en-CA"/>
              </w:rPr>
              <w:t>Pancreatic cancer</w:t>
            </w:r>
          </w:p>
        </w:tc>
        <w:tc>
          <w:tcPr>
            <w:tcW w:w="785" w:type="pct"/>
          </w:tcPr>
          <w:p w14:paraId="64C52640" w14:textId="1318B76B" w:rsidR="008721DE" w:rsidRPr="00F1762B" w:rsidRDefault="008721DE" w:rsidP="00E05BB0">
            <w:pPr>
              <w:rPr>
                <w:sz w:val="15"/>
                <w:szCs w:val="15"/>
                <w:lang w:val="en-CA"/>
              </w:rPr>
            </w:pPr>
            <w:r w:rsidRPr="00F1762B">
              <w:rPr>
                <w:sz w:val="15"/>
                <w:szCs w:val="15"/>
                <w:lang w:val="en-CA"/>
              </w:rPr>
              <w:t>NA</w:t>
            </w:r>
          </w:p>
        </w:tc>
        <w:tc>
          <w:tcPr>
            <w:tcW w:w="307" w:type="pct"/>
          </w:tcPr>
          <w:p w14:paraId="7A595364" w14:textId="5228B9A9" w:rsidR="008721DE" w:rsidRPr="00F1762B" w:rsidRDefault="008721DE" w:rsidP="00E05BB0">
            <w:pPr>
              <w:rPr>
                <w:sz w:val="15"/>
                <w:szCs w:val="15"/>
                <w:lang w:val="en-CA"/>
              </w:rPr>
            </w:pPr>
            <w:r w:rsidRPr="00F1762B">
              <w:rPr>
                <w:rFonts w:ascii="Calibri" w:hAnsi="Calibri"/>
                <w:sz w:val="15"/>
                <w:szCs w:val="15"/>
              </w:rPr>
              <w:t>High</w:t>
            </w:r>
          </w:p>
        </w:tc>
        <w:tc>
          <w:tcPr>
            <w:tcW w:w="204" w:type="pct"/>
          </w:tcPr>
          <w:p w14:paraId="2CFF55F1" w14:textId="329CC869" w:rsidR="008721DE" w:rsidRPr="00F1762B" w:rsidRDefault="00E05BB0" w:rsidP="00E05BB0">
            <w:pPr>
              <w:rPr>
                <w:rFonts w:ascii="Calibri" w:hAnsi="Calibri"/>
                <w:sz w:val="15"/>
                <w:szCs w:val="15"/>
              </w:rPr>
            </w:pPr>
            <w:r w:rsidRPr="00F1762B">
              <w:rPr>
                <w:rFonts w:ascii="Calibri" w:hAnsi="Calibri"/>
                <w:sz w:val="15"/>
                <w:szCs w:val="15"/>
              </w:rPr>
              <w:t>NA</w:t>
            </w:r>
          </w:p>
        </w:tc>
      </w:tr>
      <w:tr w:rsidR="00B7487B" w:rsidRPr="00F1762B" w14:paraId="3D4410D7" w14:textId="5A90BF10" w:rsidTr="00F1762B">
        <w:tc>
          <w:tcPr>
            <w:tcW w:w="517" w:type="pct"/>
            <w:shd w:val="clear" w:color="auto" w:fill="F2F2F2" w:themeFill="background1" w:themeFillShade="F2"/>
          </w:tcPr>
          <w:p w14:paraId="23218993" w14:textId="3332DC83" w:rsidR="008721DE" w:rsidRPr="00F1762B" w:rsidRDefault="008721DE" w:rsidP="00E05BB0">
            <w:pPr>
              <w:rPr>
                <w:sz w:val="15"/>
                <w:szCs w:val="15"/>
                <w:lang w:val="en-CA"/>
              </w:rPr>
            </w:pPr>
            <w:r w:rsidRPr="00F1762B">
              <w:rPr>
                <w:sz w:val="15"/>
                <w:szCs w:val="15"/>
                <w:lang w:val="en-CA"/>
              </w:rPr>
              <w:t>64 Cohort studies</w:t>
            </w:r>
          </w:p>
        </w:tc>
        <w:tc>
          <w:tcPr>
            <w:tcW w:w="447" w:type="pct"/>
            <w:shd w:val="clear" w:color="auto" w:fill="F2F2F2" w:themeFill="background1" w:themeFillShade="F2"/>
          </w:tcPr>
          <w:p w14:paraId="58A79CCD" w14:textId="77777777" w:rsidR="008721DE" w:rsidRPr="00F1762B" w:rsidRDefault="008721DE" w:rsidP="00E05BB0">
            <w:pPr>
              <w:rPr>
                <w:sz w:val="15"/>
                <w:szCs w:val="15"/>
                <w:lang w:val="en-CA"/>
              </w:rPr>
            </w:pPr>
          </w:p>
        </w:tc>
        <w:tc>
          <w:tcPr>
            <w:tcW w:w="491" w:type="pct"/>
            <w:shd w:val="clear" w:color="auto" w:fill="F2F2F2" w:themeFill="background1" w:themeFillShade="F2"/>
          </w:tcPr>
          <w:p w14:paraId="31373A7E" w14:textId="77777777" w:rsidR="008721DE" w:rsidRPr="00F1762B" w:rsidRDefault="008721DE" w:rsidP="00E05BB0">
            <w:pPr>
              <w:rPr>
                <w:sz w:val="15"/>
                <w:szCs w:val="15"/>
                <w:lang w:val="en-CA"/>
              </w:rPr>
            </w:pPr>
          </w:p>
        </w:tc>
        <w:tc>
          <w:tcPr>
            <w:tcW w:w="620" w:type="pct"/>
            <w:shd w:val="clear" w:color="auto" w:fill="F2F2F2" w:themeFill="background1" w:themeFillShade="F2"/>
          </w:tcPr>
          <w:p w14:paraId="0AEA34A1" w14:textId="77777777" w:rsidR="008721DE" w:rsidRPr="00F1762B" w:rsidRDefault="008721DE" w:rsidP="00E05BB0">
            <w:pPr>
              <w:rPr>
                <w:sz w:val="15"/>
                <w:szCs w:val="15"/>
                <w:lang w:val="en-CA"/>
              </w:rPr>
            </w:pPr>
          </w:p>
        </w:tc>
        <w:tc>
          <w:tcPr>
            <w:tcW w:w="620" w:type="pct"/>
            <w:shd w:val="clear" w:color="auto" w:fill="F2F2F2" w:themeFill="background1" w:themeFillShade="F2"/>
          </w:tcPr>
          <w:p w14:paraId="074D977B" w14:textId="77777777" w:rsidR="008721DE" w:rsidRPr="00F1762B" w:rsidRDefault="008721DE" w:rsidP="00E05BB0">
            <w:pPr>
              <w:rPr>
                <w:sz w:val="15"/>
                <w:szCs w:val="15"/>
                <w:lang w:val="en-CA"/>
              </w:rPr>
            </w:pPr>
          </w:p>
        </w:tc>
        <w:tc>
          <w:tcPr>
            <w:tcW w:w="537" w:type="pct"/>
            <w:shd w:val="clear" w:color="auto" w:fill="F2F2F2" w:themeFill="background1" w:themeFillShade="F2"/>
          </w:tcPr>
          <w:p w14:paraId="2ECBBB55" w14:textId="7913CA87" w:rsidR="008721DE" w:rsidRPr="00F1762B" w:rsidRDefault="008721DE" w:rsidP="00E05BB0">
            <w:pPr>
              <w:rPr>
                <w:sz w:val="15"/>
                <w:szCs w:val="15"/>
                <w:lang w:val="en-CA"/>
              </w:rPr>
            </w:pPr>
          </w:p>
        </w:tc>
        <w:tc>
          <w:tcPr>
            <w:tcW w:w="471" w:type="pct"/>
            <w:shd w:val="clear" w:color="auto" w:fill="F2F2F2" w:themeFill="background1" w:themeFillShade="F2"/>
          </w:tcPr>
          <w:p w14:paraId="58DE7143" w14:textId="77777777" w:rsidR="008721DE" w:rsidRPr="00F1762B" w:rsidRDefault="008721DE" w:rsidP="00E05BB0">
            <w:pPr>
              <w:rPr>
                <w:sz w:val="15"/>
                <w:szCs w:val="15"/>
                <w:lang w:val="en-CA"/>
              </w:rPr>
            </w:pPr>
          </w:p>
        </w:tc>
        <w:tc>
          <w:tcPr>
            <w:tcW w:w="785" w:type="pct"/>
            <w:shd w:val="clear" w:color="auto" w:fill="F2F2F2" w:themeFill="background1" w:themeFillShade="F2"/>
          </w:tcPr>
          <w:p w14:paraId="68ABF8D2" w14:textId="77777777" w:rsidR="008721DE" w:rsidRPr="00F1762B" w:rsidRDefault="008721DE" w:rsidP="00E05BB0">
            <w:pPr>
              <w:rPr>
                <w:sz w:val="15"/>
                <w:szCs w:val="15"/>
                <w:lang w:val="en-CA"/>
              </w:rPr>
            </w:pPr>
          </w:p>
        </w:tc>
        <w:tc>
          <w:tcPr>
            <w:tcW w:w="307" w:type="pct"/>
            <w:shd w:val="clear" w:color="auto" w:fill="F2F2F2" w:themeFill="background1" w:themeFillShade="F2"/>
          </w:tcPr>
          <w:p w14:paraId="28757631" w14:textId="77777777" w:rsidR="008721DE" w:rsidRPr="00F1762B" w:rsidRDefault="008721DE" w:rsidP="00E05BB0">
            <w:pPr>
              <w:rPr>
                <w:sz w:val="15"/>
                <w:szCs w:val="15"/>
                <w:lang w:val="en-CA"/>
              </w:rPr>
            </w:pPr>
          </w:p>
        </w:tc>
        <w:tc>
          <w:tcPr>
            <w:tcW w:w="204" w:type="pct"/>
            <w:shd w:val="clear" w:color="auto" w:fill="F2F2F2" w:themeFill="background1" w:themeFillShade="F2"/>
          </w:tcPr>
          <w:p w14:paraId="7DFEB1B5" w14:textId="77777777" w:rsidR="008721DE" w:rsidRPr="00F1762B" w:rsidRDefault="008721DE" w:rsidP="00E05BB0">
            <w:pPr>
              <w:rPr>
                <w:sz w:val="15"/>
                <w:szCs w:val="15"/>
                <w:lang w:val="en-CA"/>
              </w:rPr>
            </w:pPr>
          </w:p>
        </w:tc>
      </w:tr>
      <w:tr w:rsidR="00B7487B" w:rsidRPr="00F1762B" w14:paraId="4E743BFA" w14:textId="2EF47859" w:rsidTr="00F1762B">
        <w:tc>
          <w:tcPr>
            <w:tcW w:w="517" w:type="pct"/>
          </w:tcPr>
          <w:p w14:paraId="4070927E" w14:textId="5AA4A8DA" w:rsidR="008721DE" w:rsidRPr="00F1762B" w:rsidRDefault="008721DE" w:rsidP="00E05BB0">
            <w:pPr>
              <w:rPr>
                <w:sz w:val="15"/>
                <w:szCs w:val="15"/>
                <w:lang w:val="en-CA"/>
              </w:rPr>
            </w:pPr>
            <w:r w:rsidRPr="00F1762B">
              <w:rPr>
                <w:rFonts w:ascii="Calibri" w:hAnsi="Calibri"/>
                <w:sz w:val="15"/>
                <w:szCs w:val="15"/>
              </w:rPr>
              <w:t>Soffer 2015</w:t>
            </w:r>
          </w:p>
        </w:tc>
        <w:tc>
          <w:tcPr>
            <w:tcW w:w="447" w:type="pct"/>
          </w:tcPr>
          <w:p w14:paraId="39B0D0ED" w14:textId="4A37328D" w:rsidR="008721DE" w:rsidRPr="00F1762B" w:rsidRDefault="008721DE" w:rsidP="00E05BB0">
            <w:pPr>
              <w:rPr>
                <w:sz w:val="15"/>
                <w:szCs w:val="15"/>
                <w:lang w:val="en-CA"/>
              </w:rPr>
            </w:pPr>
            <w:r w:rsidRPr="00F1762B">
              <w:rPr>
                <w:rFonts w:ascii="Calibri" w:hAnsi="Calibri"/>
                <w:sz w:val="15"/>
                <w:szCs w:val="15"/>
              </w:rPr>
              <w:t>United States; population-based</w:t>
            </w:r>
          </w:p>
        </w:tc>
        <w:tc>
          <w:tcPr>
            <w:tcW w:w="491" w:type="pct"/>
          </w:tcPr>
          <w:p w14:paraId="4F4BF62E" w14:textId="1FD973CC" w:rsidR="008721DE" w:rsidRPr="00F1762B" w:rsidRDefault="008721DE" w:rsidP="00E05BB0">
            <w:pPr>
              <w:rPr>
                <w:sz w:val="15"/>
                <w:szCs w:val="15"/>
                <w:lang w:val="en-CA"/>
              </w:rPr>
            </w:pPr>
            <w:r w:rsidRPr="00F1762B">
              <w:rPr>
                <w:sz w:val="15"/>
                <w:szCs w:val="15"/>
                <w:lang w:val="en-CA"/>
              </w:rPr>
              <w:t>1998 to 2009; median 6</w:t>
            </w:r>
          </w:p>
        </w:tc>
        <w:tc>
          <w:tcPr>
            <w:tcW w:w="620" w:type="pct"/>
          </w:tcPr>
          <w:p w14:paraId="34D2346A" w14:textId="27D7E5AC" w:rsidR="008721DE" w:rsidRPr="00F1762B" w:rsidRDefault="008721DE" w:rsidP="00E05BB0">
            <w:pPr>
              <w:rPr>
                <w:sz w:val="15"/>
                <w:szCs w:val="15"/>
                <w:lang w:val="en-CA"/>
              </w:rPr>
            </w:pPr>
            <w:r w:rsidRPr="00F1762B">
              <w:rPr>
                <w:sz w:val="15"/>
                <w:szCs w:val="15"/>
                <w:lang w:val="en-CA"/>
              </w:rPr>
              <w:t>18+; 55.5 (16.1)</w:t>
            </w:r>
          </w:p>
        </w:tc>
        <w:tc>
          <w:tcPr>
            <w:tcW w:w="620" w:type="pct"/>
          </w:tcPr>
          <w:p w14:paraId="40B56C80" w14:textId="24A50521" w:rsidR="008721DE" w:rsidRPr="00F1762B" w:rsidRDefault="008721DE" w:rsidP="00E05BB0">
            <w:pPr>
              <w:rPr>
                <w:sz w:val="15"/>
                <w:szCs w:val="15"/>
                <w:lang w:val="en-CA"/>
              </w:rPr>
            </w:pPr>
            <w:r w:rsidRPr="00F1762B">
              <w:rPr>
                <w:sz w:val="15"/>
                <w:szCs w:val="15"/>
                <w:lang w:val="en-CA"/>
              </w:rPr>
              <w:t>NA</w:t>
            </w:r>
          </w:p>
        </w:tc>
        <w:tc>
          <w:tcPr>
            <w:tcW w:w="537" w:type="pct"/>
          </w:tcPr>
          <w:p w14:paraId="303013A3" w14:textId="0714863C" w:rsidR="008721DE" w:rsidRPr="00F1762B" w:rsidRDefault="008721DE" w:rsidP="00E05BB0">
            <w:pPr>
              <w:rPr>
                <w:sz w:val="15"/>
                <w:szCs w:val="15"/>
                <w:lang w:val="en-CA"/>
              </w:rPr>
            </w:pPr>
            <w:r w:rsidRPr="00F1762B">
              <w:rPr>
                <w:sz w:val="15"/>
                <w:szCs w:val="15"/>
                <w:lang w:val="en-CA"/>
              </w:rPr>
              <w:t>Class 1, metformin vs no use of metformin</w:t>
            </w:r>
          </w:p>
        </w:tc>
        <w:tc>
          <w:tcPr>
            <w:tcW w:w="471" w:type="pct"/>
          </w:tcPr>
          <w:p w14:paraId="3F6E0E49" w14:textId="04FC30EA" w:rsidR="008721DE" w:rsidRPr="00F1762B" w:rsidRDefault="004979AA" w:rsidP="00E05BB0">
            <w:pPr>
              <w:rPr>
                <w:sz w:val="15"/>
                <w:szCs w:val="15"/>
                <w:lang w:val="en-CA"/>
              </w:rPr>
            </w:pPr>
            <w:r w:rsidRPr="00F1762B">
              <w:rPr>
                <w:sz w:val="15"/>
                <w:szCs w:val="15"/>
                <w:lang w:val="en-CA"/>
              </w:rPr>
              <w:t>Breast cancer</w:t>
            </w:r>
          </w:p>
        </w:tc>
        <w:tc>
          <w:tcPr>
            <w:tcW w:w="785" w:type="pct"/>
          </w:tcPr>
          <w:p w14:paraId="7C26D797" w14:textId="0F3476AA" w:rsidR="008721DE" w:rsidRPr="00F1762B" w:rsidRDefault="008721DE" w:rsidP="00E05BB0">
            <w:pPr>
              <w:rPr>
                <w:sz w:val="15"/>
                <w:szCs w:val="15"/>
              </w:rPr>
            </w:pPr>
            <w:r w:rsidRPr="00F1762B">
              <w:rPr>
                <w:sz w:val="15"/>
                <w:szCs w:val="15"/>
              </w:rPr>
              <w:t>Adjusted for age of index diabetes diagnosis, race/ethnicity, ERT status, statin use, Charlson comorbidity index, and outpatient utilization</w:t>
            </w:r>
          </w:p>
        </w:tc>
        <w:tc>
          <w:tcPr>
            <w:tcW w:w="307" w:type="pct"/>
          </w:tcPr>
          <w:p w14:paraId="7929AA39" w14:textId="29DF82CB" w:rsidR="008721DE" w:rsidRPr="00F1762B" w:rsidRDefault="008721DE" w:rsidP="00E05BB0">
            <w:pPr>
              <w:rPr>
                <w:sz w:val="15"/>
                <w:szCs w:val="15"/>
                <w:lang w:val="en-CA"/>
              </w:rPr>
            </w:pPr>
            <w:r w:rsidRPr="00F1762B">
              <w:rPr>
                <w:rFonts w:ascii="Calibri" w:hAnsi="Calibri"/>
                <w:sz w:val="15"/>
                <w:szCs w:val="15"/>
              </w:rPr>
              <w:t>Low</w:t>
            </w:r>
          </w:p>
        </w:tc>
        <w:tc>
          <w:tcPr>
            <w:tcW w:w="204" w:type="pct"/>
          </w:tcPr>
          <w:p w14:paraId="73B9B117" w14:textId="0BBEE1F3" w:rsidR="008721DE" w:rsidRPr="00F1762B" w:rsidRDefault="008721DE" w:rsidP="00E05BB0">
            <w:pPr>
              <w:rPr>
                <w:rFonts w:ascii="Calibri" w:hAnsi="Calibri"/>
                <w:sz w:val="15"/>
                <w:szCs w:val="15"/>
              </w:rPr>
            </w:pPr>
            <w:r w:rsidRPr="00F1762B">
              <w:rPr>
                <w:rFonts w:ascii="Calibri" w:hAnsi="Calibri"/>
                <w:sz w:val="15"/>
                <w:szCs w:val="15"/>
              </w:rPr>
              <w:t>9</w:t>
            </w:r>
          </w:p>
        </w:tc>
      </w:tr>
      <w:tr w:rsidR="00B7487B" w:rsidRPr="00F1762B" w14:paraId="0DA14D21" w14:textId="35CBB97D" w:rsidTr="00F1762B">
        <w:tc>
          <w:tcPr>
            <w:tcW w:w="517" w:type="pct"/>
          </w:tcPr>
          <w:p w14:paraId="62F7FB6D" w14:textId="5237A653" w:rsidR="008721DE" w:rsidRPr="00F1762B" w:rsidRDefault="008721DE" w:rsidP="00E05BB0">
            <w:pPr>
              <w:rPr>
                <w:sz w:val="15"/>
                <w:szCs w:val="15"/>
                <w:lang w:val="en-CA"/>
              </w:rPr>
            </w:pPr>
            <w:r w:rsidRPr="00F1762B">
              <w:rPr>
                <w:rFonts w:ascii="Calibri" w:hAnsi="Calibri"/>
                <w:sz w:val="15"/>
                <w:szCs w:val="15"/>
              </w:rPr>
              <w:t>Tsai 2014</w:t>
            </w:r>
          </w:p>
        </w:tc>
        <w:tc>
          <w:tcPr>
            <w:tcW w:w="447" w:type="pct"/>
          </w:tcPr>
          <w:p w14:paraId="5E75645B" w14:textId="429B242A" w:rsidR="008721DE" w:rsidRPr="00F1762B" w:rsidRDefault="008721DE" w:rsidP="00E05BB0">
            <w:pPr>
              <w:rPr>
                <w:sz w:val="15"/>
                <w:szCs w:val="15"/>
                <w:lang w:val="en-CA"/>
              </w:rPr>
            </w:pPr>
            <w:r w:rsidRPr="00F1762B">
              <w:rPr>
                <w:rFonts w:ascii="Calibri" w:hAnsi="Calibri"/>
                <w:sz w:val="15"/>
                <w:szCs w:val="15"/>
              </w:rPr>
              <w:t>Taiwan; population-based</w:t>
            </w:r>
          </w:p>
        </w:tc>
        <w:tc>
          <w:tcPr>
            <w:tcW w:w="491" w:type="pct"/>
          </w:tcPr>
          <w:p w14:paraId="5897D624" w14:textId="7114CB59" w:rsidR="008721DE" w:rsidRPr="00F1762B" w:rsidRDefault="008721DE" w:rsidP="00E05BB0">
            <w:pPr>
              <w:rPr>
                <w:sz w:val="15"/>
                <w:szCs w:val="15"/>
                <w:lang w:val="en-CA"/>
              </w:rPr>
            </w:pPr>
            <w:r w:rsidRPr="00F1762B">
              <w:rPr>
                <w:sz w:val="15"/>
                <w:szCs w:val="15"/>
                <w:lang w:val="en-CA"/>
              </w:rPr>
              <w:t>1997 to 2007; NA</w:t>
            </w:r>
          </w:p>
        </w:tc>
        <w:tc>
          <w:tcPr>
            <w:tcW w:w="620" w:type="pct"/>
          </w:tcPr>
          <w:p w14:paraId="29F61524" w14:textId="6A2738B5" w:rsidR="008721DE" w:rsidRPr="00F1762B" w:rsidRDefault="008721DE" w:rsidP="00E05BB0">
            <w:pPr>
              <w:rPr>
                <w:sz w:val="15"/>
                <w:szCs w:val="15"/>
                <w:lang w:val="en-CA"/>
              </w:rPr>
            </w:pPr>
            <w:r w:rsidRPr="00F1762B">
              <w:rPr>
                <w:sz w:val="15"/>
                <w:szCs w:val="15"/>
                <w:lang w:val="en-CA"/>
              </w:rPr>
              <w:t>15+; 54.4 (14.2)</w:t>
            </w:r>
          </w:p>
        </w:tc>
        <w:tc>
          <w:tcPr>
            <w:tcW w:w="620" w:type="pct"/>
          </w:tcPr>
          <w:p w14:paraId="088DE121" w14:textId="1F019F8E" w:rsidR="008721DE" w:rsidRPr="00F1762B" w:rsidRDefault="008721DE" w:rsidP="00E05BB0">
            <w:pPr>
              <w:rPr>
                <w:sz w:val="15"/>
                <w:szCs w:val="15"/>
                <w:lang w:val="en-CA"/>
              </w:rPr>
            </w:pPr>
            <w:r w:rsidRPr="00F1762B">
              <w:rPr>
                <w:sz w:val="15"/>
                <w:szCs w:val="15"/>
                <w:lang w:val="en-CA"/>
              </w:rPr>
              <w:t>53.2</w:t>
            </w:r>
          </w:p>
        </w:tc>
        <w:tc>
          <w:tcPr>
            <w:tcW w:w="537" w:type="pct"/>
          </w:tcPr>
          <w:p w14:paraId="53FF102C" w14:textId="733E69F4" w:rsidR="008721DE" w:rsidRPr="00F1762B" w:rsidRDefault="008721DE" w:rsidP="00E05BB0">
            <w:pPr>
              <w:rPr>
                <w:sz w:val="15"/>
                <w:szCs w:val="15"/>
                <w:lang w:val="en-CA"/>
              </w:rPr>
            </w:pPr>
            <w:r w:rsidRPr="00F1762B">
              <w:rPr>
                <w:sz w:val="15"/>
                <w:szCs w:val="15"/>
                <w:lang w:val="en-CA"/>
              </w:rPr>
              <w:t>Class 1, metformin vs never use of metformin</w:t>
            </w:r>
          </w:p>
        </w:tc>
        <w:tc>
          <w:tcPr>
            <w:tcW w:w="471" w:type="pct"/>
          </w:tcPr>
          <w:p w14:paraId="7B1C53CE" w14:textId="59ED40EC" w:rsidR="008721DE" w:rsidRPr="00F1762B" w:rsidRDefault="004979AA" w:rsidP="00E05BB0">
            <w:pPr>
              <w:rPr>
                <w:sz w:val="15"/>
                <w:szCs w:val="15"/>
                <w:lang w:val="en-CA"/>
              </w:rPr>
            </w:pPr>
            <w:r w:rsidRPr="00F1762B">
              <w:rPr>
                <w:sz w:val="15"/>
                <w:szCs w:val="15"/>
                <w:lang w:val="en-CA"/>
              </w:rPr>
              <w:t>Lung cancer</w:t>
            </w:r>
          </w:p>
        </w:tc>
        <w:tc>
          <w:tcPr>
            <w:tcW w:w="785" w:type="pct"/>
          </w:tcPr>
          <w:p w14:paraId="1E909AEE" w14:textId="12EB35DB" w:rsidR="008721DE" w:rsidRPr="00F1762B" w:rsidRDefault="008721DE" w:rsidP="00E05BB0">
            <w:pPr>
              <w:rPr>
                <w:sz w:val="15"/>
                <w:szCs w:val="15"/>
              </w:rPr>
            </w:pPr>
            <w:r w:rsidRPr="00F1762B">
              <w:rPr>
                <w:sz w:val="15"/>
                <w:szCs w:val="15"/>
              </w:rPr>
              <w:t>Adjusted for age, gender, and modified Charlson Comorbidity Index score</w:t>
            </w:r>
          </w:p>
          <w:p w14:paraId="08C7EE4A" w14:textId="77777777" w:rsidR="008721DE" w:rsidRPr="00F1762B" w:rsidRDefault="008721DE" w:rsidP="00E05BB0">
            <w:pPr>
              <w:rPr>
                <w:sz w:val="15"/>
                <w:szCs w:val="15"/>
                <w:lang w:val="en-CA"/>
              </w:rPr>
            </w:pPr>
          </w:p>
        </w:tc>
        <w:tc>
          <w:tcPr>
            <w:tcW w:w="307" w:type="pct"/>
          </w:tcPr>
          <w:p w14:paraId="790D4873" w14:textId="47489266" w:rsidR="008721DE" w:rsidRPr="00F1762B" w:rsidRDefault="008721DE" w:rsidP="00E05BB0">
            <w:pPr>
              <w:rPr>
                <w:sz w:val="15"/>
                <w:szCs w:val="15"/>
                <w:lang w:val="en-CA"/>
              </w:rPr>
            </w:pPr>
            <w:r w:rsidRPr="00F1762B">
              <w:rPr>
                <w:rFonts w:ascii="Calibri" w:hAnsi="Calibri"/>
                <w:sz w:val="15"/>
                <w:szCs w:val="15"/>
              </w:rPr>
              <w:t>Low</w:t>
            </w:r>
          </w:p>
        </w:tc>
        <w:tc>
          <w:tcPr>
            <w:tcW w:w="204" w:type="pct"/>
          </w:tcPr>
          <w:p w14:paraId="6397CD3F" w14:textId="34EEDA28" w:rsidR="008721DE" w:rsidRPr="00F1762B" w:rsidRDefault="008721DE" w:rsidP="00E05BB0">
            <w:pPr>
              <w:rPr>
                <w:rFonts w:ascii="Calibri" w:hAnsi="Calibri"/>
                <w:sz w:val="15"/>
                <w:szCs w:val="15"/>
              </w:rPr>
            </w:pPr>
            <w:r w:rsidRPr="00F1762B">
              <w:rPr>
                <w:rFonts w:ascii="Calibri" w:hAnsi="Calibri"/>
                <w:sz w:val="15"/>
                <w:szCs w:val="15"/>
              </w:rPr>
              <w:t>7</w:t>
            </w:r>
          </w:p>
        </w:tc>
      </w:tr>
      <w:tr w:rsidR="00B7487B" w:rsidRPr="00F1762B" w14:paraId="19F41BF3" w14:textId="51A9C5C0" w:rsidTr="00F1762B">
        <w:tc>
          <w:tcPr>
            <w:tcW w:w="517" w:type="pct"/>
          </w:tcPr>
          <w:p w14:paraId="0018AD74" w14:textId="33B6A315" w:rsidR="008721DE" w:rsidRPr="00F1762B" w:rsidRDefault="008721DE" w:rsidP="00E05BB0">
            <w:pPr>
              <w:rPr>
                <w:sz w:val="15"/>
                <w:szCs w:val="15"/>
                <w:lang w:val="en-CA"/>
              </w:rPr>
            </w:pPr>
            <w:r w:rsidRPr="00F1762B">
              <w:rPr>
                <w:rFonts w:ascii="Calibri" w:hAnsi="Calibri"/>
                <w:sz w:val="15"/>
                <w:szCs w:val="15"/>
              </w:rPr>
              <w:t>Habel 2013</w:t>
            </w:r>
          </w:p>
        </w:tc>
        <w:tc>
          <w:tcPr>
            <w:tcW w:w="447" w:type="pct"/>
          </w:tcPr>
          <w:p w14:paraId="4DC2F309" w14:textId="54C72A09" w:rsidR="008721DE" w:rsidRPr="00F1762B" w:rsidRDefault="008721DE" w:rsidP="00E05BB0">
            <w:pPr>
              <w:rPr>
                <w:sz w:val="15"/>
                <w:szCs w:val="15"/>
                <w:lang w:val="en-CA"/>
              </w:rPr>
            </w:pPr>
            <w:r w:rsidRPr="00F1762B">
              <w:rPr>
                <w:rFonts w:ascii="Calibri" w:hAnsi="Calibri"/>
                <w:sz w:val="15"/>
                <w:szCs w:val="15"/>
              </w:rPr>
              <w:t>United States; population-based</w:t>
            </w:r>
          </w:p>
        </w:tc>
        <w:tc>
          <w:tcPr>
            <w:tcW w:w="491" w:type="pct"/>
          </w:tcPr>
          <w:p w14:paraId="4AF28D71" w14:textId="1CBFDE66" w:rsidR="008721DE" w:rsidRPr="00F1762B" w:rsidRDefault="008721DE" w:rsidP="00E05BB0">
            <w:pPr>
              <w:rPr>
                <w:sz w:val="15"/>
                <w:szCs w:val="15"/>
                <w:lang w:val="en-CA"/>
              </w:rPr>
            </w:pPr>
            <w:r w:rsidRPr="00F1762B">
              <w:rPr>
                <w:sz w:val="15"/>
                <w:szCs w:val="15"/>
                <w:lang w:val="en-CA"/>
              </w:rPr>
              <w:t>2001 to 2009; median 3.3</w:t>
            </w:r>
          </w:p>
        </w:tc>
        <w:tc>
          <w:tcPr>
            <w:tcW w:w="620" w:type="pct"/>
          </w:tcPr>
          <w:p w14:paraId="6DBF6E71" w14:textId="0F5A94D1" w:rsidR="008721DE" w:rsidRPr="00F1762B" w:rsidRDefault="008721DE" w:rsidP="00E05BB0">
            <w:pPr>
              <w:rPr>
                <w:sz w:val="15"/>
                <w:szCs w:val="15"/>
              </w:rPr>
            </w:pPr>
            <w:r w:rsidRPr="00F1762B">
              <w:rPr>
                <w:sz w:val="15"/>
                <w:szCs w:val="15"/>
              </w:rPr>
              <w:t>~60% were &gt;50</w:t>
            </w:r>
          </w:p>
        </w:tc>
        <w:tc>
          <w:tcPr>
            <w:tcW w:w="620" w:type="pct"/>
          </w:tcPr>
          <w:p w14:paraId="63744D51" w14:textId="3E5A1625" w:rsidR="008721DE" w:rsidRPr="00F1762B" w:rsidRDefault="008721DE" w:rsidP="00E05BB0">
            <w:pPr>
              <w:rPr>
                <w:sz w:val="15"/>
                <w:szCs w:val="15"/>
                <w:lang w:val="en-CA"/>
              </w:rPr>
            </w:pPr>
            <w:r w:rsidRPr="00F1762B">
              <w:rPr>
                <w:sz w:val="15"/>
                <w:szCs w:val="15"/>
                <w:lang w:val="en-CA"/>
              </w:rPr>
              <w:t>53.1 in glargine users; 49.7 in neutral protamine hagedorn (NPH) insulin users</w:t>
            </w:r>
          </w:p>
        </w:tc>
        <w:tc>
          <w:tcPr>
            <w:tcW w:w="537" w:type="pct"/>
          </w:tcPr>
          <w:p w14:paraId="5629021D" w14:textId="6E4C4D04" w:rsidR="008721DE" w:rsidRPr="00F1762B" w:rsidRDefault="008721DE" w:rsidP="00E05BB0">
            <w:pPr>
              <w:rPr>
                <w:sz w:val="15"/>
                <w:szCs w:val="15"/>
                <w:lang w:val="en-CA"/>
              </w:rPr>
            </w:pPr>
            <w:r w:rsidRPr="00F1762B">
              <w:rPr>
                <w:sz w:val="15"/>
                <w:szCs w:val="15"/>
                <w:lang w:val="en-CA"/>
              </w:rPr>
              <w:t>Class 6, glargine vs NPH insulin use only</w:t>
            </w:r>
          </w:p>
        </w:tc>
        <w:tc>
          <w:tcPr>
            <w:tcW w:w="471" w:type="pct"/>
          </w:tcPr>
          <w:p w14:paraId="7E42F91C" w14:textId="7DE0753F" w:rsidR="008721DE" w:rsidRPr="00F1762B" w:rsidRDefault="004979AA" w:rsidP="00E05BB0">
            <w:pPr>
              <w:rPr>
                <w:sz w:val="15"/>
                <w:szCs w:val="15"/>
                <w:lang w:val="en-CA"/>
              </w:rPr>
            </w:pPr>
            <w:r w:rsidRPr="00F1762B">
              <w:rPr>
                <w:sz w:val="15"/>
                <w:szCs w:val="15"/>
                <w:lang w:val="en-CA"/>
              </w:rPr>
              <w:t>Breast, colorectal, and prostate cancers</w:t>
            </w:r>
          </w:p>
        </w:tc>
        <w:tc>
          <w:tcPr>
            <w:tcW w:w="785" w:type="pct"/>
          </w:tcPr>
          <w:p w14:paraId="5BC33C9F" w14:textId="2B2CFF8D" w:rsidR="008721DE" w:rsidRPr="00F1762B" w:rsidRDefault="008721DE" w:rsidP="00E05BB0">
            <w:pPr>
              <w:rPr>
                <w:sz w:val="15"/>
                <w:szCs w:val="15"/>
              </w:rPr>
            </w:pPr>
            <w:r w:rsidRPr="00F1762B">
              <w:rPr>
                <w:sz w:val="15"/>
                <w:szCs w:val="15"/>
              </w:rPr>
              <w:t>Adjusted for Kaiser Permanente region, calendar year, age, metformin use, and use of short-acting insulin</w:t>
            </w:r>
          </w:p>
          <w:p w14:paraId="6A5B9A8F" w14:textId="77777777" w:rsidR="008721DE" w:rsidRPr="00F1762B" w:rsidRDefault="008721DE" w:rsidP="00E05BB0">
            <w:pPr>
              <w:rPr>
                <w:sz w:val="15"/>
                <w:szCs w:val="15"/>
              </w:rPr>
            </w:pPr>
          </w:p>
        </w:tc>
        <w:tc>
          <w:tcPr>
            <w:tcW w:w="307" w:type="pct"/>
          </w:tcPr>
          <w:p w14:paraId="574555A9" w14:textId="195AF456" w:rsidR="008721DE" w:rsidRPr="00F1762B" w:rsidRDefault="008721DE" w:rsidP="00E05BB0">
            <w:pPr>
              <w:rPr>
                <w:sz w:val="15"/>
                <w:szCs w:val="15"/>
                <w:lang w:val="en-CA"/>
              </w:rPr>
            </w:pPr>
            <w:r w:rsidRPr="00F1762B">
              <w:rPr>
                <w:rFonts w:ascii="Calibri" w:hAnsi="Calibri"/>
                <w:sz w:val="15"/>
                <w:szCs w:val="15"/>
              </w:rPr>
              <w:t>Moderate</w:t>
            </w:r>
          </w:p>
        </w:tc>
        <w:tc>
          <w:tcPr>
            <w:tcW w:w="204" w:type="pct"/>
          </w:tcPr>
          <w:p w14:paraId="791424BF" w14:textId="4A33F0D2" w:rsidR="008721DE" w:rsidRPr="00F1762B" w:rsidRDefault="008721DE" w:rsidP="00E05BB0">
            <w:pPr>
              <w:rPr>
                <w:rFonts w:ascii="Calibri" w:hAnsi="Calibri"/>
                <w:sz w:val="15"/>
                <w:szCs w:val="15"/>
              </w:rPr>
            </w:pPr>
            <w:r w:rsidRPr="00F1762B">
              <w:rPr>
                <w:rFonts w:ascii="Calibri" w:hAnsi="Calibri"/>
                <w:sz w:val="15"/>
                <w:szCs w:val="15"/>
              </w:rPr>
              <w:t>6</w:t>
            </w:r>
          </w:p>
        </w:tc>
      </w:tr>
      <w:tr w:rsidR="00B7487B" w:rsidRPr="00F1762B" w14:paraId="4DCE9D29" w14:textId="14D2B6F7" w:rsidTr="00F1762B">
        <w:tc>
          <w:tcPr>
            <w:tcW w:w="517" w:type="pct"/>
          </w:tcPr>
          <w:p w14:paraId="44E0EDCD" w14:textId="5AAB4C1D" w:rsidR="008721DE" w:rsidRPr="00F1762B" w:rsidRDefault="008721DE" w:rsidP="00E05BB0">
            <w:pPr>
              <w:rPr>
                <w:sz w:val="15"/>
                <w:szCs w:val="15"/>
                <w:lang w:val="en-CA"/>
              </w:rPr>
            </w:pPr>
            <w:r w:rsidRPr="00F1762B">
              <w:rPr>
                <w:rFonts w:ascii="Calibri" w:hAnsi="Calibri"/>
                <w:sz w:val="15"/>
                <w:szCs w:val="15"/>
              </w:rPr>
              <w:t>Knapen 2016</w:t>
            </w:r>
          </w:p>
        </w:tc>
        <w:tc>
          <w:tcPr>
            <w:tcW w:w="447" w:type="pct"/>
          </w:tcPr>
          <w:p w14:paraId="040FB7FB" w14:textId="77A47FBF" w:rsidR="008721DE" w:rsidRPr="00F1762B" w:rsidRDefault="008721DE" w:rsidP="00E05BB0">
            <w:pPr>
              <w:rPr>
                <w:sz w:val="15"/>
                <w:szCs w:val="15"/>
                <w:lang w:val="en-CA"/>
              </w:rPr>
            </w:pPr>
            <w:r w:rsidRPr="00F1762B">
              <w:rPr>
                <w:rFonts w:ascii="Calibri" w:hAnsi="Calibri"/>
                <w:sz w:val="15"/>
                <w:szCs w:val="15"/>
              </w:rPr>
              <w:t xml:space="preserve">United Kingdom; </w:t>
            </w:r>
            <w:r w:rsidRPr="00F1762B">
              <w:rPr>
                <w:rFonts w:ascii="Calibri" w:hAnsi="Calibri"/>
                <w:sz w:val="15"/>
                <w:szCs w:val="15"/>
              </w:rPr>
              <w:lastRenderedPageBreak/>
              <w:t>population-based</w:t>
            </w:r>
          </w:p>
        </w:tc>
        <w:tc>
          <w:tcPr>
            <w:tcW w:w="491" w:type="pct"/>
          </w:tcPr>
          <w:p w14:paraId="6A11B7E0" w14:textId="24251D64" w:rsidR="008721DE" w:rsidRPr="00F1762B" w:rsidRDefault="008721DE" w:rsidP="00E05BB0">
            <w:pPr>
              <w:rPr>
                <w:sz w:val="15"/>
                <w:szCs w:val="15"/>
                <w:lang w:val="en-CA"/>
              </w:rPr>
            </w:pPr>
            <w:r w:rsidRPr="00F1762B">
              <w:rPr>
                <w:sz w:val="15"/>
                <w:szCs w:val="15"/>
                <w:lang w:val="en-CA"/>
              </w:rPr>
              <w:lastRenderedPageBreak/>
              <w:t>2007 to 2012; mean 4.1</w:t>
            </w:r>
          </w:p>
        </w:tc>
        <w:tc>
          <w:tcPr>
            <w:tcW w:w="620" w:type="pct"/>
          </w:tcPr>
          <w:p w14:paraId="756FDD53" w14:textId="67BA496D" w:rsidR="008721DE" w:rsidRPr="00F1762B" w:rsidRDefault="008721DE" w:rsidP="00E05BB0">
            <w:pPr>
              <w:rPr>
                <w:sz w:val="15"/>
                <w:szCs w:val="15"/>
                <w:lang w:val="en-CA"/>
              </w:rPr>
            </w:pPr>
            <w:r w:rsidRPr="00F1762B">
              <w:rPr>
                <w:sz w:val="15"/>
                <w:szCs w:val="15"/>
                <w:lang w:val="en-CA"/>
              </w:rPr>
              <w:t xml:space="preserve">18+; 58.1 (11.8) in incretins exposed </w:t>
            </w:r>
            <w:r w:rsidRPr="00F1762B">
              <w:rPr>
                <w:sz w:val="15"/>
                <w:szCs w:val="15"/>
                <w:lang w:val="en-CA"/>
              </w:rPr>
              <w:lastRenderedPageBreak/>
              <w:t>group; 62.4 (14.9) in the exposed group of other noninsulin antidiabetic medications</w:t>
            </w:r>
          </w:p>
        </w:tc>
        <w:tc>
          <w:tcPr>
            <w:tcW w:w="620" w:type="pct"/>
          </w:tcPr>
          <w:p w14:paraId="109D0C76" w14:textId="74EDAB53" w:rsidR="008721DE" w:rsidRPr="00F1762B" w:rsidRDefault="008721DE" w:rsidP="00E05BB0">
            <w:pPr>
              <w:rPr>
                <w:sz w:val="15"/>
                <w:szCs w:val="15"/>
              </w:rPr>
            </w:pPr>
            <w:r w:rsidRPr="00F1762B">
              <w:rPr>
                <w:sz w:val="15"/>
                <w:szCs w:val="15"/>
              </w:rPr>
              <w:lastRenderedPageBreak/>
              <w:t>56.3</w:t>
            </w:r>
          </w:p>
        </w:tc>
        <w:tc>
          <w:tcPr>
            <w:tcW w:w="537" w:type="pct"/>
          </w:tcPr>
          <w:p w14:paraId="44C80635" w14:textId="0A91F56C" w:rsidR="008721DE" w:rsidRPr="00F1762B" w:rsidRDefault="008721DE" w:rsidP="00E05BB0">
            <w:pPr>
              <w:rPr>
                <w:sz w:val="15"/>
                <w:szCs w:val="15"/>
                <w:lang w:val="en-CA"/>
              </w:rPr>
            </w:pPr>
            <w:r w:rsidRPr="00F1762B">
              <w:rPr>
                <w:sz w:val="15"/>
                <w:szCs w:val="15"/>
                <w:lang w:val="en-CA"/>
              </w:rPr>
              <w:t xml:space="preserve">Class 2, incretins vs use of other </w:t>
            </w:r>
            <w:r w:rsidRPr="00F1762B">
              <w:rPr>
                <w:sz w:val="15"/>
                <w:szCs w:val="15"/>
                <w:lang w:val="en-CA"/>
              </w:rPr>
              <w:lastRenderedPageBreak/>
              <w:t>noninsulin antidiabetic medications</w:t>
            </w:r>
          </w:p>
        </w:tc>
        <w:tc>
          <w:tcPr>
            <w:tcW w:w="471" w:type="pct"/>
          </w:tcPr>
          <w:p w14:paraId="48A3066E" w14:textId="26FEF816" w:rsidR="008721DE" w:rsidRPr="00F1762B" w:rsidRDefault="004979AA" w:rsidP="00E05BB0">
            <w:pPr>
              <w:rPr>
                <w:sz w:val="15"/>
                <w:szCs w:val="15"/>
                <w:lang w:val="en-CA"/>
              </w:rPr>
            </w:pPr>
            <w:r w:rsidRPr="00F1762B">
              <w:rPr>
                <w:sz w:val="15"/>
                <w:szCs w:val="15"/>
                <w:lang w:val="en-CA"/>
              </w:rPr>
              <w:lastRenderedPageBreak/>
              <w:t>Pancreatic cancer</w:t>
            </w:r>
          </w:p>
        </w:tc>
        <w:tc>
          <w:tcPr>
            <w:tcW w:w="785" w:type="pct"/>
          </w:tcPr>
          <w:p w14:paraId="05C3EC71" w14:textId="77777777" w:rsidR="008721DE" w:rsidRPr="00F1762B" w:rsidRDefault="008721DE" w:rsidP="00E05BB0">
            <w:pPr>
              <w:rPr>
                <w:sz w:val="15"/>
                <w:szCs w:val="15"/>
              </w:rPr>
            </w:pPr>
            <w:r w:rsidRPr="00F1762B">
              <w:rPr>
                <w:sz w:val="15"/>
                <w:szCs w:val="15"/>
              </w:rPr>
              <w:t>Matched on sex, year of birth (within 5 years) and practice;</w:t>
            </w:r>
          </w:p>
          <w:p w14:paraId="1A51DA9B" w14:textId="77777777" w:rsidR="008721DE" w:rsidRPr="00F1762B" w:rsidRDefault="008721DE" w:rsidP="00E05BB0">
            <w:pPr>
              <w:rPr>
                <w:sz w:val="15"/>
                <w:szCs w:val="15"/>
              </w:rPr>
            </w:pPr>
          </w:p>
          <w:p w14:paraId="313A885F" w14:textId="0700782C" w:rsidR="008721DE" w:rsidRPr="00F1762B" w:rsidRDefault="008721DE" w:rsidP="00E05BB0">
            <w:pPr>
              <w:rPr>
                <w:sz w:val="15"/>
                <w:szCs w:val="15"/>
              </w:rPr>
            </w:pPr>
            <w:r w:rsidRPr="00F1762B">
              <w:rPr>
                <w:sz w:val="15"/>
                <w:szCs w:val="15"/>
              </w:rPr>
              <w:t>Adjusted for alcoholism, alcohol use, body mass index, smoking, neuropathy, and retinopathy</w:t>
            </w:r>
          </w:p>
        </w:tc>
        <w:tc>
          <w:tcPr>
            <w:tcW w:w="307" w:type="pct"/>
          </w:tcPr>
          <w:p w14:paraId="2D8E7942" w14:textId="593D026A" w:rsidR="008721DE" w:rsidRPr="00F1762B" w:rsidRDefault="008721DE" w:rsidP="00E05BB0">
            <w:pPr>
              <w:rPr>
                <w:sz w:val="15"/>
                <w:szCs w:val="15"/>
                <w:lang w:val="en-CA"/>
              </w:rPr>
            </w:pPr>
            <w:r w:rsidRPr="00F1762B">
              <w:rPr>
                <w:rFonts w:ascii="Calibri" w:hAnsi="Calibri"/>
                <w:sz w:val="15"/>
                <w:szCs w:val="15"/>
              </w:rPr>
              <w:lastRenderedPageBreak/>
              <w:t>Low</w:t>
            </w:r>
          </w:p>
        </w:tc>
        <w:tc>
          <w:tcPr>
            <w:tcW w:w="204" w:type="pct"/>
          </w:tcPr>
          <w:p w14:paraId="72C1D3B4" w14:textId="45AA7C49" w:rsidR="008721DE" w:rsidRPr="00F1762B" w:rsidRDefault="008721DE" w:rsidP="00E05BB0">
            <w:pPr>
              <w:rPr>
                <w:rFonts w:ascii="Calibri" w:hAnsi="Calibri"/>
                <w:sz w:val="15"/>
                <w:szCs w:val="15"/>
              </w:rPr>
            </w:pPr>
            <w:r w:rsidRPr="00F1762B">
              <w:rPr>
                <w:rFonts w:ascii="Calibri" w:hAnsi="Calibri"/>
                <w:sz w:val="15"/>
                <w:szCs w:val="15"/>
              </w:rPr>
              <w:t>8</w:t>
            </w:r>
          </w:p>
        </w:tc>
      </w:tr>
      <w:tr w:rsidR="00B7487B" w:rsidRPr="00F1762B" w14:paraId="3CB3264B" w14:textId="10E3A684" w:rsidTr="00F1762B">
        <w:tc>
          <w:tcPr>
            <w:tcW w:w="517" w:type="pct"/>
          </w:tcPr>
          <w:p w14:paraId="0A7012FA" w14:textId="5AF383E7" w:rsidR="008721DE" w:rsidRPr="00F1762B" w:rsidRDefault="008721DE" w:rsidP="00E05BB0">
            <w:pPr>
              <w:rPr>
                <w:sz w:val="15"/>
                <w:szCs w:val="15"/>
                <w:lang w:val="en-CA"/>
              </w:rPr>
            </w:pPr>
            <w:r w:rsidRPr="00F1762B">
              <w:rPr>
                <w:rFonts w:ascii="Calibri" w:hAnsi="Calibri"/>
                <w:sz w:val="15"/>
                <w:szCs w:val="15"/>
              </w:rPr>
              <w:t>Funch 2018</w:t>
            </w:r>
          </w:p>
        </w:tc>
        <w:tc>
          <w:tcPr>
            <w:tcW w:w="447" w:type="pct"/>
          </w:tcPr>
          <w:p w14:paraId="0894B593" w14:textId="7CC5B27A" w:rsidR="008721DE" w:rsidRPr="00F1762B" w:rsidRDefault="008721DE" w:rsidP="00E05BB0">
            <w:pPr>
              <w:rPr>
                <w:sz w:val="15"/>
                <w:szCs w:val="15"/>
                <w:lang w:val="en-CA"/>
              </w:rPr>
            </w:pPr>
            <w:r w:rsidRPr="00F1762B">
              <w:rPr>
                <w:rFonts w:ascii="Calibri" w:hAnsi="Calibri"/>
                <w:sz w:val="15"/>
                <w:szCs w:val="15"/>
              </w:rPr>
              <w:t>United States; population-based</w:t>
            </w:r>
          </w:p>
        </w:tc>
        <w:tc>
          <w:tcPr>
            <w:tcW w:w="491" w:type="pct"/>
          </w:tcPr>
          <w:p w14:paraId="4C067715" w14:textId="52593CA2" w:rsidR="008721DE" w:rsidRPr="00F1762B" w:rsidRDefault="008721DE" w:rsidP="00E05BB0">
            <w:pPr>
              <w:rPr>
                <w:sz w:val="15"/>
                <w:szCs w:val="15"/>
                <w:lang w:val="en-CA"/>
              </w:rPr>
            </w:pPr>
            <w:r w:rsidRPr="00F1762B">
              <w:rPr>
                <w:sz w:val="15"/>
                <w:szCs w:val="15"/>
                <w:lang w:val="en-CA"/>
              </w:rPr>
              <w:t>2010 to 2014; NA</w:t>
            </w:r>
          </w:p>
        </w:tc>
        <w:tc>
          <w:tcPr>
            <w:tcW w:w="620" w:type="pct"/>
          </w:tcPr>
          <w:p w14:paraId="694BBA7D" w14:textId="059D5B9C" w:rsidR="008721DE" w:rsidRPr="00F1762B" w:rsidRDefault="008721DE" w:rsidP="00E05BB0">
            <w:pPr>
              <w:rPr>
                <w:sz w:val="15"/>
                <w:szCs w:val="15"/>
                <w:lang w:val="en-CA"/>
              </w:rPr>
            </w:pPr>
            <w:r w:rsidRPr="00F1762B">
              <w:rPr>
                <w:sz w:val="15"/>
                <w:szCs w:val="15"/>
                <w:lang w:val="en-CA"/>
              </w:rPr>
              <w:t>18+; median 52.0 (IQR: 44.0, 58.0) in liraglutide exposed group; 51.0 (IQR: 39, 59) in liraglutide unexposed group</w:t>
            </w:r>
          </w:p>
        </w:tc>
        <w:tc>
          <w:tcPr>
            <w:tcW w:w="620" w:type="pct"/>
          </w:tcPr>
          <w:p w14:paraId="6B696A27" w14:textId="0CFEBD0E" w:rsidR="008721DE" w:rsidRPr="00F1762B" w:rsidRDefault="008721DE" w:rsidP="00E05BB0">
            <w:pPr>
              <w:rPr>
                <w:sz w:val="15"/>
                <w:szCs w:val="15"/>
                <w:lang w:val="en-CA"/>
              </w:rPr>
            </w:pPr>
            <w:r w:rsidRPr="00F1762B">
              <w:rPr>
                <w:sz w:val="15"/>
                <w:szCs w:val="15"/>
                <w:lang w:val="en-CA"/>
              </w:rPr>
              <w:t>NA</w:t>
            </w:r>
          </w:p>
        </w:tc>
        <w:tc>
          <w:tcPr>
            <w:tcW w:w="537" w:type="pct"/>
          </w:tcPr>
          <w:p w14:paraId="2F1340B0" w14:textId="57C563E2" w:rsidR="008721DE" w:rsidRPr="00F1762B" w:rsidRDefault="008721DE" w:rsidP="00E05BB0">
            <w:pPr>
              <w:rPr>
                <w:sz w:val="15"/>
                <w:szCs w:val="15"/>
                <w:lang w:val="en-CA"/>
              </w:rPr>
            </w:pPr>
            <w:r w:rsidRPr="00F1762B">
              <w:rPr>
                <w:sz w:val="15"/>
                <w:szCs w:val="15"/>
                <w:lang w:val="en-CA"/>
              </w:rPr>
              <w:t>Class 2, liraglutide vs a</w:t>
            </w:r>
            <w:r w:rsidRPr="00F1762B">
              <w:rPr>
                <w:rFonts w:ascii="Calibri" w:hAnsi="Calibri"/>
                <w:sz w:val="15"/>
                <w:szCs w:val="15"/>
              </w:rPr>
              <w:t>ll comparator drugs except exenatide (to remove any GLP-1 RA effect)</w:t>
            </w:r>
          </w:p>
        </w:tc>
        <w:tc>
          <w:tcPr>
            <w:tcW w:w="471" w:type="pct"/>
          </w:tcPr>
          <w:p w14:paraId="10A57489" w14:textId="1E8023C2" w:rsidR="008721DE" w:rsidRPr="00F1762B" w:rsidRDefault="004979AA" w:rsidP="00E05BB0">
            <w:pPr>
              <w:rPr>
                <w:sz w:val="15"/>
                <w:szCs w:val="15"/>
                <w:lang w:val="en-CA"/>
              </w:rPr>
            </w:pPr>
            <w:r w:rsidRPr="00F1762B">
              <w:rPr>
                <w:sz w:val="15"/>
                <w:szCs w:val="15"/>
                <w:lang w:val="en-CA"/>
              </w:rPr>
              <w:t>Breast cancer</w:t>
            </w:r>
          </w:p>
        </w:tc>
        <w:tc>
          <w:tcPr>
            <w:tcW w:w="785" w:type="pct"/>
          </w:tcPr>
          <w:p w14:paraId="36746205" w14:textId="569E0AC1" w:rsidR="008721DE" w:rsidRPr="00F1762B" w:rsidRDefault="008721DE" w:rsidP="00E05BB0">
            <w:pPr>
              <w:rPr>
                <w:sz w:val="15"/>
                <w:szCs w:val="15"/>
                <w:lang w:val="en-CA"/>
              </w:rPr>
            </w:pPr>
            <w:r w:rsidRPr="00F1762B">
              <w:rPr>
                <w:sz w:val="15"/>
                <w:szCs w:val="15"/>
                <w:lang w:val="en-CA"/>
              </w:rPr>
              <w:t>Propensity score matched on demography, smoking, alcohol, comorbidity, concomitant medications, and intensity of health care utilization</w:t>
            </w:r>
          </w:p>
        </w:tc>
        <w:tc>
          <w:tcPr>
            <w:tcW w:w="307" w:type="pct"/>
          </w:tcPr>
          <w:p w14:paraId="29E120C6" w14:textId="51154E8A" w:rsidR="008721DE" w:rsidRPr="00F1762B" w:rsidRDefault="008721DE" w:rsidP="00E05BB0">
            <w:pPr>
              <w:rPr>
                <w:sz w:val="15"/>
                <w:szCs w:val="15"/>
                <w:lang w:val="en-CA"/>
              </w:rPr>
            </w:pPr>
            <w:r w:rsidRPr="00F1762B">
              <w:rPr>
                <w:rFonts w:ascii="Calibri" w:hAnsi="Calibri"/>
                <w:sz w:val="15"/>
                <w:szCs w:val="15"/>
              </w:rPr>
              <w:t>Moderate</w:t>
            </w:r>
          </w:p>
        </w:tc>
        <w:tc>
          <w:tcPr>
            <w:tcW w:w="204" w:type="pct"/>
          </w:tcPr>
          <w:p w14:paraId="0877CED4" w14:textId="386EC7C0" w:rsidR="008721DE" w:rsidRPr="00F1762B" w:rsidRDefault="008721DE" w:rsidP="00E05BB0">
            <w:pPr>
              <w:rPr>
                <w:rFonts w:ascii="Calibri" w:hAnsi="Calibri"/>
                <w:sz w:val="15"/>
                <w:szCs w:val="15"/>
              </w:rPr>
            </w:pPr>
            <w:r w:rsidRPr="00F1762B">
              <w:rPr>
                <w:rFonts w:ascii="Calibri" w:hAnsi="Calibri"/>
                <w:sz w:val="15"/>
                <w:szCs w:val="15"/>
              </w:rPr>
              <w:t>6</w:t>
            </w:r>
          </w:p>
        </w:tc>
      </w:tr>
      <w:tr w:rsidR="00B7487B" w:rsidRPr="00F1762B" w14:paraId="3223BC92" w14:textId="77464951" w:rsidTr="00F1762B">
        <w:tc>
          <w:tcPr>
            <w:tcW w:w="517" w:type="pct"/>
          </w:tcPr>
          <w:p w14:paraId="6FA411DD" w14:textId="793F4900" w:rsidR="008721DE" w:rsidRPr="00F1762B" w:rsidRDefault="008721DE" w:rsidP="00E05BB0">
            <w:pPr>
              <w:rPr>
                <w:sz w:val="15"/>
                <w:szCs w:val="15"/>
                <w:lang w:val="en-CA"/>
              </w:rPr>
            </w:pPr>
            <w:r w:rsidRPr="00F1762B">
              <w:rPr>
                <w:rFonts w:ascii="Calibri" w:hAnsi="Calibri"/>
                <w:sz w:val="15"/>
                <w:szCs w:val="15"/>
              </w:rPr>
              <w:t>Chang 2011</w:t>
            </w:r>
          </w:p>
        </w:tc>
        <w:tc>
          <w:tcPr>
            <w:tcW w:w="447" w:type="pct"/>
          </w:tcPr>
          <w:p w14:paraId="044E4B1E" w14:textId="475CE855" w:rsidR="008721DE" w:rsidRPr="00F1762B" w:rsidRDefault="008721DE" w:rsidP="00E05BB0">
            <w:pPr>
              <w:rPr>
                <w:sz w:val="15"/>
                <w:szCs w:val="15"/>
                <w:lang w:val="en-CA"/>
              </w:rPr>
            </w:pPr>
            <w:r w:rsidRPr="00F1762B">
              <w:rPr>
                <w:rFonts w:ascii="Calibri" w:hAnsi="Calibri"/>
                <w:sz w:val="15"/>
                <w:szCs w:val="15"/>
              </w:rPr>
              <w:t>Taiwan; population-based</w:t>
            </w:r>
          </w:p>
        </w:tc>
        <w:tc>
          <w:tcPr>
            <w:tcW w:w="491" w:type="pct"/>
          </w:tcPr>
          <w:p w14:paraId="4AA46CE1" w14:textId="0C7DAB03" w:rsidR="008721DE" w:rsidRPr="00F1762B" w:rsidRDefault="008721DE" w:rsidP="00E05BB0">
            <w:pPr>
              <w:rPr>
                <w:sz w:val="15"/>
                <w:szCs w:val="15"/>
                <w:lang w:val="en-CA"/>
              </w:rPr>
            </w:pPr>
            <w:r w:rsidRPr="00F1762B">
              <w:rPr>
                <w:sz w:val="15"/>
                <w:szCs w:val="15"/>
                <w:lang w:val="en-CA"/>
              </w:rPr>
              <w:t>2004 to 2007; mean 2.0</w:t>
            </w:r>
          </w:p>
        </w:tc>
        <w:tc>
          <w:tcPr>
            <w:tcW w:w="620" w:type="pct"/>
          </w:tcPr>
          <w:p w14:paraId="03B90E4B" w14:textId="260B9DA7" w:rsidR="008721DE" w:rsidRPr="00F1762B" w:rsidRDefault="008721DE" w:rsidP="00E05BB0">
            <w:pPr>
              <w:rPr>
                <w:sz w:val="15"/>
                <w:szCs w:val="15"/>
                <w:lang w:val="en-CA"/>
              </w:rPr>
            </w:pPr>
            <w:r w:rsidRPr="00F1762B">
              <w:rPr>
                <w:sz w:val="15"/>
                <w:szCs w:val="15"/>
                <w:lang w:val="en-CA"/>
              </w:rPr>
              <w:t>18+; 60.7 (12.8) in insulin glargine users; 62.1 (13.4) in intermediate/long-acting human insulin (HI) users</w:t>
            </w:r>
          </w:p>
        </w:tc>
        <w:tc>
          <w:tcPr>
            <w:tcW w:w="620" w:type="pct"/>
          </w:tcPr>
          <w:p w14:paraId="41279A68" w14:textId="5D918A20" w:rsidR="008721DE" w:rsidRPr="00F1762B" w:rsidRDefault="008721DE" w:rsidP="00E05BB0">
            <w:pPr>
              <w:rPr>
                <w:sz w:val="15"/>
                <w:szCs w:val="15"/>
              </w:rPr>
            </w:pPr>
            <w:r w:rsidRPr="00F1762B">
              <w:rPr>
                <w:sz w:val="15"/>
                <w:szCs w:val="15"/>
              </w:rPr>
              <w:t>49.5 in insulin glargine initiators; 47.7 in intermediate/long-acting HI users</w:t>
            </w:r>
          </w:p>
          <w:p w14:paraId="7929E15D" w14:textId="77777777" w:rsidR="008721DE" w:rsidRPr="00F1762B" w:rsidRDefault="008721DE" w:rsidP="00E05BB0">
            <w:pPr>
              <w:rPr>
                <w:sz w:val="15"/>
                <w:szCs w:val="15"/>
                <w:lang w:val="en-CA"/>
              </w:rPr>
            </w:pPr>
          </w:p>
        </w:tc>
        <w:tc>
          <w:tcPr>
            <w:tcW w:w="537" w:type="pct"/>
          </w:tcPr>
          <w:p w14:paraId="20F1C94F" w14:textId="003382B3" w:rsidR="008721DE" w:rsidRPr="00F1762B" w:rsidRDefault="008721DE" w:rsidP="00E05BB0">
            <w:pPr>
              <w:rPr>
                <w:sz w:val="15"/>
                <w:szCs w:val="15"/>
                <w:lang w:val="en-CA"/>
              </w:rPr>
            </w:pPr>
            <w:r w:rsidRPr="00F1762B">
              <w:rPr>
                <w:sz w:val="15"/>
                <w:szCs w:val="15"/>
                <w:lang w:val="en-CA"/>
              </w:rPr>
              <w:t xml:space="preserve">Class 6, insulin glargine vs </w:t>
            </w:r>
            <w:r w:rsidRPr="00F1762B">
              <w:rPr>
                <w:sz w:val="15"/>
                <w:szCs w:val="15"/>
              </w:rPr>
              <w:t>intermediate/long-acting HI</w:t>
            </w:r>
          </w:p>
        </w:tc>
        <w:tc>
          <w:tcPr>
            <w:tcW w:w="471" w:type="pct"/>
          </w:tcPr>
          <w:p w14:paraId="76C49FCE" w14:textId="34E8930F" w:rsidR="008721DE" w:rsidRPr="00F1762B" w:rsidRDefault="004979AA" w:rsidP="00E05BB0">
            <w:pPr>
              <w:rPr>
                <w:sz w:val="15"/>
                <w:szCs w:val="15"/>
                <w:lang w:val="en-CA"/>
              </w:rPr>
            </w:pPr>
            <w:r w:rsidRPr="00F1762B">
              <w:rPr>
                <w:sz w:val="15"/>
                <w:szCs w:val="15"/>
                <w:lang w:val="en-CA"/>
              </w:rPr>
              <w:t>Breast, lung, colorectal, prostate, liver, and pancreatic cancers</w:t>
            </w:r>
          </w:p>
        </w:tc>
        <w:tc>
          <w:tcPr>
            <w:tcW w:w="785" w:type="pct"/>
          </w:tcPr>
          <w:p w14:paraId="7033A64E" w14:textId="3FBBA9FC" w:rsidR="008721DE" w:rsidRPr="00F1762B" w:rsidRDefault="008721DE" w:rsidP="00E05BB0">
            <w:pPr>
              <w:rPr>
                <w:sz w:val="15"/>
                <w:szCs w:val="15"/>
              </w:rPr>
            </w:pPr>
            <w:r w:rsidRPr="00F1762B">
              <w:rPr>
                <w:sz w:val="15"/>
                <w:szCs w:val="15"/>
              </w:rPr>
              <w:t>Propensity score adjusted for age category, sex (if shared sites), initiation year, diabetes-related late complications, major comorbidities, Charlson Index (not include diabetes), other diabetes medications, statins, aspirin, resource utilization, and physician characteristics, time-varying medication use, and dosage of studied insulin</w:t>
            </w:r>
          </w:p>
        </w:tc>
        <w:tc>
          <w:tcPr>
            <w:tcW w:w="307" w:type="pct"/>
          </w:tcPr>
          <w:p w14:paraId="088003F0" w14:textId="072D65F6" w:rsidR="008721DE" w:rsidRPr="00F1762B" w:rsidRDefault="008721DE" w:rsidP="00E05BB0">
            <w:pPr>
              <w:rPr>
                <w:sz w:val="15"/>
                <w:szCs w:val="15"/>
                <w:lang w:val="en-CA"/>
              </w:rPr>
            </w:pPr>
            <w:r w:rsidRPr="00F1762B">
              <w:rPr>
                <w:rFonts w:ascii="Calibri" w:hAnsi="Calibri"/>
                <w:sz w:val="15"/>
                <w:szCs w:val="15"/>
              </w:rPr>
              <w:t>Low</w:t>
            </w:r>
          </w:p>
        </w:tc>
        <w:tc>
          <w:tcPr>
            <w:tcW w:w="204" w:type="pct"/>
          </w:tcPr>
          <w:p w14:paraId="5E77B25E" w14:textId="0CF1D251" w:rsidR="008721DE" w:rsidRPr="00F1762B" w:rsidRDefault="008721DE" w:rsidP="00E05BB0">
            <w:pPr>
              <w:rPr>
                <w:rFonts w:ascii="Calibri" w:hAnsi="Calibri"/>
                <w:sz w:val="15"/>
                <w:szCs w:val="15"/>
              </w:rPr>
            </w:pPr>
            <w:r w:rsidRPr="00F1762B">
              <w:rPr>
                <w:rFonts w:ascii="Calibri" w:hAnsi="Calibri"/>
                <w:sz w:val="15"/>
                <w:szCs w:val="15"/>
              </w:rPr>
              <w:t>7</w:t>
            </w:r>
          </w:p>
        </w:tc>
      </w:tr>
      <w:tr w:rsidR="00B7487B" w:rsidRPr="00F1762B" w14:paraId="0ED0F6DC" w14:textId="3102A96D" w:rsidTr="00F1762B">
        <w:tc>
          <w:tcPr>
            <w:tcW w:w="517" w:type="pct"/>
          </w:tcPr>
          <w:p w14:paraId="4A0AACDE" w14:textId="405A2284" w:rsidR="008721DE" w:rsidRPr="00F1762B" w:rsidRDefault="008721DE" w:rsidP="00E05BB0">
            <w:pPr>
              <w:rPr>
                <w:sz w:val="15"/>
                <w:szCs w:val="15"/>
                <w:lang w:val="en-CA"/>
              </w:rPr>
            </w:pPr>
            <w:r w:rsidRPr="00F1762B">
              <w:rPr>
                <w:rFonts w:ascii="Calibri" w:hAnsi="Calibri"/>
                <w:sz w:val="15"/>
                <w:szCs w:val="15"/>
              </w:rPr>
              <w:t>Suissa 2011</w:t>
            </w:r>
          </w:p>
        </w:tc>
        <w:tc>
          <w:tcPr>
            <w:tcW w:w="447" w:type="pct"/>
          </w:tcPr>
          <w:p w14:paraId="1696AE92" w14:textId="5249E204" w:rsidR="008721DE" w:rsidRPr="00F1762B" w:rsidRDefault="008721DE" w:rsidP="00E05BB0">
            <w:pPr>
              <w:rPr>
                <w:sz w:val="15"/>
                <w:szCs w:val="15"/>
                <w:lang w:val="en-CA"/>
              </w:rPr>
            </w:pPr>
            <w:r w:rsidRPr="00F1762B">
              <w:rPr>
                <w:rFonts w:ascii="Calibri" w:hAnsi="Calibri"/>
                <w:sz w:val="15"/>
                <w:szCs w:val="15"/>
              </w:rPr>
              <w:t>United Kingdom; population-based</w:t>
            </w:r>
          </w:p>
        </w:tc>
        <w:tc>
          <w:tcPr>
            <w:tcW w:w="491" w:type="pct"/>
          </w:tcPr>
          <w:p w14:paraId="2DB3DC6D" w14:textId="67D87E2E" w:rsidR="008721DE" w:rsidRPr="00F1762B" w:rsidRDefault="008721DE" w:rsidP="00E05BB0">
            <w:pPr>
              <w:rPr>
                <w:sz w:val="15"/>
                <w:szCs w:val="15"/>
                <w:lang w:val="en-CA"/>
              </w:rPr>
            </w:pPr>
            <w:r w:rsidRPr="00F1762B">
              <w:rPr>
                <w:sz w:val="15"/>
                <w:szCs w:val="15"/>
                <w:lang w:val="en-CA"/>
              </w:rPr>
              <w:t>2002 to 2009; NA</w:t>
            </w:r>
          </w:p>
        </w:tc>
        <w:tc>
          <w:tcPr>
            <w:tcW w:w="620" w:type="pct"/>
          </w:tcPr>
          <w:p w14:paraId="2C490FAB" w14:textId="1409AE2E" w:rsidR="008721DE" w:rsidRPr="00F1762B" w:rsidRDefault="008721DE" w:rsidP="00E05BB0">
            <w:pPr>
              <w:rPr>
                <w:sz w:val="15"/>
                <w:szCs w:val="15"/>
              </w:rPr>
            </w:pPr>
            <w:r w:rsidRPr="00F1762B">
              <w:rPr>
                <w:sz w:val="15"/>
                <w:szCs w:val="15"/>
              </w:rPr>
              <w:t>40+; 60.9 (13.1) in glargine group; 61.2 (12.2) in other insulin group</w:t>
            </w:r>
          </w:p>
          <w:p w14:paraId="681BFCB7" w14:textId="77777777" w:rsidR="008721DE" w:rsidRPr="00F1762B" w:rsidRDefault="008721DE" w:rsidP="00E05BB0">
            <w:pPr>
              <w:rPr>
                <w:sz w:val="15"/>
                <w:szCs w:val="15"/>
              </w:rPr>
            </w:pPr>
          </w:p>
        </w:tc>
        <w:tc>
          <w:tcPr>
            <w:tcW w:w="620" w:type="pct"/>
          </w:tcPr>
          <w:p w14:paraId="14BADE63" w14:textId="7943A644" w:rsidR="008721DE" w:rsidRPr="00F1762B" w:rsidRDefault="008721DE" w:rsidP="00E05BB0">
            <w:pPr>
              <w:rPr>
                <w:sz w:val="15"/>
                <w:szCs w:val="15"/>
                <w:lang w:val="en-CA"/>
              </w:rPr>
            </w:pPr>
            <w:r w:rsidRPr="00F1762B">
              <w:rPr>
                <w:sz w:val="15"/>
                <w:szCs w:val="15"/>
                <w:lang w:val="en-CA"/>
              </w:rPr>
              <w:t>NA</w:t>
            </w:r>
          </w:p>
        </w:tc>
        <w:tc>
          <w:tcPr>
            <w:tcW w:w="537" w:type="pct"/>
          </w:tcPr>
          <w:p w14:paraId="5FF230A3" w14:textId="5329C466" w:rsidR="008721DE" w:rsidRPr="00F1762B" w:rsidRDefault="008721DE" w:rsidP="00E05BB0">
            <w:pPr>
              <w:rPr>
                <w:sz w:val="15"/>
                <w:szCs w:val="15"/>
                <w:lang w:val="en-CA"/>
              </w:rPr>
            </w:pPr>
            <w:r w:rsidRPr="00F1762B">
              <w:rPr>
                <w:sz w:val="15"/>
                <w:szCs w:val="15"/>
                <w:lang w:val="en-CA"/>
              </w:rPr>
              <w:t>Class 6, insulin glargine vs other insulin treatment (including human long-acting insulins, human biphasic insulins, short-acting analogue, and animal insulins)</w:t>
            </w:r>
          </w:p>
        </w:tc>
        <w:tc>
          <w:tcPr>
            <w:tcW w:w="471" w:type="pct"/>
          </w:tcPr>
          <w:p w14:paraId="6940D1A7" w14:textId="595E6829" w:rsidR="008721DE" w:rsidRPr="00F1762B" w:rsidRDefault="00A06CB3" w:rsidP="00E05BB0">
            <w:pPr>
              <w:rPr>
                <w:sz w:val="15"/>
                <w:szCs w:val="15"/>
                <w:lang w:val="en-CA"/>
              </w:rPr>
            </w:pPr>
            <w:r w:rsidRPr="00F1762B">
              <w:rPr>
                <w:sz w:val="15"/>
                <w:szCs w:val="15"/>
                <w:lang w:val="en-CA"/>
              </w:rPr>
              <w:t>Breast cancer</w:t>
            </w:r>
          </w:p>
        </w:tc>
        <w:tc>
          <w:tcPr>
            <w:tcW w:w="785" w:type="pct"/>
          </w:tcPr>
          <w:p w14:paraId="76B7D7D8" w14:textId="2EF769F9" w:rsidR="008721DE" w:rsidRPr="00F1762B" w:rsidRDefault="008721DE" w:rsidP="00E05BB0">
            <w:pPr>
              <w:rPr>
                <w:sz w:val="15"/>
                <w:szCs w:val="15"/>
              </w:rPr>
            </w:pPr>
            <w:r w:rsidRPr="00F1762B">
              <w:rPr>
                <w:sz w:val="15"/>
                <w:szCs w:val="15"/>
                <w:lang w:val="en-CA"/>
              </w:rPr>
              <w:t xml:space="preserve">Adjusted for </w:t>
            </w:r>
            <w:r w:rsidRPr="00F1762B">
              <w:rPr>
                <w:sz w:val="15"/>
                <w:szCs w:val="15"/>
              </w:rPr>
              <w:t>age categories, age, excessive alcohol use, smoking status, obesity (</w:t>
            </w:r>
            <w:r w:rsidR="00F06F8F">
              <w:rPr>
                <w:sz w:val="15"/>
                <w:szCs w:val="15"/>
              </w:rPr>
              <w:t>body mass index</w:t>
            </w:r>
            <w:r w:rsidRPr="00F1762B">
              <w:rPr>
                <w:sz w:val="15"/>
                <w:szCs w:val="15"/>
              </w:rPr>
              <w:t>&gt;30 kg/m</w:t>
            </w:r>
            <w:r w:rsidRPr="00F1762B">
              <w:rPr>
                <w:sz w:val="15"/>
                <w:szCs w:val="15"/>
                <w:vertAlign w:val="superscript"/>
              </w:rPr>
              <w:t>2</w:t>
            </w:r>
            <w:r w:rsidRPr="00F1762B">
              <w:rPr>
                <w:sz w:val="15"/>
                <w:szCs w:val="15"/>
              </w:rPr>
              <w:t xml:space="preserve">), HbA1c, diabetes duration, duration of insulin use, oophorectomy, history of cancer, use of </w:t>
            </w:r>
            <w:r w:rsidR="00FA58DE">
              <w:rPr>
                <w:sz w:val="15"/>
                <w:szCs w:val="15"/>
              </w:rPr>
              <w:t>hormone replacement therapy</w:t>
            </w:r>
            <w:r w:rsidRPr="00F1762B">
              <w:rPr>
                <w:sz w:val="15"/>
                <w:szCs w:val="15"/>
              </w:rPr>
              <w:t>, sulfonylureas, thiazolidinediones, metformin and statins</w:t>
            </w:r>
          </w:p>
        </w:tc>
        <w:tc>
          <w:tcPr>
            <w:tcW w:w="307" w:type="pct"/>
          </w:tcPr>
          <w:p w14:paraId="05E0740E" w14:textId="56FDA193" w:rsidR="008721DE" w:rsidRPr="00F1762B" w:rsidRDefault="008721DE" w:rsidP="00E05BB0">
            <w:pPr>
              <w:rPr>
                <w:sz w:val="15"/>
                <w:szCs w:val="15"/>
                <w:lang w:val="en-CA"/>
              </w:rPr>
            </w:pPr>
            <w:r w:rsidRPr="00F1762B">
              <w:rPr>
                <w:rFonts w:ascii="Calibri" w:hAnsi="Calibri"/>
                <w:sz w:val="15"/>
                <w:szCs w:val="15"/>
              </w:rPr>
              <w:t>Low</w:t>
            </w:r>
          </w:p>
        </w:tc>
        <w:tc>
          <w:tcPr>
            <w:tcW w:w="204" w:type="pct"/>
          </w:tcPr>
          <w:p w14:paraId="4E2A75F1" w14:textId="341E1E6E" w:rsidR="008721DE" w:rsidRPr="00F1762B" w:rsidRDefault="008721DE" w:rsidP="00E05BB0">
            <w:pPr>
              <w:rPr>
                <w:rFonts w:ascii="Calibri" w:hAnsi="Calibri"/>
                <w:sz w:val="15"/>
                <w:szCs w:val="15"/>
              </w:rPr>
            </w:pPr>
            <w:r w:rsidRPr="00F1762B">
              <w:rPr>
                <w:rFonts w:ascii="Calibri" w:hAnsi="Calibri"/>
                <w:sz w:val="15"/>
                <w:szCs w:val="15"/>
              </w:rPr>
              <w:t>8</w:t>
            </w:r>
          </w:p>
        </w:tc>
      </w:tr>
      <w:tr w:rsidR="00B7487B" w:rsidRPr="00F1762B" w14:paraId="078612B9" w14:textId="4DFB72FF" w:rsidTr="00F1762B">
        <w:tc>
          <w:tcPr>
            <w:tcW w:w="517" w:type="pct"/>
          </w:tcPr>
          <w:p w14:paraId="183CF560" w14:textId="3D65D0F2" w:rsidR="008721DE" w:rsidRPr="00F1762B" w:rsidRDefault="008721DE" w:rsidP="00E05BB0">
            <w:pPr>
              <w:rPr>
                <w:sz w:val="15"/>
                <w:szCs w:val="15"/>
                <w:lang w:val="en-CA"/>
              </w:rPr>
            </w:pPr>
            <w:r w:rsidRPr="00F1762B">
              <w:rPr>
                <w:rFonts w:ascii="Calibri" w:hAnsi="Calibri"/>
                <w:sz w:val="15"/>
                <w:szCs w:val="15"/>
              </w:rPr>
              <w:t>Lai 2012a</w:t>
            </w:r>
          </w:p>
        </w:tc>
        <w:tc>
          <w:tcPr>
            <w:tcW w:w="447" w:type="pct"/>
          </w:tcPr>
          <w:p w14:paraId="759E17F2" w14:textId="777084D2" w:rsidR="008721DE" w:rsidRPr="00F1762B" w:rsidRDefault="008721DE" w:rsidP="00E05BB0">
            <w:pPr>
              <w:rPr>
                <w:sz w:val="15"/>
                <w:szCs w:val="15"/>
                <w:lang w:val="en-CA"/>
              </w:rPr>
            </w:pPr>
            <w:r w:rsidRPr="00F1762B">
              <w:rPr>
                <w:rFonts w:ascii="Calibri" w:hAnsi="Calibri"/>
                <w:sz w:val="15"/>
                <w:szCs w:val="15"/>
              </w:rPr>
              <w:t>Taiwan; population-based</w:t>
            </w:r>
          </w:p>
        </w:tc>
        <w:tc>
          <w:tcPr>
            <w:tcW w:w="491" w:type="pct"/>
          </w:tcPr>
          <w:p w14:paraId="4D09A855" w14:textId="668076AE" w:rsidR="008721DE" w:rsidRPr="00F1762B" w:rsidRDefault="008721DE" w:rsidP="00E05BB0">
            <w:pPr>
              <w:rPr>
                <w:sz w:val="15"/>
                <w:szCs w:val="15"/>
                <w:lang w:val="en-CA"/>
              </w:rPr>
            </w:pPr>
            <w:r w:rsidRPr="00F1762B">
              <w:rPr>
                <w:sz w:val="15"/>
                <w:szCs w:val="15"/>
                <w:lang w:val="en-CA"/>
              </w:rPr>
              <w:t>1995 to 2008; NA</w:t>
            </w:r>
          </w:p>
        </w:tc>
        <w:tc>
          <w:tcPr>
            <w:tcW w:w="620" w:type="pct"/>
          </w:tcPr>
          <w:p w14:paraId="068BA3D1" w14:textId="1ED97B2D" w:rsidR="008721DE" w:rsidRPr="00F1762B" w:rsidRDefault="008721DE" w:rsidP="00E05BB0">
            <w:pPr>
              <w:rPr>
                <w:sz w:val="15"/>
                <w:szCs w:val="15"/>
                <w:lang w:val="en-CA"/>
              </w:rPr>
            </w:pPr>
            <w:r w:rsidRPr="00F1762B">
              <w:rPr>
                <w:sz w:val="15"/>
                <w:szCs w:val="15"/>
                <w:lang w:val="en-CA"/>
              </w:rPr>
              <w:t>20+; 56.4 (13.4)</w:t>
            </w:r>
          </w:p>
        </w:tc>
        <w:tc>
          <w:tcPr>
            <w:tcW w:w="620" w:type="pct"/>
          </w:tcPr>
          <w:p w14:paraId="361841B9" w14:textId="26F7C3F2" w:rsidR="008721DE" w:rsidRPr="00F1762B" w:rsidRDefault="008721DE" w:rsidP="00E05BB0">
            <w:pPr>
              <w:rPr>
                <w:sz w:val="15"/>
                <w:szCs w:val="15"/>
                <w:lang w:val="en-CA"/>
              </w:rPr>
            </w:pPr>
            <w:r w:rsidRPr="00F1762B">
              <w:rPr>
                <w:sz w:val="15"/>
                <w:szCs w:val="15"/>
                <w:lang w:val="en-CA"/>
              </w:rPr>
              <w:t>55.7</w:t>
            </w:r>
          </w:p>
        </w:tc>
        <w:tc>
          <w:tcPr>
            <w:tcW w:w="537" w:type="pct"/>
          </w:tcPr>
          <w:p w14:paraId="0F6A2407" w14:textId="77777777" w:rsidR="008721DE" w:rsidRPr="00F1762B" w:rsidRDefault="008721DE" w:rsidP="00E05BB0">
            <w:pPr>
              <w:rPr>
                <w:sz w:val="15"/>
                <w:szCs w:val="15"/>
                <w:lang w:val="en-CA"/>
              </w:rPr>
            </w:pPr>
            <w:r w:rsidRPr="00F1762B">
              <w:rPr>
                <w:sz w:val="15"/>
                <w:szCs w:val="15"/>
                <w:lang w:val="en-CA"/>
              </w:rPr>
              <w:t>Class 1, metformin vs no use of metformin;</w:t>
            </w:r>
          </w:p>
          <w:p w14:paraId="4B57226C" w14:textId="77777777" w:rsidR="008721DE" w:rsidRPr="00F1762B" w:rsidRDefault="008721DE" w:rsidP="00E05BB0">
            <w:pPr>
              <w:rPr>
                <w:sz w:val="15"/>
                <w:szCs w:val="15"/>
                <w:lang w:val="en-CA"/>
              </w:rPr>
            </w:pPr>
          </w:p>
          <w:p w14:paraId="2F2747FE" w14:textId="04605FD1" w:rsidR="008721DE" w:rsidRPr="00F1762B" w:rsidRDefault="008721DE" w:rsidP="00E05BB0">
            <w:pPr>
              <w:rPr>
                <w:sz w:val="15"/>
                <w:szCs w:val="15"/>
                <w:lang w:val="en-CA"/>
              </w:rPr>
            </w:pPr>
            <w:r w:rsidRPr="00F1762B">
              <w:rPr>
                <w:sz w:val="15"/>
                <w:szCs w:val="15"/>
                <w:lang w:val="en-CA"/>
              </w:rPr>
              <w:t>Class 3, alpha-glucosidase inhibitors vs no use of alpha-glucosidase inhibitors;</w:t>
            </w:r>
          </w:p>
          <w:p w14:paraId="08041CEE" w14:textId="77777777" w:rsidR="008721DE" w:rsidRPr="00F1762B" w:rsidRDefault="008721DE" w:rsidP="00E05BB0">
            <w:pPr>
              <w:rPr>
                <w:sz w:val="15"/>
                <w:szCs w:val="15"/>
                <w:lang w:val="en-CA"/>
              </w:rPr>
            </w:pPr>
          </w:p>
          <w:p w14:paraId="334F2C0B" w14:textId="00487FDD" w:rsidR="008721DE" w:rsidRPr="00F1762B" w:rsidRDefault="008721DE" w:rsidP="00E05BB0">
            <w:pPr>
              <w:rPr>
                <w:sz w:val="15"/>
                <w:szCs w:val="15"/>
                <w:lang w:val="en-CA"/>
              </w:rPr>
            </w:pPr>
            <w:r w:rsidRPr="00F1762B">
              <w:rPr>
                <w:sz w:val="15"/>
                <w:szCs w:val="15"/>
                <w:lang w:val="en-CA"/>
              </w:rPr>
              <w:t>Class 4, sulfonylureas vs no use of sulfonylureas;</w:t>
            </w:r>
          </w:p>
          <w:p w14:paraId="26E23310" w14:textId="77777777" w:rsidR="008721DE" w:rsidRPr="00F1762B" w:rsidRDefault="008721DE" w:rsidP="00E05BB0">
            <w:pPr>
              <w:rPr>
                <w:sz w:val="15"/>
                <w:szCs w:val="15"/>
                <w:lang w:val="en-CA"/>
              </w:rPr>
            </w:pPr>
          </w:p>
          <w:p w14:paraId="0BDD277F" w14:textId="785DF7D4" w:rsidR="008721DE" w:rsidRPr="00F1762B" w:rsidRDefault="008721DE" w:rsidP="00E05BB0">
            <w:pPr>
              <w:rPr>
                <w:sz w:val="15"/>
                <w:szCs w:val="15"/>
                <w:lang w:val="en-CA"/>
              </w:rPr>
            </w:pPr>
            <w:r w:rsidRPr="00F1762B">
              <w:rPr>
                <w:sz w:val="15"/>
                <w:szCs w:val="15"/>
                <w:lang w:val="en-CA"/>
              </w:rPr>
              <w:t>Class 5, thiazolidinediones vs no use of thiazolidinediones;</w:t>
            </w:r>
          </w:p>
          <w:p w14:paraId="5B26A358" w14:textId="77777777" w:rsidR="008721DE" w:rsidRPr="00F1762B" w:rsidRDefault="008721DE" w:rsidP="00E05BB0">
            <w:pPr>
              <w:rPr>
                <w:sz w:val="15"/>
                <w:szCs w:val="15"/>
                <w:lang w:val="en-CA"/>
              </w:rPr>
            </w:pPr>
          </w:p>
          <w:p w14:paraId="5B9E23E8" w14:textId="47F98936" w:rsidR="008721DE" w:rsidRPr="00F1762B" w:rsidRDefault="008721DE" w:rsidP="00E05BB0">
            <w:pPr>
              <w:rPr>
                <w:sz w:val="15"/>
                <w:szCs w:val="15"/>
                <w:lang w:val="en-CA"/>
              </w:rPr>
            </w:pPr>
            <w:r w:rsidRPr="00F1762B">
              <w:rPr>
                <w:sz w:val="15"/>
                <w:szCs w:val="15"/>
                <w:lang w:val="en-CA"/>
              </w:rPr>
              <w:t>Class 6, insulin vs no use of insulin</w:t>
            </w:r>
          </w:p>
        </w:tc>
        <w:tc>
          <w:tcPr>
            <w:tcW w:w="471" w:type="pct"/>
          </w:tcPr>
          <w:p w14:paraId="5CD462FB" w14:textId="15CED233" w:rsidR="008721DE" w:rsidRPr="00F1762B" w:rsidRDefault="00A06CB3" w:rsidP="00E05BB0">
            <w:pPr>
              <w:rPr>
                <w:sz w:val="15"/>
                <w:szCs w:val="15"/>
                <w:lang w:val="en-CA"/>
              </w:rPr>
            </w:pPr>
            <w:r w:rsidRPr="00F1762B">
              <w:rPr>
                <w:sz w:val="15"/>
                <w:szCs w:val="15"/>
                <w:lang w:val="en-CA"/>
              </w:rPr>
              <w:lastRenderedPageBreak/>
              <w:t>Lung cancer</w:t>
            </w:r>
          </w:p>
        </w:tc>
        <w:tc>
          <w:tcPr>
            <w:tcW w:w="785" w:type="pct"/>
          </w:tcPr>
          <w:p w14:paraId="5AE62002" w14:textId="4EC1D984" w:rsidR="008721DE" w:rsidRPr="00F1762B" w:rsidRDefault="008721DE" w:rsidP="00E05BB0">
            <w:pPr>
              <w:rPr>
                <w:sz w:val="15"/>
                <w:szCs w:val="15"/>
              </w:rPr>
            </w:pPr>
            <w:r w:rsidRPr="00F1762B">
              <w:rPr>
                <w:sz w:val="15"/>
                <w:szCs w:val="15"/>
                <w:lang w:val="en-CA"/>
              </w:rPr>
              <w:t xml:space="preserve">Adjusted for </w:t>
            </w:r>
            <w:r w:rsidRPr="00F1762B">
              <w:rPr>
                <w:sz w:val="15"/>
                <w:szCs w:val="15"/>
              </w:rPr>
              <w:t>sex, age, pulmonary tuberculosis, chronic obstructive pulmonary disease, and propensity score (quintile)</w:t>
            </w:r>
          </w:p>
        </w:tc>
        <w:tc>
          <w:tcPr>
            <w:tcW w:w="307" w:type="pct"/>
          </w:tcPr>
          <w:p w14:paraId="4966CAFC" w14:textId="4FEEC4C8" w:rsidR="008721DE" w:rsidRPr="00F1762B" w:rsidRDefault="008721DE" w:rsidP="00E05BB0">
            <w:pPr>
              <w:rPr>
                <w:sz w:val="15"/>
                <w:szCs w:val="15"/>
                <w:lang w:val="en-CA"/>
              </w:rPr>
            </w:pPr>
            <w:r w:rsidRPr="00F1762B">
              <w:rPr>
                <w:rFonts w:ascii="Calibri" w:hAnsi="Calibri"/>
                <w:sz w:val="15"/>
                <w:szCs w:val="15"/>
              </w:rPr>
              <w:t>Low</w:t>
            </w:r>
          </w:p>
        </w:tc>
        <w:tc>
          <w:tcPr>
            <w:tcW w:w="204" w:type="pct"/>
          </w:tcPr>
          <w:p w14:paraId="42776F50" w14:textId="028233DD" w:rsidR="008721DE" w:rsidRPr="00F1762B" w:rsidRDefault="008721DE" w:rsidP="00E05BB0">
            <w:pPr>
              <w:rPr>
                <w:rFonts w:ascii="Calibri" w:hAnsi="Calibri"/>
                <w:sz w:val="15"/>
                <w:szCs w:val="15"/>
              </w:rPr>
            </w:pPr>
            <w:r w:rsidRPr="00F1762B">
              <w:rPr>
                <w:rFonts w:ascii="Calibri" w:hAnsi="Calibri"/>
                <w:sz w:val="15"/>
                <w:szCs w:val="15"/>
              </w:rPr>
              <w:t>7</w:t>
            </w:r>
          </w:p>
        </w:tc>
      </w:tr>
      <w:tr w:rsidR="00B7487B" w:rsidRPr="00F1762B" w14:paraId="463BCA7C" w14:textId="7AF61F42" w:rsidTr="00F1762B">
        <w:tc>
          <w:tcPr>
            <w:tcW w:w="517" w:type="pct"/>
          </w:tcPr>
          <w:p w14:paraId="23D8AE75" w14:textId="545CC778" w:rsidR="008721DE" w:rsidRPr="00F1762B" w:rsidRDefault="008721DE" w:rsidP="00E05BB0">
            <w:pPr>
              <w:rPr>
                <w:sz w:val="15"/>
                <w:szCs w:val="15"/>
                <w:lang w:val="en-CA"/>
              </w:rPr>
            </w:pPr>
            <w:r w:rsidRPr="00F1762B">
              <w:rPr>
                <w:rFonts w:ascii="Calibri" w:hAnsi="Calibri"/>
                <w:sz w:val="15"/>
                <w:szCs w:val="15"/>
              </w:rPr>
              <w:t>Funch 2014</w:t>
            </w:r>
          </w:p>
        </w:tc>
        <w:tc>
          <w:tcPr>
            <w:tcW w:w="447" w:type="pct"/>
          </w:tcPr>
          <w:p w14:paraId="4AA97A26" w14:textId="32A47688" w:rsidR="008721DE" w:rsidRPr="00F1762B" w:rsidRDefault="008721DE" w:rsidP="00E05BB0">
            <w:pPr>
              <w:rPr>
                <w:sz w:val="15"/>
                <w:szCs w:val="15"/>
                <w:lang w:val="en-CA"/>
              </w:rPr>
            </w:pPr>
            <w:r w:rsidRPr="00F1762B">
              <w:rPr>
                <w:rFonts w:ascii="Calibri" w:hAnsi="Calibri"/>
                <w:sz w:val="15"/>
                <w:szCs w:val="15"/>
              </w:rPr>
              <w:t>United States; population-based</w:t>
            </w:r>
          </w:p>
        </w:tc>
        <w:tc>
          <w:tcPr>
            <w:tcW w:w="491" w:type="pct"/>
          </w:tcPr>
          <w:p w14:paraId="62BFCDC2" w14:textId="29A71E2F" w:rsidR="008721DE" w:rsidRPr="00F1762B" w:rsidRDefault="008721DE" w:rsidP="00E05BB0">
            <w:pPr>
              <w:rPr>
                <w:sz w:val="15"/>
                <w:szCs w:val="15"/>
                <w:lang w:val="en-CA"/>
              </w:rPr>
            </w:pPr>
            <w:r w:rsidRPr="00F1762B">
              <w:rPr>
                <w:sz w:val="15"/>
                <w:szCs w:val="15"/>
                <w:lang w:val="en-CA"/>
              </w:rPr>
              <w:t>2010 to 2012; NA</w:t>
            </w:r>
          </w:p>
        </w:tc>
        <w:tc>
          <w:tcPr>
            <w:tcW w:w="620" w:type="pct"/>
          </w:tcPr>
          <w:p w14:paraId="73457007" w14:textId="6EADB36E" w:rsidR="008721DE" w:rsidRPr="00F1762B" w:rsidRDefault="008721DE" w:rsidP="00E05BB0">
            <w:pPr>
              <w:rPr>
                <w:sz w:val="15"/>
                <w:szCs w:val="15"/>
              </w:rPr>
            </w:pPr>
            <w:r w:rsidRPr="00F1762B">
              <w:rPr>
                <w:sz w:val="15"/>
                <w:szCs w:val="15"/>
              </w:rPr>
              <w:t>18+; median 53.0</w:t>
            </w:r>
          </w:p>
        </w:tc>
        <w:tc>
          <w:tcPr>
            <w:tcW w:w="620" w:type="pct"/>
          </w:tcPr>
          <w:p w14:paraId="49E7B39B" w14:textId="0531CD41" w:rsidR="008721DE" w:rsidRPr="00F1762B" w:rsidRDefault="008721DE" w:rsidP="00E05BB0">
            <w:pPr>
              <w:rPr>
                <w:rFonts w:ascii="Calibri" w:hAnsi="Calibri"/>
                <w:sz w:val="15"/>
                <w:szCs w:val="15"/>
              </w:rPr>
            </w:pPr>
            <w:r w:rsidRPr="00F1762B">
              <w:rPr>
                <w:rFonts w:ascii="Calibri" w:hAnsi="Calibri"/>
                <w:sz w:val="15"/>
                <w:szCs w:val="15"/>
              </w:rPr>
              <w:t>45.8 in liraglutide users; 50.5 in other users</w:t>
            </w:r>
          </w:p>
        </w:tc>
        <w:tc>
          <w:tcPr>
            <w:tcW w:w="537" w:type="pct"/>
          </w:tcPr>
          <w:p w14:paraId="58E20CE9" w14:textId="5B9E1E0F" w:rsidR="008721DE" w:rsidRPr="00F1762B" w:rsidRDefault="008721DE" w:rsidP="00E05BB0">
            <w:pPr>
              <w:rPr>
                <w:sz w:val="15"/>
                <w:szCs w:val="15"/>
                <w:lang w:val="en-CA"/>
              </w:rPr>
            </w:pPr>
            <w:r w:rsidRPr="00F1762B">
              <w:rPr>
                <w:sz w:val="15"/>
                <w:szCs w:val="15"/>
                <w:lang w:val="en-CA"/>
              </w:rPr>
              <w:t>Class 2, liraglutide vs pooled comparator drugs (excluding exenatide and DPP-4 inhibitors)</w:t>
            </w:r>
          </w:p>
        </w:tc>
        <w:tc>
          <w:tcPr>
            <w:tcW w:w="471" w:type="pct"/>
          </w:tcPr>
          <w:p w14:paraId="73162B0C" w14:textId="3A62B82F" w:rsidR="008721DE" w:rsidRPr="00F1762B" w:rsidRDefault="00A06CB3" w:rsidP="00E05BB0">
            <w:pPr>
              <w:rPr>
                <w:sz w:val="15"/>
                <w:szCs w:val="15"/>
                <w:lang w:val="en-CA"/>
              </w:rPr>
            </w:pPr>
            <w:r w:rsidRPr="00F1762B">
              <w:rPr>
                <w:sz w:val="15"/>
                <w:szCs w:val="15"/>
                <w:lang w:val="en-CA"/>
              </w:rPr>
              <w:t>Pancreatic cancer</w:t>
            </w:r>
          </w:p>
        </w:tc>
        <w:tc>
          <w:tcPr>
            <w:tcW w:w="785" w:type="pct"/>
          </w:tcPr>
          <w:p w14:paraId="347E547C" w14:textId="18C973CE" w:rsidR="008721DE" w:rsidRPr="00F1762B" w:rsidRDefault="008721DE" w:rsidP="00E05BB0">
            <w:pPr>
              <w:rPr>
                <w:sz w:val="15"/>
                <w:szCs w:val="15"/>
              </w:rPr>
            </w:pPr>
            <w:r w:rsidRPr="00F1762B">
              <w:rPr>
                <w:sz w:val="15"/>
                <w:szCs w:val="15"/>
              </w:rPr>
              <w:t>Adjusted for age, gender, healthcare utilization, and Diabetes Complications and Severity Index</w:t>
            </w:r>
          </w:p>
        </w:tc>
        <w:tc>
          <w:tcPr>
            <w:tcW w:w="307" w:type="pct"/>
          </w:tcPr>
          <w:p w14:paraId="6D7BECE4" w14:textId="1ACF3EC2" w:rsidR="008721DE" w:rsidRPr="00F1762B" w:rsidRDefault="008721DE" w:rsidP="00E05BB0">
            <w:pPr>
              <w:rPr>
                <w:sz w:val="15"/>
                <w:szCs w:val="15"/>
                <w:lang w:val="en-CA"/>
              </w:rPr>
            </w:pPr>
            <w:r w:rsidRPr="00F1762B">
              <w:rPr>
                <w:rFonts w:ascii="Calibri" w:hAnsi="Calibri"/>
                <w:sz w:val="15"/>
                <w:szCs w:val="15"/>
              </w:rPr>
              <w:t>Low</w:t>
            </w:r>
          </w:p>
        </w:tc>
        <w:tc>
          <w:tcPr>
            <w:tcW w:w="204" w:type="pct"/>
          </w:tcPr>
          <w:p w14:paraId="4F1A26F4" w14:textId="580C46DA" w:rsidR="008721DE" w:rsidRPr="00F1762B" w:rsidRDefault="008721DE" w:rsidP="00E05BB0">
            <w:pPr>
              <w:rPr>
                <w:rFonts w:ascii="Calibri" w:hAnsi="Calibri"/>
                <w:sz w:val="15"/>
                <w:szCs w:val="15"/>
              </w:rPr>
            </w:pPr>
            <w:r w:rsidRPr="00F1762B">
              <w:rPr>
                <w:rFonts w:ascii="Calibri" w:hAnsi="Calibri"/>
                <w:sz w:val="15"/>
                <w:szCs w:val="15"/>
              </w:rPr>
              <w:t>7</w:t>
            </w:r>
          </w:p>
        </w:tc>
      </w:tr>
      <w:tr w:rsidR="00B7487B" w:rsidRPr="00F1762B" w14:paraId="3DB27B1E" w14:textId="395541C6" w:rsidTr="00F1762B">
        <w:tc>
          <w:tcPr>
            <w:tcW w:w="517" w:type="pct"/>
          </w:tcPr>
          <w:p w14:paraId="424EE359" w14:textId="3CCEFE37" w:rsidR="008721DE" w:rsidRPr="00F1762B" w:rsidRDefault="008721DE" w:rsidP="00E05BB0">
            <w:pPr>
              <w:rPr>
                <w:sz w:val="15"/>
                <w:szCs w:val="15"/>
                <w:lang w:val="en-CA"/>
              </w:rPr>
            </w:pPr>
            <w:r w:rsidRPr="00F1762B">
              <w:rPr>
                <w:rFonts w:ascii="Calibri" w:hAnsi="Calibri"/>
                <w:sz w:val="15"/>
                <w:szCs w:val="15"/>
              </w:rPr>
              <w:t>Tseng 2014a</w:t>
            </w:r>
          </w:p>
        </w:tc>
        <w:tc>
          <w:tcPr>
            <w:tcW w:w="447" w:type="pct"/>
          </w:tcPr>
          <w:p w14:paraId="6774938A" w14:textId="6A641E30" w:rsidR="008721DE" w:rsidRPr="00F1762B" w:rsidRDefault="008721DE" w:rsidP="00E05BB0">
            <w:pPr>
              <w:rPr>
                <w:sz w:val="15"/>
                <w:szCs w:val="15"/>
                <w:lang w:val="en-CA"/>
              </w:rPr>
            </w:pPr>
            <w:r w:rsidRPr="00F1762B">
              <w:rPr>
                <w:rFonts w:ascii="Calibri" w:hAnsi="Calibri"/>
                <w:sz w:val="15"/>
                <w:szCs w:val="15"/>
              </w:rPr>
              <w:t>Taiwan; population-based</w:t>
            </w:r>
          </w:p>
        </w:tc>
        <w:tc>
          <w:tcPr>
            <w:tcW w:w="491" w:type="pct"/>
          </w:tcPr>
          <w:p w14:paraId="7E4CF689" w14:textId="41CFBC51" w:rsidR="008721DE" w:rsidRPr="00F1762B" w:rsidRDefault="008721DE" w:rsidP="00E05BB0">
            <w:pPr>
              <w:rPr>
                <w:sz w:val="15"/>
                <w:szCs w:val="15"/>
                <w:lang w:val="en-CA"/>
              </w:rPr>
            </w:pPr>
            <w:r w:rsidRPr="00F1762B">
              <w:rPr>
                <w:sz w:val="15"/>
                <w:szCs w:val="15"/>
                <w:lang w:val="en-CA"/>
              </w:rPr>
              <w:t>1996 to 2009; NA</w:t>
            </w:r>
          </w:p>
        </w:tc>
        <w:tc>
          <w:tcPr>
            <w:tcW w:w="620" w:type="pct"/>
          </w:tcPr>
          <w:p w14:paraId="699AEB11" w14:textId="538D24EF" w:rsidR="008721DE" w:rsidRPr="00F1762B" w:rsidRDefault="008721DE" w:rsidP="00E05BB0">
            <w:pPr>
              <w:rPr>
                <w:sz w:val="15"/>
                <w:szCs w:val="15"/>
                <w:lang w:val="en-CA"/>
              </w:rPr>
            </w:pPr>
            <w:r w:rsidRPr="00F1762B">
              <w:rPr>
                <w:sz w:val="15"/>
                <w:szCs w:val="15"/>
                <w:lang w:val="en-CA"/>
              </w:rPr>
              <w:t>NA; ~54.8% of human insulin ever users and ~49.6% never users were &gt;60, respectively</w:t>
            </w:r>
          </w:p>
        </w:tc>
        <w:tc>
          <w:tcPr>
            <w:tcW w:w="620" w:type="pct"/>
          </w:tcPr>
          <w:p w14:paraId="7738CA68" w14:textId="10D621AF" w:rsidR="008721DE" w:rsidRPr="00F1762B" w:rsidRDefault="008721DE" w:rsidP="00E05BB0">
            <w:pPr>
              <w:rPr>
                <w:sz w:val="15"/>
                <w:szCs w:val="15"/>
                <w:lang w:val="en-CA"/>
              </w:rPr>
            </w:pPr>
            <w:r w:rsidRPr="00F1762B">
              <w:rPr>
                <w:sz w:val="15"/>
                <w:szCs w:val="15"/>
                <w:lang w:val="en-CA"/>
              </w:rPr>
              <w:t>100.0</w:t>
            </w:r>
          </w:p>
        </w:tc>
        <w:tc>
          <w:tcPr>
            <w:tcW w:w="537" w:type="pct"/>
          </w:tcPr>
          <w:p w14:paraId="58B9F2D0" w14:textId="4B11B4F5" w:rsidR="008721DE" w:rsidRPr="00F1762B" w:rsidRDefault="008721DE" w:rsidP="00E05BB0">
            <w:pPr>
              <w:rPr>
                <w:sz w:val="15"/>
                <w:szCs w:val="15"/>
                <w:lang w:val="en-CA"/>
              </w:rPr>
            </w:pPr>
            <w:r w:rsidRPr="00F1762B">
              <w:rPr>
                <w:sz w:val="15"/>
                <w:szCs w:val="15"/>
                <w:lang w:val="en-CA"/>
              </w:rPr>
              <w:t>Class 6, human insulin vs no use of human insulin</w:t>
            </w:r>
          </w:p>
        </w:tc>
        <w:tc>
          <w:tcPr>
            <w:tcW w:w="471" w:type="pct"/>
          </w:tcPr>
          <w:p w14:paraId="70A4F94A" w14:textId="7840ABC0" w:rsidR="008721DE" w:rsidRPr="00F1762B" w:rsidRDefault="00A06CB3" w:rsidP="00E05BB0">
            <w:pPr>
              <w:rPr>
                <w:sz w:val="15"/>
                <w:szCs w:val="15"/>
                <w:lang w:val="en-CA"/>
              </w:rPr>
            </w:pPr>
            <w:r w:rsidRPr="00F1762B">
              <w:rPr>
                <w:sz w:val="15"/>
                <w:szCs w:val="15"/>
                <w:lang w:val="en-CA"/>
              </w:rPr>
              <w:t>Prostate cancer</w:t>
            </w:r>
          </w:p>
        </w:tc>
        <w:tc>
          <w:tcPr>
            <w:tcW w:w="785" w:type="pct"/>
          </w:tcPr>
          <w:p w14:paraId="03FC8306" w14:textId="26416A09" w:rsidR="008721DE" w:rsidRPr="00F1762B" w:rsidRDefault="008721DE" w:rsidP="00E05BB0">
            <w:pPr>
              <w:rPr>
                <w:sz w:val="15"/>
                <w:szCs w:val="15"/>
              </w:rPr>
            </w:pPr>
            <w:r w:rsidRPr="00F1762B">
              <w:rPr>
                <w:sz w:val="15"/>
                <w:szCs w:val="15"/>
              </w:rPr>
              <w:t>Adjusted for age, diabetes duration, benign prostatic hyperplasia, major comorbidities, diabetes-related complications, other cancer before baseline, other diabetes medications, commonly used medications, aspirin, nonsteroidal anti-inflammatory drug, anticoagulants, and 5-alpha reductase inhibitor</w:t>
            </w:r>
          </w:p>
        </w:tc>
        <w:tc>
          <w:tcPr>
            <w:tcW w:w="307" w:type="pct"/>
          </w:tcPr>
          <w:p w14:paraId="093B2977" w14:textId="7ECB8245" w:rsidR="008721DE" w:rsidRPr="00F1762B" w:rsidRDefault="008721DE" w:rsidP="00E05BB0">
            <w:pPr>
              <w:rPr>
                <w:sz w:val="15"/>
                <w:szCs w:val="15"/>
                <w:lang w:val="en-CA"/>
              </w:rPr>
            </w:pPr>
            <w:r w:rsidRPr="00F1762B">
              <w:rPr>
                <w:rFonts w:ascii="Calibri" w:hAnsi="Calibri"/>
                <w:sz w:val="15"/>
                <w:szCs w:val="15"/>
              </w:rPr>
              <w:t>Low</w:t>
            </w:r>
          </w:p>
        </w:tc>
        <w:tc>
          <w:tcPr>
            <w:tcW w:w="204" w:type="pct"/>
          </w:tcPr>
          <w:p w14:paraId="16C90852" w14:textId="6A07016C" w:rsidR="008721DE" w:rsidRPr="00F1762B" w:rsidRDefault="008721DE" w:rsidP="00E05BB0">
            <w:pPr>
              <w:rPr>
                <w:rFonts w:ascii="Calibri" w:hAnsi="Calibri"/>
                <w:sz w:val="15"/>
                <w:szCs w:val="15"/>
              </w:rPr>
            </w:pPr>
            <w:r w:rsidRPr="00F1762B">
              <w:rPr>
                <w:rFonts w:ascii="Calibri" w:hAnsi="Calibri"/>
                <w:sz w:val="15"/>
                <w:szCs w:val="15"/>
              </w:rPr>
              <w:t>8</w:t>
            </w:r>
          </w:p>
        </w:tc>
      </w:tr>
      <w:tr w:rsidR="00B7487B" w:rsidRPr="00F1762B" w14:paraId="1BF0DF00" w14:textId="3950FEE4" w:rsidTr="00F1762B">
        <w:tc>
          <w:tcPr>
            <w:tcW w:w="517" w:type="pct"/>
          </w:tcPr>
          <w:p w14:paraId="76C7873C" w14:textId="2245D5C0" w:rsidR="008721DE" w:rsidRPr="00F1762B" w:rsidRDefault="008721DE" w:rsidP="00E05BB0">
            <w:pPr>
              <w:rPr>
                <w:sz w:val="15"/>
                <w:szCs w:val="15"/>
                <w:lang w:val="en-CA"/>
              </w:rPr>
            </w:pPr>
            <w:r w:rsidRPr="00F1762B">
              <w:rPr>
                <w:rFonts w:ascii="Calibri" w:hAnsi="Calibri"/>
                <w:sz w:val="15"/>
                <w:szCs w:val="15"/>
              </w:rPr>
              <w:t>Vallarino 2013</w:t>
            </w:r>
          </w:p>
        </w:tc>
        <w:tc>
          <w:tcPr>
            <w:tcW w:w="447" w:type="pct"/>
          </w:tcPr>
          <w:p w14:paraId="5F9BEEEC" w14:textId="1DE70F07" w:rsidR="008721DE" w:rsidRPr="00F1762B" w:rsidRDefault="008721DE" w:rsidP="00E05BB0">
            <w:pPr>
              <w:rPr>
                <w:sz w:val="15"/>
                <w:szCs w:val="15"/>
                <w:lang w:val="en-CA"/>
              </w:rPr>
            </w:pPr>
            <w:r w:rsidRPr="00F1762B">
              <w:rPr>
                <w:rFonts w:ascii="Calibri" w:hAnsi="Calibri"/>
                <w:sz w:val="15"/>
                <w:szCs w:val="15"/>
              </w:rPr>
              <w:t>United States; population-based</w:t>
            </w:r>
          </w:p>
        </w:tc>
        <w:tc>
          <w:tcPr>
            <w:tcW w:w="491" w:type="pct"/>
          </w:tcPr>
          <w:p w14:paraId="7C29C3C0" w14:textId="6531219B" w:rsidR="008721DE" w:rsidRPr="00F1762B" w:rsidRDefault="008721DE" w:rsidP="00E05BB0">
            <w:pPr>
              <w:rPr>
                <w:sz w:val="15"/>
                <w:szCs w:val="15"/>
                <w:lang w:val="en-CA"/>
              </w:rPr>
            </w:pPr>
            <w:r w:rsidRPr="00F1762B">
              <w:rPr>
                <w:sz w:val="15"/>
                <w:szCs w:val="15"/>
                <w:lang w:val="en-CA"/>
              </w:rPr>
              <w:t>2000 to 2010; mean 2.2 for pioglitazone and 1.9 for insulin patients</w:t>
            </w:r>
          </w:p>
        </w:tc>
        <w:tc>
          <w:tcPr>
            <w:tcW w:w="620" w:type="pct"/>
          </w:tcPr>
          <w:p w14:paraId="69478BCB" w14:textId="700D4B6C" w:rsidR="008721DE" w:rsidRPr="00F1762B" w:rsidRDefault="008721DE" w:rsidP="00E05BB0">
            <w:pPr>
              <w:rPr>
                <w:sz w:val="15"/>
                <w:szCs w:val="15"/>
                <w:lang w:val="en-CA"/>
              </w:rPr>
            </w:pPr>
            <w:r w:rsidRPr="00F1762B">
              <w:rPr>
                <w:sz w:val="15"/>
                <w:szCs w:val="15"/>
                <w:lang w:val="en-CA"/>
              </w:rPr>
              <w:t>45+; 58.1 (8.7) in pioglitazone cohort and 59.7 (10.3) in insulin cohort</w:t>
            </w:r>
          </w:p>
        </w:tc>
        <w:tc>
          <w:tcPr>
            <w:tcW w:w="620" w:type="pct"/>
          </w:tcPr>
          <w:p w14:paraId="62173356" w14:textId="326D4BA9" w:rsidR="008721DE" w:rsidRPr="00F1762B" w:rsidRDefault="008721DE" w:rsidP="00E05BB0">
            <w:pPr>
              <w:rPr>
                <w:sz w:val="15"/>
                <w:szCs w:val="15"/>
              </w:rPr>
            </w:pPr>
            <w:r w:rsidRPr="00F1762B">
              <w:rPr>
                <w:sz w:val="15"/>
                <w:szCs w:val="15"/>
              </w:rPr>
              <w:t>59.6 in pioglitazone cohort; 53.0 in insulin cohort</w:t>
            </w:r>
          </w:p>
          <w:p w14:paraId="78CACC13" w14:textId="77777777" w:rsidR="008721DE" w:rsidRPr="00F1762B" w:rsidRDefault="008721DE" w:rsidP="00E05BB0">
            <w:pPr>
              <w:rPr>
                <w:sz w:val="15"/>
                <w:szCs w:val="15"/>
              </w:rPr>
            </w:pPr>
          </w:p>
        </w:tc>
        <w:tc>
          <w:tcPr>
            <w:tcW w:w="537" w:type="pct"/>
          </w:tcPr>
          <w:p w14:paraId="1703F33C" w14:textId="0157FAC4" w:rsidR="008721DE" w:rsidRPr="00F1762B" w:rsidRDefault="008721DE" w:rsidP="00E05BB0">
            <w:pPr>
              <w:rPr>
                <w:sz w:val="15"/>
                <w:szCs w:val="15"/>
                <w:lang w:val="en-CA"/>
              </w:rPr>
            </w:pPr>
            <w:r w:rsidRPr="00F1762B">
              <w:rPr>
                <w:sz w:val="15"/>
                <w:szCs w:val="15"/>
                <w:lang w:val="en-CA"/>
              </w:rPr>
              <w:t>Class 5, pioglitazone vs insulin</w:t>
            </w:r>
          </w:p>
        </w:tc>
        <w:tc>
          <w:tcPr>
            <w:tcW w:w="471" w:type="pct"/>
          </w:tcPr>
          <w:p w14:paraId="0D9701DE" w14:textId="6409EC4B" w:rsidR="008721DE" w:rsidRPr="00F1762B" w:rsidRDefault="00A06CB3" w:rsidP="00E05BB0">
            <w:pPr>
              <w:rPr>
                <w:sz w:val="15"/>
                <w:szCs w:val="15"/>
                <w:lang w:val="en-CA"/>
              </w:rPr>
            </w:pPr>
            <w:r w:rsidRPr="00F1762B">
              <w:rPr>
                <w:sz w:val="15"/>
                <w:szCs w:val="15"/>
                <w:lang w:val="en-CA"/>
              </w:rPr>
              <w:t>Breast, lung, colorectal, prostate, and pancreatic cancers</w:t>
            </w:r>
          </w:p>
        </w:tc>
        <w:tc>
          <w:tcPr>
            <w:tcW w:w="785" w:type="pct"/>
          </w:tcPr>
          <w:p w14:paraId="752F568B" w14:textId="75E42AF1" w:rsidR="008721DE" w:rsidRPr="00F1762B" w:rsidRDefault="008721DE" w:rsidP="00E05BB0">
            <w:pPr>
              <w:rPr>
                <w:sz w:val="15"/>
                <w:szCs w:val="15"/>
              </w:rPr>
            </w:pPr>
            <w:r w:rsidRPr="00F1762B">
              <w:rPr>
                <w:sz w:val="15"/>
                <w:szCs w:val="15"/>
              </w:rPr>
              <w:t>Adjusted for demographics (age, tobacco use), use of medications (other antidiabetic drugs, commonly used cardiovascular medications, aspirins, NSAIDs, anticoagulants, antiplatelets, etc.) and medical history (obesity, hyperlipidemia, myocardial infarction, coronary heart disease, coronary revascularization stroke, congestive heart failure, hypertension, arrhythmias, cancer, bone fracture, renal impairment, gout)</w:t>
            </w:r>
          </w:p>
        </w:tc>
        <w:tc>
          <w:tcPr>
            <w:tcW w:w="307" w:type="pct"/>
          </w:tcPr>
          <w:p w14:paraId="34181BD7" w14:textId="356F881B" w:rsidR="008721DE" w:rsidRPr="00F1762B" w:rsidRDefault="008721DE" w:rsidP="00E05BB0">
            <w:pPr>
              <w:rPr>
                <w:sz w:val="15"/>
                <w:szCs w:val="15"/>
                <w:lang w:val="en-CA"/>
              </w:rPr>
            </w:pPr>
            <w:r w:rsidRPr="00F1762B">
              <w:rPr>
                <w:rFonts w:ascii="Calibri" w:hAnsi="Calibri"/>
                <w:sz w:val="15"/>
                <w:szCs w:val="15"/>
              </w:rPr>
              <w:t>Low</w:t>
            </w:r>
          </w:p>
        </w:tc>
        <w:tc>
          <w:tcPr>
            <w:tcW w:w="204" w:type="pct"/>
          </w:tcPr>
          <w:p w14:paraId="734F4725" w14:textId="29CE701E" w:rsidR="008721DE" w:rsidRPr="00F1762B" w:rsidRDefault="008721DE" w:rsidP="00E05BB0">
            <w:pPr>
              <w:rPr>
                <w:rFonts w:ascii="Calibri" w:hAnsi="Calibri"/>
                <w:sz w:val="15"/>
                <w:szCs w:val="15"/>
              </w:rPr>
            </w:pPr>
            <w:r w:rsidRPr="00F1762B">
              <w:rPr>
                <w:rFonts w:ascii="Calibri" w:hAnsi="Calibri"/>
                <w:sz w:val="15"/>
                <w:szCs w:val="15"/>
              </w:rPr>
              <w:t>7</w:t>
            </w:r>
          </w:p>
        </w:tc>
      </w:tr>
      <w:tr w:rsidR="00B7487B" w:rsidRPr="00F1762B" w14:paraId="6F3FB839" w14:textId="436939DF" w:rsidTr="00F1762B">
        <w:tc>
          <w:tcPr>
            <w:tcW w:w="517" w:type="pct"/>
          </w:tcPr>
          <w:p w14:paraId="246FDB01" w14:textId="084ABA08" w:rsidR="008721DE" w:rsidRPr="00F1762B" w:rsidRDefault="008721DE" w:rsidP="00E05BB0">
            <w:pPr>
              <w:rPr>
                <w:sz w:val="15"/>
                <w:szCs w:val="15"/>
                <w:lang w:val="en-CA"/>
              </w:rPr>
            </w:pPr>
            <w:r w:rsidRPr="00F1762B">
              <w:rPr>
                <w:rFonts w:ascii="Calibri" w:hAnsi="Calibri"/>
                <w:sz w:val="15"/>
                <w:szCs w:val="15"/>
              </w:rPr>
              <w:t>Schlesinger 2013</w:t>
            </w:r>
          </w:p>
        </w:tc>
        <w:tc>
          <w:tcPr>
            <w:tcW w:w="447" w:type="pct"/>
          </w:tcPr>
          <w:p w14:paraId="72317AD2" w14:textId="44382F1F" w:rsidR="008721DE" w:rsidRPr="00F1762B" w:rsidRDefault="008721DE" w:rsidP="00E05BB0">
            <w:pPr>
              <w:rPr>
                <w:sz w:val="15"/>
                <w:szCs w:val="15"/>
                <w:lang w:val="en-CA"/>
              </w:rPr>
            </w:pPr>
            <w:r w:rsidRPr="00F1762B">
              <w:rPr>
                <w:rFonts w:ascii="Calibri" w:hAnsi="Calibri"/>
                <w:sz w:val="15"/>
                <w:szCs w:val="15"/>
              </w:rPr>
              <w:t>10 European countries; population-based</w:t>
            </w:r>
          </w:p>
        </w:tc>
        <w:tc>
          <w:tcPr>
            <w:tcW w:w="491" w:type="pct"/>
          </w:tcPr>
          <w:p w14:paraId="6F41B2BD" w14:textId="0814F920" w:rsidR="008721DE" w:rsidRPr="00F1762B" w:rsidRDefault="008721DE" w:rsidP="00E05BB0">
            <w:pPr>
              <w:rPr>
                <w:sz w:val="15"/>
                <w:szCs w:val="15"/>
                <w:lang w:val="en-CA"/>
              </w:rPr>
            </w:pPr>
            <w:r w:rsidRPr="00F1762B">
              <w:rPr>
                <w:sz w:val="15"/>
                <w:szCs w:val="15"/>
                <w:lang w:val="en-CA"/>
              </w:rPr>
              <w:t>1992 to 2000; mean 8.5</w:t>
            </w:r>
          </w:p>
        </w:tc>
        <w:tc>
          <w:tcPr>
            <w:tcW w:w="620" w:type="pct"/>
          </w:tcPr>
          <w:p w14:paraId="4672DE97" w14:textId="61D6055B" w:rsidR="008721DE" w:rsidRPr="00F1762B" w:rsidRDefault="008721DE" w:rsidP="00E05BB0">
            <w:pPr>
              <w:rPr>
                <w:sz w:val="15"/>
                <w:szCs w:val="15"/>
                <w:lang w:val="en-CA"/>
              </w:rPr>
            </w:pPr>
            <w:r w:rsidRPr="00F1762B">
              <w:rPr>
                <w:sz w:val="15"/>
                <w:szCs w:val="15"/>
                <w:lang w:val="en-CA"/>
              </w:rPr>
              <w:t>25 to 70; 57.7 (7.9)</w:t>
            </w:r>
          </w:p>
        </w:tc>
        <w:tc>
          <w:tcPr>
            <w:tcW w:w="620" w:type="pct"/>
          </w:tcPr>
          <w:p w14:paraId="3FD23048" w14:textId="4021C633" w:rsidR="008721DE" w:rsidRPr="00F1762B" w:rsidRDefault="008721DE" w:rsidP="00E05BB0">
            <w:pPr>
              <w:rPr>
                <w:sz w:val="15"/>
                <w:szCs w:val="15"/>
                <w:lang w:val="en-CA"/>
              </w:rPr>
            </w:pPr>
            <w:r w:rsidRPr="00F1762B">
              <w:rPr>
                <w:sz w:val="15"/>
                <w:szCs w:val="15"/>
                <w:lang w:val="en-CA"/>
              </w:rPr>
              <w:t>47.5</w:t>
            </w:r>
          </w:p>
        </w:tc>
        <w:tc>
          <w:tcPr>
            <w:tcW w:w="537" w:type="pct"/>
          </w:tcPr>
          <w:p w14:paraId="7D93036F" w14:textId="273BE9ED" w:rsidR="008721DE" w:rsidRPr="00F1762B" w:rsidRDefault="008721DE" w:rsidP="00E05BB0">
            <w:pPr>
              <w:rPr>
                <w:sz w:val="15"/>
                <w:szCs w:val="15"/>
                <w:lang w:val="en-CA"/>
              </w:rPr>
            </w:pPr>
            <w:r w:rsidRPr="00F1762B">
              <w:rPr>
                <w:sz w:val="15"/>
                <w:szCs w:val="15"/>
                <w:lang w:val="en-CA"/>
              </w:rPr>
              <w:t>Class 6, insulin vs no use of insulin</w:t>
            </w:r>
          </w:p>
        </w:tc>
        <w:tc>
          <w:tcPr>
            <w:tcW w:w="471" w:type="pct"/>
          </w:tcPr>
          <w:p w14:paraId="0BF7ABE5" w14:textId="6BBAE9B6" w:rsidR="008721DE" w:rsidRPr="00F1762B" w:rsidRDefault="00A06CB3" w:rsidP="00E05BB0">
            <w:pPr>
              <w:rPr>
                <w:sz w:val="15"/>
                <w:szCs w:val="15"/>
                <w:lang w:val="en-CA"/>
              </w:rPr>
            </w:pPr>
            <w:r w:rsidRPr="00F1762B">
              <w:rPr>
                <w:sz w:val="15"/>
                <w:szCs w:val="15"/>
                <w:lang w:val="en-CA"/>
              </w:rPr>
              <w:t>Liver cancer</w:t>
            </w:r>
          </w:p>
        </w:tc>
        <w:tc>
          <w:tcPr>
            <w:tcW w:w="785" w:type="pct"/>
          </w:tcPr>
          <w:p w14:paraId="1C50DD78" w14:textId="2ADBF010" w:rsidR="008721DE" w:rsidRPr="00F1762B" w:rsidRDefault="008721DE" w:rsidP="00E05BB0">
            <w:pPr>
              <w:rPr>
                <w:sz w:val="15"/>
                <w:szCs w:val="15"/>
              </w:rPr>
            </w:pPr>
            <w:r w:rsidRPr="00F1762B">
              <w:rPr>
                <w:sz w:val="15"/>
                <w:szCs w:val="15"/>
              </w:rPr>
              <w:t>Stratified by sex, center, and age at recruitment;</w:t>
            </w:r>
          </w:p>
          <w:p w14:paraId="116A60EB" w14:textId="77777777" w:rsidR="008721DE" w:rsidRPr="00F1762B" w:rsidRDefault="008721DE" w:rsidP="00E05BB0">
            <w:pPr>
              <w:rPr>
                <w:sz w:val="15"/>
                <w:szCs w:val="15"/>
              </w:rPr>
            </w:pPr>
          </w:p>
          <w:p w14:paraId="378A1954" w14:textId="64A93598" w:rsidR="008721DE" w:rsidRPr="00F1762B" w:rsidRDefault="008721DE" w:rsidP="00E05BB0">
            <w:pPr>
              <w:rPr>
                <w:sz w:val="15"/>
                <w:szCs w:val="15"/>
              </w:rPr>
            </w:pPr>
            <w:r w:rsidRPr="00F1762B">
              <w:rPr>
                <w:sz w:val="15"/>
                <w:szCs w:val="15"/>
              </w:rPr>
              <w:t xml:space="preserve">Adjusted for age, education, smoking status, baseline alcohol consumption, </w:t>
            </w:r>
            <w:r w:rsidR="00B35CC0">
              <w:rPr>
                <w:sz w:val="15"/>
                <w:szCs w:val="15"/>
              </w:rPr>
              <w:t xml:space="preserve">body </w:t>
            </w:r>
            <w:r w:rsidR="00B35CC0">
              <w:rPr>
                <w:sz w:val="15"/>
                <w:szCs w:val="15"/>
              </w:rPr>
              <w:lastRenderedPageBreak/>
              <w:t>mass index</w:t>
            </w:r>
            <w:r w:rsidRPr="00F1762B">
              <w:rPr>
                <w:sz w:val="15"/>
                <w:szCs w:val="15"/>
              </w:rPr>
              <w:t>, and waist-to-height ratio</w:t>
            </w:r>
          </w:p>
        </w:tc>
        <w:tc>
          <w:tcPr>
            <w:tcW w:w="307" w:type="pct"/>
          </w:tcPr>
          <w:p w14:paraId="47FA7AA4" w14:textId="35019955" w:rsidR="008721DE" w:rsidRPr="00F1762B" w:rsidRDefault="008721DE" w:rsidP="00E05BB0">
            <w:pPr>
              <w:rPr>
                <w:sz w:val="15"/>
                <w:szCs w:val="15"/>
                <w:lang w:val="en-CA"/>
              </w:rPr>
            </w:pPr>
            <w:r w:rsidRPr="00F1762B">
              <w:rPr>
                <w:rFonts w:ascii="Calibri" w:hAnsi="Calibri"/>
                <w:sz w:val="15"/>
                <w:szCs w:val="15"/>
              </w:rPr>
              <w:lastRenderedPageBreak/>
              <w:t>Low</w:t>
            </w:r>
          </w:p>
        </w:tc>
        <w:tc>
          <w:tcPr>
            <w:tcW w:w="204" w:type="pct"/>
          </w:tcPr>
          <w:p w14:paraId="36DDFB5A" w14:textId="6FAFE73E" w:rsidR="008721DE" w:rsidRPr="00F1762B" w:rsidRDefault="008721DE" w:rsidP="00E05BB0">
            <w:pPr>
              <w:rPr>
                <w:rFonts w:ascii="Calibri" w:hAnsi="Calibri"/>
                <w:sz w:val="15"/>
                <w:szCs w:val="15"/>
              </w:rPr>
            </w:pPr>
            <w:r w:rsidRPr="00F1762B">
              <w:rPr>
                <w:rFonts w:ascii="Calibri" w:hAnsi="Calibri"/>
                <w:sz w:val="15"/>
                <w:szCs w:val="15"/>
              </w:rPr>
              <w:t>9</w:t>
            </w:r>
          </w:p>
        </w:tc>
      </w:tr>
      <w:tr w:rsidR="00B7487B" w:rsidRPr="00F1762B" w14:paraId="7402D8A8" w14:textId="7D006F47" w:rsidTr="00F1762B">
        <w:tc>
          <w:tcPr>
            <w:tcW w:w="517" w:type="pct"/>
            <w:shd w:val="clear" w:color="auto" w:fill="auto"/>
          </w:tcPr>
          <w:p w14:paraId="0E3DF4CE" w14:textId="748C0AC9" w:rsidR="008721DE" w:rsidRPr="00F1762B" w:rsidRDefault="008721DE" w:rsidP="00E05BB0">
            <w:pPr>
              <w:rPr>
                <w:sz w:val="15"/>
                <w:szCs w:val="15"/>
                <w:lang w:val="en-CA"/>
              </w:rPr>
            </w:pPr>
            <w:r w:rsidRPr="00F1762B">
              <w:rPr>
                <w:rFonts w:ascii="Calibri" w:hAnsi="Calibri"/>
                <w:sz w:val="15"/>
                <w:szCs w:val="15"/>
              </w:rPr>
              <w:t>Gu 2013</w:t>
            </w:r>
          </w:p>
        </w:tc>
        <w:tc>
          <w:tcPr>
            <w:tcW w:w="447" w:type="pct"/>
            <w:shd w:val="clear" w:color="auto" w:fill="auto"/>
          </w:tcPr>
          <w:p w14:paraId="79E5436C" w14:textId="3A749F37" w:rsidR="008721DE" w:rsidRPr="00F1762B" w:rsidRDefault="008721DE" w:rsidP="00E05BB0">
            <w:pPr>
              <w:rPr>
                <w:sz w:val="15"/>
                <w:szCs w:val="15"/>
                <w:lang w:val="en-CA"/>
              </w:rPr>
            </w:pPr>
            <w:r w:rsidRPr="00F1762B">
              <w:rPr>
                <w:rFonts w:ascii="Calibri" w:hAnsi="Calibri"/>
                <w:sz w:val="15"/>
                <w:szCs w:val="15"/>
              </w:rPr>
              <w:t>Shanghai, China; population-based</w:t>
            </w:r>
          </w:p>
        </w:tc>
        <w:tc>
          <w:tcPr>
            <w:tcW w:w="491" w:type="pct"/>
            <w:shd w:val="clear" w:color="auto" w:fill="auto"/>
          </w:tcPr>
          <w:p w14:paraId="6B58761A" w14:textId="601D71B1" w:rsidR="008721DE" w:rsidRPr="00F1762B" w:rsidRDefault="008721DE" w:rsidP="00E05BB0">
            <w:pPr>
              <w:rPr>
                <w:sz w:val="15"/>
                <w:szCs w:val="15"/>
                <w:lang w:val="en-CA"/>
              </w:rPr>
            </w:pPr>
            <w:r w:rsidRPr="00F1762B">
              <w:rPr>
                <w:rFonts w:hint="eastAsia"/>
                <w:sz w:val="15"/>
                <w:szCs w:val="15"/>
                <w:lang w:val="en-CA"/>
              </w:rPr>
              <w:t>2</w:t>
            </w:r>
            <w:r w:rsidRPr="00F1762B">
              <w:rPr>
                <w:sz w:val="15"/>
                <w:szCs w:val="15"/>
                <w:lang w:val="en-CA"/>
              </w:rPr>
              <w:t>002 to 2010; NA</w:t>
            </w:r>
          </w:p>
        </w:tc>
        <w:tc>
          <w:tcPr>
            <w:tcW w:w="620" w:type="pct"/>
            <w:shd w:val="clear" w:color="auto" w:fill="auto"/>
          </w:tcPr>
          <w:p w14:paraId="7C8D2ADA" w14:textId="09685344" w:rsidR="008721DE" w:rsidRPr="00F1762B" w:rsidRDefault="008721DE" w:rsidP="00E05BB0">
            <w:pPr>
              <w:rPr>
                <w:sz w:val="15"/>
                <w:szCs w:val="15"/>
                <w:lang w:val="en-CA"/>
              </w:rPr>
            </w:pPr>
            <w:r w:rsidRPr="00F1762B">
              <w:rPr>
                <w:sz w:val="15"/>
                <w:szCs w:val="15"/>
                <w:lang w:val="en-CA"/>
              </w:rPr>
              <w:t>30+; 62.2 (18.0) in insulin users; 61.0 (17.0) in non-insulin users</w:t>
            </w:r>
          </w:p>
        </w:tc>
        <w:tc>
          <w:tcPr>
            <w:tcW w:w="620" w:type="pct"/>
            <w:shd w:val="clear" w:color="auto" w:fill="auto"/>
          </w:tcPr>
          <w:p w14:paraId="6DF019F0" w14:textId="77777777" w:rsidR="008721DE" w:rsidRPr="00F1762B" w:rsidRDefault="008721DE" w:rsidP="00E05BB0">
            <w:pPr>
              <w:rPr>
                <w:sz w:val="15"/>
                <w:szCs w:val="15"/>
              </w:rPr>
            </w:pPr>
            <w:r w:rsidRPr="00F1762B">
              <w:rPr>
                <w:sz w:val="15"/>
                <w:szCs w:val="15"/>
              </w:rPr>
              <w:t>51.5 in insulin users; 54.4 in non-insulin users</w:t>
            </w:r>
          </w:p>
          <w:p w14:paraId="5D8E6D96" w14:textId="77777777" w:rsidR="008721DE" w:rsidRPr="00F1762B" w:rsidRDefault="008721DE" w:rsidP="00E05BB0">
            <w:pPr>
              <w:rPr>
                <w:sz w:val="15"/>
                <w:szCs w:val="15"/>
              </w:rPr>
            </w:pPr>
          </w:p>
        </w:tc>
        <w:tc>
          <w:tcPr>
            <w:tcW w:w="537" w:type="pct"/>
            <w:shd w:val="clear" w:color="auto" w:fill="auto"/>
          </w:tcPr>
          <w:p w14:paraId="3BB7A4A1" w14:textId="4089EFD5" w:rsidR="008721DE" w:rsidRPr="00F1762B" w:rsidRDefault="008721DE" w:rsidP="00E05BB0">
            <w:pPr>
              <w:rPr>
                <w:sz w:val="15"/>
                <w:szCs w:val="15"/>
                <w:lang w:val="en-CA"/>
              </w:rPr>
            </w:pPr>
            <w:r w:rsidRPr="00F1762B">
              <w:rPr>
                <w:sz w:val="15"/>
                <w:szCs w:val="15"/>
                <w:lang w:val="en-CA"/>
              </w:rPr>
              <w:t>Class 6, insulin vs not use of insulin</w:t>
            </w:r>
          </w:p>
        </w:tc>
        <w:tc>
          <w:tcPr>
            <w:tcW w:w="471" w:type="pct"/>
            <w:shd w:val="clear" w:color="auto" w:fill="auto"/>
          </w:tcPr>
          <w:p w14:paraId="0F337E98" w14:textId="7CA4DD9B" w:rsidR="008721DE" w:rsidRPr="00F1762B" w:rsidRDefault="00A06CB3" w:rsidP="00E05BB0">
            <w:pPr>
              <w:rPr>
                <w:sz w:val="15"/>
                <w:szCs w:val="15"/>
                <w:lang w:val="en-CA"/>
              </w:rPr>
            </w:pPr>
            <w:r w:rsidRPr="00F1762B">
              <w:rPr>
                <w:sz w:val="15"/>
                <w:szCs w:val="15"/>
                <w:lang w:val="en-CA"/>
              </w:rPr>
              <w:t>Breast, lung, colorectal, prostate, liver, and pancreatic cancers</w:t>
            </w:r>
          </w:p>
        </w:tc>
        <w:tc>
          <w:tcPr>
            <w:tcW w:w="785" w:type="pct"/>
            <w:shd w:val="clear" w:color="auto" w:fill="auto"/>
          </w:tcPr>
          <w:p w14:paraId="458C5959" w14:textId="720EB5CE" w:rsidR="008721DE" w:rsidRPr="00F1762B" w:rsidRDefault="008721DE" w:rsidP="00E05BB0">
            <w:pPr>
              <w:rPr>
                <w:sz w:val="15"/>
                <w:szCs w:val="15"/>
                <w:lang w:val="en-CA"/>
              </w:rPr>
            </w:pPr>
            <w:r w:rsidRPr="00F1762B">
              <w:rPr>
                <w:sz w:val="15"/>
                <w:szCs w:val="15"/>
                <w:lang w:val="en-CA"/>
              </w:rPr>
              <w:t>Adjusted for age</w:t>
            </w:r>
            <w:r w:rsidRPr="00F1762B">
              <w:rPr>
                <w:sz w:val="15"/>
                <w:szCs w:val="15"/>
              </w:rPr>
              <w:t>, smoking status, diabetes duration, macrovascular, HbA1c and concomitant oral glucose-lowering agents (including metformin, sulfonylureas, and acarbose)</w:t>
            </w:r>
          </w:p>
        </w:tc>
        <w:tc>
          <w:tcPr>
            <w:tcW w:w="307" w:type="pct"/>
            <w:shd w:val="clear" w:color="auto" w:fill="auto"/>
          </w:tcPr>
          <w:p w14:paraId="344C73CA" w14:textId="326CA956" w:rsidR="008721DE" w:rsidRPr="00F1762B" w:rsidRDefault="008721DE" w:rsidP="00E05BB0">
            <w:pPr>
              <w:rPr>
                <w:sz w:val="15"/>
                <w:szCs w:val="15"/>
                <w:lang w:val="en-CA"/>
              </w:rPr>
            </w:pPr>
            <w:r w:rsidRPr="00F1762B">
              <w:rPr>
                <w:rFonts w:ascii="Calibri" w:hAnsi="Calibri"/>
                <w:sz w:val="15"/>
                <w:szCs w:val="15"/>
              </w:rPr>
              <w:t>Low</w:t>
            </w:r>
          </w:p>
        </w:tc>
        <w:tc>
          <w:tcPr>
            <w:tcW w:w="204" w:type="pct"/>
          </w:tcPr>
          <w:p w14:paraId="14B9F0DB" w14:textId="4A472624" w:rsidR="008721DE" w:rsidRPr="00F1762B" w:rsidRDefault="008721DE" w:rsidP="00E05BB0">
            <w:pPr>
              <w:rPr>
                <w:rFonts w:ascii="Calibri" w:hAnsi="Calibri"/>
                <w:sz w:val="15"/>
                <w:szCs w:val="15"/>
              </w:rPr>
            </w:pPr>
            <w:r w:rsidRPr="00F1762B">
              <w:rPr>
                <w:rFonts w:ascii="Calibri" w:hAnsi="Calibri"/>
                <w:sz w:val="15"/>
                <w:szCs w:val="15"/>
              </w:rPr>
              <w:t>7</w:t>
            </w:r>
          </w:p>
        </w:tc>
      </w:tr>
      <w:tr w:rsidR="00B7487B" w:rsidRPr="00F1762B" w14:paraId="61435337" w14:textId="3C59B0FD" w:rsidTr="00F1762B">
        <w:tc>
          <w:tcPr>
            <w:tcW w:w="517" w:type="pct"/>
          </w:tcPr>
          <w:p w14:paraId="70D42F1F" w14:textId="3B703C4D" w:rsidR="008721DE" w:rsidRPr="00F1762B" w:rsidRDefault="008721DE" w:rsidP="00E05BB0">
            <w:pPr>
              <w:rPr>
                <w:sz w:val="15"/>
                <w:szCs w:val="15"/>
                <w:lang w:val="en-CA"/>
              </w:rPr>
            </w:pPr>
            <w:r w:rsidRPr="00F1762B">
              <w:rPr>
                <w:rFonts w:ascii="Calibri" w:hAnsi="Calibri"/>
                <w:sz w:val="15"/>
                <w:szCs w:val="15"/>
              </w:rPr>
              <w:t>Kao 2013</w:t>
            </w:r>
          </w:p>
        </w:tc>
        <w:tc>
          <w:tcPr>
            <w:tcW w:w="447" w:type="pct"/>
          </w:tcPr>
          <w:p w14:paraId="1720A356" w14:textId="270CCA7D" w:rsidR="008721DE" w:rsidRPr="00F1762B" w:rsidRDefault="008721DE" w:rsidP="00E05BB0">
            <w:pPr>
              <w:rPr>
                <w:sz w:val="15"/>
                <w:szCs w:val="15"/>
                <w:lang w:val="en-CA"/>
              </w:rPr>
            </w:pPr>
            <w:r w:rsidRPr="00F1762B">
              <w:rPr>
                <w:rFonts w:ascii="Calibri" w:hAnsi="Calibri"/>
                <w:sz w:val="15"/>
                <w:szCs w:val="15"/>
              </w:rPr>
              <w:t>Taiwan; population-based</w:t>
            </w:r>
          </w:p>
        </w:tc>
        <w:tc>
          <w:tcPr>
            <w:tcW w:w="491" w:type="pct"/>
          </w:tcPr>
          <w:p w14:paraId="5A26E372" w14:textId="3563221F" w:rsidR="008721DE" w:rsidRPr="00F1762B" w:rsidRDefault="008721DE" w:rsidP="00E05BB0">
            <w:pPr>
              <w:rPr>
                <w:sz w:val="15"/>
                <w:szCs w:val="15"/>
                <w:lang w:val="en-CA"/>
              </w:rPr>
            </w:pPr>
            <w:r w:rsidRPr="00F1762B">
              <w:rPr>
                <w:sz w:val="15"/>
                <w:szCs w:val="15"/>
                <w:lang w:val="en-CA"/>
              </w:rPr>
              <w:t>2001 to 2009; NA</w:t>
            </w:r>
          </w:p>
        </w:tc>
        <w:tc>
          <w:tcPr>
            <w:tcW w:w="620" w:type="pct"/>
          </w:tcPr>
          <w:p w14:paraId="1A7A38FA" w14:textId="494487A8" w:rsidR="008721DE" w:rsidRPr="00F1762B" w:rsidRDefault="008721DE" w:rsidP="00E05BB0">
            <w:pPr>
              <w:rPr>
                <w:sz w:val="15"/>
                <w:szCs w:val="15"/>
              </w:rPr>
            </w:pPr>
            <w:r w:rsidRPr="00F1762B">
              <w:rPr>
                <w:sz w:val="15"/>
                <w:szCs w:val="15"/>
              </w:rPr>
              <w:t>20+; 56.5 (13.2)</w:t>
            </w:r>
          </w:p>
        </w:tc>
        <w:tc>
          <w:tcPr>
            <w:tcW w:w="620" w:type="pct"/>
          </w:tcPr>
          <w:p w14:paraId="269C260F" w14:textId="45D69ECF" w:rsidR="008721DE" w:rsidRPr="00F1762B" w:rsidRDefault="008721DE" w:rsidP="00E05BB0">
            <w:pPr>
              <w:rPr>
                <w:sz w:val="15"/>
                <w:szCs w:val="15"/>
              </w:rPr>
            </w:pPr>
            <w:r w:rsidRPr="00F1762B">
              <w:rPr>
                <w:sz w:val="15"/>
                <w:szCs w:val="15"/>
              </w:rPr>
              <w:t>55.1</w:t>
            </w:r>
          </w:p>
        </w:tc>
        <w:tc>
          <w:tcPr>
            <w:tcW w:w="537" w:type="pct"/>
          </w:tcPr>
          <w:p w14:paraId="20F07803" w14:textId="06C28F58" w:rsidR="008721DE" w:rsidRPr="00F1762B" w:rsidRDefault="008721DE" w:rsidP="00E05BB0">
            <w:pPr>
              <w:rPr>
                <w:sz w:val="15"/>
                <w:szCs w:val="15"/>
                <w:lang w:val="en-CA"/>
              </w:rPr>
            </w:pPr>
            <w:r w:rsidRPr="00F1762B">
              <w:rPr>
                <w:sz w:val="15"/>
                <w:szCs w:val="15"/>
                <w:lang w:val="en-CA"/>
              </w:rPr>
              <w:t>Class 5, thiazolidinediones vs no use of thiazolidinediones</w:t>
            </w:r>
          </w:p>
        </w:tc>
        <w:tc>
          <w:tcPr>
            <w:tcW w:w="471" w:type="pct"/>
          </w:tcPr>
          <w:p w14:paraId="4438DEA3" w14:textId="5BD67220" w:rsidR="008721DE" w:rsidRPr="00F1762B" w:rsidRDefault="00A06CB3" w:rsidP="00E05BB0">
            <w:pPr>
              <w:rPr>
                <w:sz w:val="15"/>
                <w:szCs w:val="15"/>
                <w:lang w:val="en-CA"/>
              </w:rPr>
            </w:pPr>
            <w:r w:rsidRPr="00F1762B">
              <w:rPr>
                <w:sz w:val="15"/>
                <w:szCs w:val="15"/>
                <w:lang w:val="en-CA"/>
              </w:rPr>
              <w:t>Breast, lung, colorectal, prostate, liver, and pancreatic cancers</w:t>
            </w:r>
          </w:p>
        </w:tc>
        <w:tc>
          <w:tcPr>
            <w:tcW w:w="785" w:type="pct"/>
          </w:tcPr>
          <w:p w14:paraId="54C1DAFF" w14:textId="4E9AEA32" w:rsidR="008721DE" w:rsidRPr="00F1762B" w:rsidRDefault="008721DE" w:rsidP="00E05BB0">
            <w:pPr>
              <w:rPr>
                <w:sz w:val="15"/>
                <w:szCs w:val="15"/>
              </w:rPr>
            </w:pPr>
            <w:r w:rsidRPr="00F1762B">
              <w:rPr>
                <w:sz w:val="15"/>
                <w:szCs w:val="15"/>
              </w:rPr>
              <w:t>Matched on birth year, sex, and calendar year of diabetes diagnosis</w:t>
            </w:r>
          </w:p>
        </w:tc>
        <w:tc>
          <w:tcPr>
            <w:tcW w:w="307" w:type="pct"/>
          </w:tcPr>
          <w:p w14:paraId="2BFB42ED" w14:textId="2B87BD12" w:rsidR="008721DE" w:rsidRPr="00F1762B" w:rsidRDefault="008721DE" w:rsidP="00E05BB0">
            <w:pPr>
              <w:rPr>
                <w:sz w:val="15"/>
                <w:szCs w:val="15"/>
                <w:lang w:val="en-CA"/>
              </w:rPr>
            </w:pPr>
            <w:r w:rsidRPr="00F1762B">
              <w:rPr>
                <w:rFonts w:ascii="Calibri" w:hAnsi="Calibri"/>
                <w:sz w:val="15"/>
                <w:szCs w:val="15"/>
              </w:rPr>
              <w:t>Low</w:t>
            </w:r>
          </w:p>
        </w:tc>
        <w:tc>
          <w:tcPr>
            <w:tcW w:w="204" w:type="pct"/>
          </w:tcPr>
          <w:p w14:paraId="57E7B2ED" w14:textId="268F0D38" w:rsidR="008721DE" w:rsidRPr="00F1762B" w:rsidRDefault="008721DE" w:rsidP="00E05BB0">
            <w:pPr>
              <w:rPr>
                <w:rFonts w:ascii="Calibri" w:hAnsi="Calibri"/>
                <w:sz w:val="15"/>
                <w:szCs w:val="15"/>
              </w:rPr>
            </w:pPr>
            <w:r w:rsidRPr="00F1762B">
              <w:rPr>
                <w:rFonts w:ascii="Calibri" w:hAnsi="Calibri"/>
                <w:sz w:val="15"/>
                <w:szCs w:val="15"/>
              </w:rPr>
              <w:t>7</w:t>
            </w:r>
          </w:p>
        </w:tc>
      </w:tr>
      <w:tr w:rsidR="00B7487B" w:rsidRPr="00F1762B" w14:paraId="4E3C7E6E" w14:textId="6EC7FFD8" w:rsidTr="00F1762B">
        <w:tc>
          <w:tcPr>
            <w:tcW w:w="517" w:type="pct"/>
          </w:tcPr>
          <w:p w14:paraId="6375D040" w14:textId="5A760F24" w:rsidR="008721DE" w:rsidRPr="00F1762B" w:rsidRDefault="008721DE" w:rsidP="00E05BB0">
            <w:pPr>
              <w:rPr>
                <w:sz w:val="15"/>
                <w:szCs w:val="15"/>
                <w:lang w:val="en-CA"/>
              </w:rPr>
            </w:pPr>
            <w:r w:rsidRPr="00F1762B">
              <w:rPr>
                <w:rFonts w:ascii="Calibri" w:hAnsi="Calibri"/>
                <w:sz w:val="15"/>
                <w:szCs w:val="15"/>
              </w:rPr>
              <w:t>Fagot 2013</w:t>
            </w:r>
          </w:p>
        </w:tc>
        <w:tc>
          <w:tcPr>
            <w:tcW w:w="447" w:type="pct"/>
          </w:tcPr>
          <w:p w14:paraId="39C315EB" w14:textId="30C0D828" w:rsidR="008721DE" w:rsidRPr="00F1762B" w:rsidRDefault="008721DE" w:rsidP="00E05BB0">
            <w:pPr>
              <w:rPr>
                <w:sz w:val="15"/>
                <w:szCs w:val="15"/>
                <w:lang w:val="en-CA"/>
              </w:rPr>
            </w:pPr>
            <w:r w:rsidRPr="00F1762B">
              <w:rPr>
                <w:rFonts w:ascii="Calibri" w:hAnsi="Calibri"/>
                <w:sz w:val="15"/>
                <w:szCs w:val="15"/>
              </w:rPr>
              <w:t>France; population-based</w:t>
            </w:r>
          </w:p>
        </w:tc>
        <w:tc>
          <w:tcPr>
            <w:tcW w:w="491" w:type="pct"/>
          </w:tcPr>
          <w:p w14:paraId="0C2CBD14" w14:textId="5F7583A2" w:rsidR="008721DE" w:rsidRPr="00F1762B" w:rsidRDefault="008721DE" w:rsidP="00E05BB0">
            <w:pPr>
              <w:rPr>
                <w:sz w:val="15"/>
                <w:szCs w:val="15"/>
                <w:lang w:val="en-CA"/>
              </w:rPr>
            </w:pPr>
            <w:r w:rsidRPr="00F1762B">
              <w:rPr>
                <w:sz w:val="15"/>
                <w:szCs w:val="15"/>
                <w:lang w:val="en-CA"/>
              </w:rPr>
              <w:t>2007 to 2009; median 2.67, 2.75, and 2.83 in patients exposed to insulin glargine, insulin detemir, and BHI, respectively.</w:t>
            </w:r>
          </w:p>
        </w:tc>
        <w:tc>
          <w:tcPr>
            <w:tcW w:w="620" w:type="pct"/>
          </w:tcPr>
          <w:p w14:paraId="3E8A705F" w14:textId="7E2CC5B8" w:rsidR="008721DE" w:rsidRPr="00F1762B" w:rsidRDefault="008721DE" w:rsidP="00E05BB0">
            <w:pPr>
              <w:rPr>
                <w:sz w:val="15"/>
                <w:szCs w:val="15"/>
              </w:rPr>
            </w:pPr>
            <w:r w:rsidRPr="00F1762B">
              <w:rPr>
                <w:sz w:val="15"/>
                <w:szCs w:val="15"/>
              </w:rPr>
              <w:t>40+; overall population (both men and women) 63.2; 10.10</w:t>
            </w:r>
          </w:p>
        </w:tc>
        <w:tc>
          <w:tcPr>
            <w:tcW w:w="620" w:type="pct"/>
          </w:tcPr>
          <w:p w14:paraId="1B266AC8" w14:textId="16AA3189" w:rsidR="008721DE" w:rsidRPr="00F1762B" w:rsidRDefault="008721DE" w:rsidP="00E05BB0">
            <w:pPr>
              <w:rPr>
                <w:sz w:val="15"/>
                <w:szCs w:val="15"/>
              </w:rPr>
            </w:pPr>
            <w:r w:rsidRPr="00F1762B">
              <w:rPr>
                <w:sz w:val="15"/>
                <w:szCs w:val="15"/>
              </w:rPr>
              <w:t>NA</w:t>
            </w:r>
          </w:p>
        </w:tc>
        <w:tc>
          <w:tcPr>
            <w:tcW w:w="537" w:type="pct"/>
          </w:tcPr>
          <w:p w14:paraId="2B5E608A" w14:textId="7101CD60" w:rsidR="008721DE" w:rsidRPr="00F1762B" w:rsidRDefault="008721DE" w:rsidP="00E05BB0">
            <w:pPr>
              <w:rPr>
                <w:sz w:val="15"/>
                <w:szCs w:val="15"/>
                <w:lang w:val="en-CA"/>
              </w:rPr>
            </w:pPr>
            <w:r w:rsidRPr="00F1762B">
              <w:rPr>
                <w:sz w:val="15"/>
                <w:szCs w:val="15"/>
                <w:lang w:val="en-CA"/>
              </w:rPr>
              <w:t>Class 6, insulin glargine or insulin detemir or basal human insulin (BHI) vs no use of Insulin glargine, insulin detemir BHI</w:t>
            </w:r>
          </w:p>
        </w:tc>
        <w:tc>
          <w:tcPr>
            <w:tcW w:w="471" w:type="pct"/>
          </w:tcPr>
          <w:p w14:paraId="5EAA516B" w14:textId="4CE52857" w:rsidR="008721DE" w:rsidRPr="00F1762B" w:rsidRDefault="00A06CB3" w:rsidP="00E05BB0">
            <w:pPr>
              <w:rPr>
                <w:sz w:val="15"/>
                <w:szCs w:val="15"/>
                <w:lang w:val="en-CA"/>
              </w:rPr>
            </w:pPr>
            <w:r w:rsidRPr="00F1762B">
              <w:rPr>
                <w:sz w:val="15"/>
                <w:szCs w:val="15"/>
                <w:lang w:val="en-CA"/>
              </w:rPr>
              <w:t>Breast cancer</w:t>
            </w:r>
          </w:p>
        </w:tc>
        <w:tc>
          <w:tcPr>
            <w:tcW w:w="785" w:type="pct"/>
          </w:tcPr>
          <w:p w14:paraId="4702540E" w14:textId="43D935A9" w:rsidR="008721DE" w:rsidRPr="00F1762B" w:rsidRDefault="008721DE" w:rsidP="00E05BB0">
            <w:pPr>
              <w:rPr>
                <w:sz w:val="15"/>
                <w:szCs w:val="15"/>
                <w:lang w:val="en-CA"/>
              </w:rPr>
            </w:pPr>
            <w:r w:rsidRPr="00F1762B">
              <w:rPr>
                <w:sz w:val="15"/>
                <w:szCs w:val="15"/>
              </w:rPr>
              <w:t>Adjusted for use of other hypoglycemic agents and duration of diabetes</w:t>
            </w:r>
          </w:p>
        </w:tc>
        <w:tc>
          <w:tcPr>
            <w:tcW w:w="307" w:type="pct"/>
          </w:tcPr>
          <w:p w14:paraId="3F5F834A" w14:textId="2449CB90" w:rsidR="008721DE" w:rsidRPr="00F1762B" w:rsidRDefault="008721DE" w:rsidP="00E05BB0">
            <w:pPr>
              <w:rPr>
                <w:sz w:val="15"/>
                <w:szCs w:val="15"/>
                <w:lang w:val="en-CA"/>
              </w:rPr>
            </w:pPr>
            <w:r w:rsidRPr="00F1762B">
              <w:rPr>
                <w:rFonts w:ascii="Calibri" w:hAnsi="Calibri"/>
                <w:sz w:val="15"/>
                <w:szCs w:val="15"/>
              </w:rPr>
              <w:t>Moderate</w:t>
            </w:r>
          </w:p>
        </w:tc>
        <w:tc>
          <w:tcPr>
            <w:tcW w:w="204" w:type="pct"/>
          </w:tcPr>
          <w:p w14:paraId="09AEE1D5" w14:textId="58FAE486" w:rsidR="008721DE" w:rsidRPr="00F1762B" w:rsidRDefault="008721DE" w:rsidP="00E05BB0">
            <w:pPr>
              <w:rPr>
                <w:rFonts w:ascii="Calibri" w:hAnsi="Calibri"/>
                <w:sz w:val="15"/>
                <w:szCs w:val="15"/>
              </w:rPr>
            </w:pPr>
            <w:r w:rsidRPr="00F1762B">
              <w:rPr>
                <w:rFonts w:ascii="Calibri" w:hAnsi="Calibri"/>
                <w:sz w:val="15"/>
                <w:szCs w:val="15"/>
              </w:rPr>
              <w:t>6</w:t>
            </w:r>
          </w:p>
        </w:tc>
      </w:tr>
      <w:tr w:rsidR="00B7487B" w:rsidRPr="00F1762B" w14:paraId="0C94EBB3" w14:textId="151A4C46" w:rsidTr="00F1762B">
        <w:tc>
          <w:tcPr>
            <w:tcW w:w="517" w:type="pct"/>
          </w:tcPr>
          <w:p w14:paraId="5387A65B" w14:textId="0A97CA34" w:rsidR="008721DE" w:rsidRPr="00F1762B" w:rsidRDefault="008721DE" w:rsidP="00E05BB0">
            <w:pPr>
              <w:rPr>
                <w:sz w:val="15"/>
                <w:szCs w:val="15"/>
                <w:lang w:val="en-CA"/>
              </w:rPr>
            </w:pPr>
            <w:r w:rsidRPr="00F1762B">
              <w:rPr>
                <w:rFonts w:ascii="Calibri" w:hAnsi="Calibri"/>
                <w:sz w:val="15"/>
                <w:szCs w:val="15"/>
              </w:rPr>
              <w:t>Redaniel 2012</w:t>
            </w:r>
          </w:p>
        </w:tc>
        <w:tc>
          <w:tcPr>
            <w:tcW w:w="447" w:type="pct"/>
          </w:tcPr>
          <w:p w14:paraId="1605C774" w14:textId="71313997" w:rsidR="008721DE" w:rsidRPr="00F1762B" w:rsidRDefault="008721DE" w:rsidP="00E05BB0">
            <w:pPr>
              <w:rPr>
                <w:sz w:val="15"/>
                <w:szCs w:val="15"/>
                <w:lang w:val="en-CA"/>
              </w:rPr>
            </w:pPr>
            <w:r w:rsidRPr="00F1762B">
              <w:rPr>
                <w:rFonts w:ascii="Calibri" w:hAnsi="Calibri"/>
                <w:sz w:val="15"/>
                <w:szCs w:val="15"/>
              </w:rPr>
              <w:t>United Kingdom; population-based</w:t>
            </w:r>
          </w:p>
        </w:tc>
        <w:tc>
          <w:tcPr>
            <w:tcW w:w="491" w:type="pct"/>
          </w:tcPr>
          <w:p w14:paraId="76C1712C" w14:textId="4160C94C" w:rsidR="008721DE" w:rsidRPr="00F1762B" w:rsidRDefault="008721DE" w:rsidP="00E05BB0">
            <w:pPr>
              <w:rPr>
                <w:sz w:val="15"/>
                <w:szCs w:val="15"/>
                <w:lang w:val="en-CA"/>
              </w:rPr>
            </w:pPr>
            <w:r w:rsidRPr="00F1762B">
              <w:rPr>
                <w:sz w:val="15"/>
                <w:szCs w:val="15"/>
                <w:lang w:val="en-CA"/>
              </w:rPr>
              <w:t>1987 to 2007; NA</w:t>
            </w:r>
          </w:p>
        </w:tc>
        <w:tc>
          <w:tcPr>
            <w:tcW w:w="620" w:type="pct"/>
          </w:tcPr>
          <w:p w14:paraId="5A66078B" w14:textId="589DCBDB" w:rsidR="008721DE" w:rsidRPr="00F1762B" w:rsidRDefault="008721DE" w:rsidP="00E05BB0">
            <w:pPr>
              <w:rPr>
                <w:sz w:val="15"/>
                <w:szCs w:val="15"/>
                <w:lang w:val="en-CA"/>
              </w:rPr>
            </w:pPr>
            <w:r w:rsidRPr="00F1762B">
              <w:rPr>
                <w:sz w:val="15"/>
                <w:szCs w:val="15"/>
                <w:lang w:val="en-CA"/>
              </w:rPr>
              <w:t>35+; ~51.5% were &gt;60</w:t>
            </w:r>
          </w:p>
        </w:tc>
        <w:tc>
          <w:tcPr>
            <w:tcW w:w="620" w:type="pct"/>
          </w:tcPr>
          <w:p w14:paraId="11B3C978" w14:textId="4CA17CA7" w:rsidR="008721DE" w:rsidRPr="00F1762B" w:rsidRDefault="008721DE" w:rsidP="00E05BB0">
            <w:pPr>
              <w:rPr>
                <w:sz w:val="15"/>
                <w:szCs w:val="15"/>
                <w:lang w:val="en-CA"/>
              </w:rPr>
            </w:pPr>
            <w:r w:rsidRPr="00F1762B">
              <w:rPr>
                <w:sz w:val="15"/>
                <w:szCs w:val="15"/>
                <w:lang w:val="en-CA"/>
              </w:rPr>
              <w:t>NA</w:t>
            </w:r>
          </w:p>
        </w:tc>
        <w:tc>
          <w:tcPr>
            <w:tcW w:w="537" w:type="pct"/>
          </w:tcPr>
          <w:p w14:paraId="0EE8B280" w14:textId="6D30D4BB" w:rsidR="008721DE" w:rsidRPr="00F1762B" w:rsidRDefault="008721DE" w:rsidP="00E05BB0">
            <w:pPr>
              <w:rPr>
                <w:sz w:val="15"/>
                <w:szCs w:val="15"/>
                <w:lang w:val="en-CA"/>
              </w:rPr>
            </w:pPr>
            <w:r w:rsidRPr="00F1762B">
              <w:rPr>
                <w:sz w:val="15"/>
                <w:szCs w:val="15"/>
                <w:lang w:val="en-CA"/>
              </w:rPr>
              <w:t>Class 4, sulfonylurea vs no use of sulfonylurea;</w:t>
            </w:r>
          </w:p>
          <w:p w14:paraId="013C111F" w14:textId="77777777" w:rsidR="008721DE" w:rsidRPr="00F1762B" w:rsidRDefault="008721DE" w:rsidP="00E05BB0">
            <w:pPr>
              <w:rPr>
                <w:sz w:val="15"/>
                <w:szCs w:val="15"/>
                <w:lang w:val="en-CA"/>
              </w:rPr>
            </w:pPr>
          </w:p>
          <w:p w14:paraId="761FA27C" w14:textId="055E09B1" w:rsidR="008721DE" w:rsidRPr="00F1762B" w:rsidRDefault="008721DE" w:rsidP="00E05BB0">
            <w:pPr>
              <w:rPr>
                <w:sz w:val="15"/>
                <w:szCs w:val="15"/>
                <w:lang w:val="en-CA"/>
              </w:rPr>
            </w:pPr>
            <w:r w:rsidRPr="00F1762B">
              <w:rPr>
                <w:sz w:val="15"/>
                <w:szCs w:val="15"/>
                <w:lang w:val="en-CA"/>
              </w:rPr>
              <w:t>Class 6, insulin vs no use of insulin</w:t>
            </w:r>
          </w:p>
        </w:tc>
        <w:tc>
          <w:tcPr>
            <w:tcW w:w="471" w:type="pct"/>
          </w:tcPr>
          <w:p w14:paraId="36A978D7" w14:textId="3232E002" w:rsidR="008721DE" w:rsidRPr="00F1762B" w:rsidRDefault="00A06CB3" w:rsidP="00E05BB0">
            <w:pPr>
              <w:rPr>
                <w:sz w:val="15"/>
                <w:szCs w:val="15"/>
                <w:lang w:val="en-CA"/>
              </w:rPr>
            </w:pPr>
            <w:r w:rsidRPr="00F1762B">
              <w:rPr>
                <w:sz w:val="15"/>
                <w:szCs w:val="15"/>
                <w:lang w:val="en-CA"/>
              </w:rPr>
              <w:t>Breast cancer</w:t>
            </w:r>
          </w:p>
        </w:tc>
        <w:tc>
          <w:tcPr>
            <w:tcW w:w="785" w:type="pct"/>
          </w:tcPr>
          <w:p w14:paraId="1E8DAB72" w14:textId="4A79F4A4" w:rsidR="008721DE" w:rsidRPr="00F1762B" w:rsidRDefault="008721DE" w:rsidP="00E05BB0">
            <w:pPr>
              <w:rPr>
                <w:sz w:val="15"/>
                <w:szCs w:val="15"/>
              </w:rPr>
            </w:pPr>
            <w:r w:rsidRPr="00F1762B">
              <w:rPr>
                <w:sz w:val="15"/>
                <w:szCs w:val="15"/>
              </w:rPr>
              <w:t xml:space="preserve">Adjusted for age, period, region, </w:t>
            </w:r>
            <w:r w:rsidR="00B35CC0">
              <w:rPr>
                <w:sz w:val="15"/>
                <w:szCs w:val="15"/>
              </w:rPr>
              <w:t>body mass index</w:t>
            </w:r>
            <w:r w:rsidRPr="00F1762B">
              <w:rPr>
                <w:sz w:val="15"/>
                <w:szCs w:val="15"/>
              </w:rPr>
              <w:t>, year of diagnosis, and weighted HbA1c</w:t>
            </w:r>
          </w:p>
        </w:tc>
        <w:tc>
          <w:tcPr>
            <w:tcW w:w="307" w:type="pct"/>
          </w:tcPr>
          <w:p w14:paraId="3BF6F800" w14:textId="7AE425F5" w:rsidR="008721DE" w:rsidRPr="00F1762B" w:rsidRDefault="008721DE" w:rsidP="00E05BB0">
            <w:pPr>
              <w:rPr>
                <w:sz w:val="15"/>
                <w:szCs w:val="15"/>
                <w:lang w:val="en-CA"/>
              </w:rPr>
            </w:pPr>
            <w:r w:rsidRPr="00F1762B">
              <w:rPr>
                <w:rFonts w:ascii="Calibri" w:hAnsi="Calibri"/>
                <w:sz w:val="15"/>
                <w:szCs w:val="15"/>
              </w:rPr>
              <w:t>Low</w:t>
            </w:r>
          </w:p>
        </w:tc>
        <w:tc>
          <w:tcPr>
            <w:tcW w:w="204" w:type="pct"/>
          </w:tcPr>
          <w:p w14:paraId="2CECCD22" w14:textId="2C1DD7F3" w:rsidR="008721DE" w:rsidRPr="00F1762B" w:rsidRDefault="008721DE" w:rsidP="00E05BB0">
            <w:pPr>
              <w:rPr>
                <w:rFonts w:ascii="Calibri" w:hAnsi="Calibri"/>
                <w:sz w:val="15"/>
                <w:szCs w:val="15"/>
              </w:rPr>
            </w:pPr>
            <w:r w:rsidRPr="00F1762B">
              <w:rPr>
                <w:rFonts w:ascii="Calibri" w:hAnsi="Calibri"/>
                <w:sz w:val="15"/>
                <w:szCs w:val="15"/>
              </w:rPr>
              <w:t>9</w:t>
            </w:r>
          </w:p>
        </w:tc>
      </w:tr>
      <w:tr w:rsidR="00B7487B" w:rsidRPr="00F1762B" w14:paraId="69BC619F" w14:textId="13865191" w:rsidTr="00F1762B">
        <w:tc>
          <w:tcPr>
            <w:tcW w:w="517" w:type="pct"/>
          </w:tcPr>
          <w:p w14:paraId="1B58133B" w14:textId="319D290D" w:rsidR="008721DE" w:rsidRPr="00F1762B" w:rsidRDefault="008721DE" w:rsidP="00E05BB0">
            <w:pPr>
              <w:rPr>
                <w:sz w:val="15"/>
                <w:szCs w:val="15"/>
                <w:lang w:val="en-CA"/>
              </w:rPr>
            </w:pPr>
            <w:r w:rsidRPr="00F1762B">
              <w:rPr>
                <w:rFonts w:ascii="Calibri" w:hAnsi="Calibri"/>
                <w:sz w:val="15"/>
                <w:szCs w:val="15"/>
              </w:rPr>
              <w:t>Sakoda 2015</w:t>
            </w:r>
          </w:p>
        </w:tc>
        <w:tc>
          <w:tcPr>
            <w:tcW w:w="447" w:type="pct"/>
          </w:tcPr>
          <w:p w14:paraId="1CE68611" w14:textId="087B4581" w:rsidR="008721DE" w:rsidRPr="00F1762B" w:rsidRDefault="008721DE" w:rsidP="00E05BB0">
            <w:pPr>
              <w:rPr>
                <w:sz w:val="15"/>
                <w:szCs w:val="15"/>
                <w:lang w:val="en-CA"/>
              </w:rPr>
            </w:pPr>
            <w:r w:rsidRPr="00F1762B">
              <w:rPr>
                <w:rFonts w:ascii="Calibri" w:hAnsi="Calibri"/>
                <w:sz w:val="15"/>
                <w:szCs w:val="15"/>
              </w:rPr>
              <w:t>United States; population-based</w:t>
            </w:r>
          </w:p>
        </w:tc>
        <w:tc>
          <w:tcPr>
            <w:tcW w:w="491" w:type="pct"/>
          </w:tcPr>
          <w:p w14:paraId="52B20687" w14:textId="437A5B5F" w:rsidR="008721DE" w:rsidRPr="00F1762B" w:rsidRDefault="008721DE" w:rsidP="00E05BB0">
            <w:pPr>
              <w:rPr>
                <w:sz w:val="15"/>
                <w:szCs w:val="15"/>
              </w:rPr>
            </w:pPr>
            <w:r w:rsidRPr="00F1762B">
              <w:rPr>
                <w:sz w:val="15"/>
                <w:szCs w:val="15"/>
              </w:rPr>
              <w:t>1997 to 2012; mean 9.0</w:t>
            </w:r>
          </w:p>
        </w:tc>
        <w:tc>
          <w:tcPr>
            <w:tcW w:w="620" w:type="pct"/>
          </w:tcPr>
          <w:p w14:paraId="0CD597B1" w14:textId="336CBE89" w:rsidR="008721DE" w:rsidRPr="00F1762B" w:rsidRDefault="008721DE" w:rsidP="00E05BB0">
            <w:pPr>
              <w:rPr>
                <w:sz w:val="15"/>
                <w:szCs w:val="15"/>
              </w:rPr>
            </w:pPr>
            <w:r w:rsidRPr="00F1762B">
              <w:rPr>
                <w:sz w:val="15"/>
                <w:szCs w:val="15"/>
              </w:rPr>
              <w:t>40+; 59.3 (10.1) in metformin users; 65.0 (11.5) in non-users</w:t>
            </w:r>
          </w:p>
          <w:p w14:paraId="33DAC244" w14:textId="77777777" w:rsidR="008721DE" w:rsidRPr="00F1762B" w:rsidRDefault="008721DE" w:rsidP="00E05BB0">
            <w:pPr>
              <w:rPr>
                <w:sz w:val="15"/>
                <w:szCs w:val="15"/>
                <w:lang w:val="en-CA"/>
              </w:rPr>
            </w:pPr>
          </w:p>
        </w:tc>
        <w:tc>
          <w:tcPr>
            <w:tcW w:w="620" w:type="pct"/>
          </w:tcPr>
          <w:p w14:paraId="21485CC1" w14:textId="24DD9148" w:rsidR="008721DE" w:rsidRPr="00F1762B" w:rsidRDefault="008721DE" w:rsidP="00E05BB0">
            <w:pPr>
              <w:rPr>
                <w:sz w:val="15"/>
                <w:szCs w:val="15"/>
              </w:rPr>
            </w:pPr>
            <w:r w:rsidRPr="00F1762B">
              <w:rPr>
                <w:sz w:val="15"/>
                <w:szCs w:val="15"/>
              </w:rPr>
              <w:t>52.3 in metformin users and 55.3 in non-users</w:t>
            </w:r>
          </w:p>
          <w:p w14:paraId="45198E50" w14:textId="77777777" w:rsidR="008721DE" w:rsidRPr="00F1762B" w:rsidRDefault="008721DE" w:rsidP="00E05BB0">
            <w:pPr>
              <w:rPr>
                <w:sz w:val="15"/>
                <w:szCs w:val="15"/>
                <w:lang w:val="en-CA"/>
              </w:rPr>
            </w:pPr>
          </w:p>
        </w:tc>
        <w:tc>
          <w:tcPr>
            <w:tcW w:w="537" w:type="pct"/>
          </w:tcPr>
          <w:p w14:paraId="12B14668" w14:textId="547770A1" w:rsidR="008721DE" w:rsidRPr="00F1762B" w:rsidRDefault="008721DE" w:rsidP="00E05BB0">
            <w:pPr>
              <w:rPr>
                <w:sz w:val="15"/>
                <w:szCs w:val="15"/>
                <w:lang w:val="en-CA"/>
              </w:rPr>
            </w:pPr>
            <w:r w:rsidRPr="00F1762B">
              <w:rPr>
                <w:sz w:val="15"/>
                <w:szCs w:val="15"/>
                <w:lang w:val="en-CA"/>
              </w:rPr>
              <w:t>Class 1, metformin vs never use of metformin</w:t>
            </w:r>
          </w:p>
        </w:tc>
        <w:tc>
          <w:tcPr>
            <w:tcW w:w="471" w:type="pct"/>
          </w:tcPr>
          <w:p w14:paraId="35E6C3B2" w14:textId="64C8843E" w:rsidR="008721DE" w:rsidRPr="00F1762B" w:rsidRDefault="00A06CB3" w:rsidP="00E05BB0">
            <w:pPr>
              <w:rPr>
                <w:sz w:val="15"/>
                <w:szCs w:val="15"/>
                <w:lang w:val="en-CA"/>
              </w:rPr>
            </w:pPr>
            <w:r w:rsidRPr="00F1762B">
              <w:rPr>
                <w:sz w:val="15"/>
                <w:szCs w:val="15"/>
                <w:lang w:val="en-CA"/>
              </w:rPr>
              <w:t>Lung cancer</w:t>
            </w:r>
          </w:p>
        </w:tc>
        <w:tc>
          <w:tcPr>
            <w:tcW w:w="785" w:type="pct"/>
          </w:tcPr>
          <w:p w14:paraId="70EE5B2D" w14:textId="43AB0B0C" w:rsidR="008721DE" w:rsidRPr="00F1762B" w:rsidRDefault="008721DE" w:rsidP="00E05BB0">
            <w:pPr>
              <w:rPr>
                <w:sz w:val="15"/>
                <w:szCs w:val="15"/>
              </w:rPr>
            </w:pPr>
            <w:r w:rsidRPr="00F1762B">
              <w:rPr>
                <w:sz w:val="15"/>
                <w:szCs w:val="15"/>
              </w:rPr>
              <w:t xml:space="preserve">Stratified on age and adjusted for gender, race/ethnicity, birth year, diabetes duration, </w:t>
            </w:r>
            <w:r w:rsidR="00B35CC0">
              <w:rPr>
                <w:sz w:val="15"/>
                <w:szCs w:val="15"/>
              </w:rPr>
              <w:t>body mass index</w:t>
            </w:r>
            <w:r w:rsidRPr="00F1762B">
              <w:rPr>
                <w:sz w:val="15"/>
                <w:szCs w:val="15"/>
              </w:rPr>
              <w:t>, alcohol use, Charlson comorbidity index, smoking history (status and pack-years), education, income level, creatinine level, HbA1c level, and use of other diabetes medications</w:t>
            </w:r>
          </w:p>
        </w:tc>
        <w:tc>
          <w:tcPr>
            <w:tcW w:w="307" w:type="pct"/>
          </w:tcPr>
          <w:p w14:paraId="032CD38C" w14:textId="17029574" w:rsidR="008721DE" w:rsidRPr="00F1762B" w:rsidRDefault="008721DE" w:rsidP="00E05BB0">
            <w:pPr>
              <w:rPr>
                <w:sz w:val="15"/>
                <w:szCs w:val="15"/>
                <w:lang w:val="en-CA"/>
              </w:rPr>
            </w:pPr>
            <w:r w:rsidRPr="00F1762B">
              <w:rPr>
                <w:rFonts w:ascii="Calibri" w:hAnsi="Calibri"/>
                <w:sz w:val="15"/>
                <w:szCs w:val="15"/>
              </w:rPr>
              <w:t>Low</w:t>
            </w:r>
          </w:p>
        </w:tc>
        <w:tc>
          <w:tcPr>
            <w:tcW w:w="204" w:type="pct"/>
          </w:tcPr>
          <w:p w14:paraId="22F3F4B4" w14:textId="0FF25501" w:rsidR="008721DE" w:rsidRPr="00F1762B" w:rsidRDefault="008721DE" w:rsidP="00E05BB0">
            <w:pPr>
              <w:rPr>
                <w:rFonts w:ascii="Calibri" w:hAnsi="Calibri"/>
                <w:sz w:val="15"/>
                <w:szCs w:val="15"/>
              </w:rPr>
            </w:pPr>
            <w:r w:rsidRPr="00F1762B">
              <w:rPr>
                <w:rFonts w:ascii="Calibri" w:hAnsi="Calibri"/>
                <w:sz w:val="15"/>
                <w:szCs w:val="15"/>
              </w:rPr>
              <w:t>8</w:t>
            </w:r>
          </w:p>
        </w:tc>
      </w:tr>
      <w:tr w:rsidR="00B7487B" w:rsidRPr="00F1762B" w14:paraId="16A8464B" w14:textId="03FF6CBE" w:rsidTr="00F1762B">
        <w:tc>
          <w:tcPr>
            <w:tcW w:w="517" w:type="pct"/>
          </w:tcPr>
          <w:p w14:paraId="2005F13A" w14:textId="32698A86" w:rsidR="008721DE" w:rsidRPr="00F1762B" w:rsidRDefault="008721DE" w:rsidP="00E05BB0">
            <w:pPr>
              <w:rPr>
                <w:sz w:val="15"/>
                <w:szCs w:val="15"/>
                <w:lang w:val="en-CA"/>
              </w:rPr>
            </w:pPr>
            <w:r w:rsidRPr="00F1762B">
              <w:rPr>
                <w:rFonts w:ascii="Calibri" w:hAnsi="Calibri"/>
                <w:sz w:val="15"/>
                <w:szCs w:val="15"/>
              </w:rPr>
              <w:t>Calip 2016</w:t>
            </w:r>
          </w:p>
        </w:tc>
        <w:tc>
          <w:tcPr>
            <w:tcW w:w="447" w:type="pct"/>
          </w:tcPr>
          <w:p w14:paraId="1F03FCCA" w14:textId="7C260BD9" w:rsidR="008721DE" w:rsidRPr="00F1762B" w:rsidRDefault="008721DE" w:rsidP="00E05BB0">
            <w:pPr>
              <w:rPr>
                <w:sz w:val="15"/>
                <w:szCs w:val="15"/>
                <w:lang w:val="en-CA"/>
              </w:rPr>
            </w:pPr>
            <w:r w:rsidRPr="00F1762B">
              <w:rPr>
                <w:rFonts w:ascii="Calibri" w:hAnsi="Calibri"/>
                <w:sz w:val="15"/>
                <w:szCs w:val="15"/>
              </w:rPr>
              <w:t>United States; population-based</w:t>
            </w:r>
          </w:p>
        </w:tc>
        <w:tc>
          <w:tcPr>
            <w:tcW w:w="491" w:type="pct"/>
          </w:tcPr>
          <w:p w14:paraId="77058621" w14:textId="45C666BD" w:rsidR="008721DE" w:rsidRPr="00F1762B" w:rsidRDefault="008721DE" w:rsidP="00E05BB0">
            <w:pPr>
              <w:rPr>
                <w:sz w:val="15"/>
                <w:szCs w:val="15"/>
                <w:lang w:val="en-CA"/>
              </w:rPr>
            </w:pPr>
            <w:r w:rsidRPr="00F1762B">
              <w:rPr>
                <w:sz w:val="15"/>
                <w:szCs w:val="15"/>
                <w:lang w:val="en-CA"/>
              </w:rPr>
              <w:t>1996 to 2011; median 6.7</w:t>
            </w:r>
          </w:p>
        </w:tc>
        <w:tc>
          <w:tcPr>
            <w:tcW w:w="620" w:type="pct"/>
          </w:tcPr>
          <w:p w14:paraId="5038855D" w14:textId="54629A6C" w:rsidR="008721DE" w:rsidRPr="00F1762B" w:rsidRDefault="008721DE" w:rsidP="00E05BB0">
            <w:pPr>
              <w:rPr>
                <w:sz w:val="15"/>
                <w:szCs w:val="15"/>
                <w:lang w:val="en-CA"/>
              </w:rPr>
            </w:pPr>
            <w:r w:rsidRPr="00F1762B">
              <w:rPr>
                <w:sz w:val="15"/>
                <w:szCs w:val="15"/>
                <w:lang w:val="en-CA"/>
              </w:rPr>
              <w:t>40+; 61.6 (12.3)</w:t>
            </w:r>
          </w:p>
        </w:tc>
        <w:tc>
          <w:tcPr>
            <w:tcW w:w="620" w:type="pct"/>
          </w:tcPr>
          <w:p w14:paraId="31AF24CF" w14:textId="3679604D" w:rsidR="008721DE" w:rsidRPr="00F1762B" w:rsidRDefault="008721DE" w:rsidP="00E05BB0">
            <w:pPr>
              <w:rPr>
                <w:sz w:val="15"/>
                <w:szCs w:val="15"/>
                <w:lang w:val="en-CA"/>
              </w:rPr>
            </w:pPr>
            <w:r w:rsidRPr="00F1762B">
              <w:rPr>
                <w:sz w:val="15"/>
                <w:szCs w:val="15"/>
                <w:lang w:val="en-CA"/>
              </w:rPr>
              <w:t>NA</w:t>
            </w:r>
          </w:p>
        </w:tc>
        <w:tc>
          <w:tcPr>
            <w:tcW w:w="537" w:type="pct"/>
          </w:tcPr>
          <w:p w14:paraId="24543C42" w14:textId="0480F7A3" w:rsidR="008721DE" w:rsidRPr="00F1762B" w:rsidRDefault="008721DE" w:rsidP="00E05BB0">
            <w:pPr>
              <w:rPr>
                <w:sz w:val="15"/>
                <w:szCs w:val="15"/>
                <w:lang w:val="en-CA"/>
              </w:rPr>
            </w:pPr>
            <w:r w:rsidRPr="00F1762B">
              <w:rPr>
                <w:sz w:val="15"/>
                <w:szCs w:val="15"/>
                <w:lang w:val="en-CA"/>
              </w:rPr>
              <w:t>Class 1, metformin vs no use of metformin;</w:t>
            </w:r>
          </w:p>
          <w:p w14:paraId="4B1FFD4A" w14:textId="77777777" w:rsidR="008721DE" w:rsidRPr="00F1762B" w:rsidRDefault="008721DE" w:rsidP="00E05BB0">
            <w:pPr>
              <w:rPr>
                <w:sz w:val="15"/>
                <w:szCs w:val="15"/>
                <w:lang w:val="en-CA"/>
              </w:rPr>
            </w:pPr>
          </w:p>
          <w:p w14:paraId="5F867C17" w14:textId="03A6733E" w:rsidR="008721DE" w:rsidRPr="00F1762B" w:rsidRDefault="008721DE" w:rsidP="00E05BB0">
            <w:pPr>
              <w:rPr>
                <w:sz w:val="15"/>
                <w:szCs w:val="15"/>
                <w:lang w:val="en-CA"/>
              </w:rPr>
            </w:pPr>
            <w:r w:rsidRPr="00F1762B">
              <w:rPr>
                <w:sz w:val="15"/>
                <w:szCs w:val="15"/>
                <w:lang w:val="en-CA"/>
              </w:rPr>
              <w:t>Class 4, sulfonylureas vs no use of sulfonylureas;</w:t>
            </w:r>
          </w:p>
          <w:p w14:paraId="2D425B9C" w14:textId="77777777" w:rsidR="008721DE" w:rsidRPr="00F1762B" w:rsidRDefault="008721DE" w:rsidP="00E05BB0">
            <w:pPr>
              <w:rPr>
                <w:sz w:val="15"/>
                <w:szCs w:val="15"/>
                <w:lang w:val="en-CA"/>
              </w:rPr>
            </w:pPr>
          </w:p>
          <w:p w14:paraId="29F79B66" w14:textId="239FBDE2" w:rsidR="008721DE" w:rsidRPr="00F1762B" w:rsidRDefault="008721DE" w:rsidP="00E05BB0">
            <w:pPr>
              <w:rPr>
                <w:sz w:val="15"/>
                <w:szCs w:val="15"/>
                <w:lang w:val="en-CA"/>
              </w:rPr>
            </w:pPr>
            <w:r w:rsidRPr="00F1762B">
              <w:rPr>
                <w:sz w:val="15"/>
                <w:szCs w:val="15"/>
                <w:lang w:val="en-CA"/>
              </w:rPr>
              <w:lastRenderedPageBreak/>
              <w:t>Class 6, all insulins vs no use of insulin</w:t>
            </w:r>
          </w:p>
        </w:tc>
        <w:tc>
          <w:tcPr>
            <w:tcW w:w="471" w:type="pct"/>
          </w:tcPr>
          <w:p w14:paraId="1B1151D4" w14:textId="7B861E5A" w:rsidR="008721DE" w:rsidRPr="00F1762B" w:rsidRDefault="00A06CB3" w:rsidP="00E05BB0">
            <w:pPr>
              <w:rPr>
                <w:sz w:val="15"/>
                <w:szCs w:val="15"/>
                <w:lang w:val="en-CA"/>
              </w:rPr>
            </w:pPr>
            <w:r w:rsidRPr="00F1762B">
              <w:rPr>
                <w:sz w:val="15"/>
                <w:szCs w:val="15"/>
                <w:lang w:val="en-CA"/>
              </w:rPr>
              <w:lastRenderedPageBreak/>
              <w:t>Breast cancer</w:t>
            </w:r>
          </w:p>
        </w:tc>
        <w:tc>
          <w:tcPr>
            <w:tcW w:w="785" w:type="pct"/>
          </w:tcPr>
          <w:p w14:paraId="027CE738" w14:textId="64668DD8" w:rsidR="008721DE" w:rsidRPr="00F1762B" w:rsidRDefault="008721DE" w:rsidP="00E05BB0">
            <w:pPr>
              <w:rPr>
                <w:sz w:val="15"/>
                <w:szCs w:val="15"/>
              </w:rPr>
            </w:pPr>
            <w:r w:rsidRPr="00F1762B">
              <w:rPr>
                <w:sz w:val="15"/>
                <w:szCs w:val="15"/>
                <w:lang w:val="en-CA"/>
              </w:rPr>
              <w:t>Adjusted for other</w:t>
            </w:r>
            <w:r w:rsidRPr="00F1762B">
              <w:rPr>
                <w:sz w:val="15"/>
                <w:szCs w:val="15"/>
              </w:rPr>
              <w:t xml:space="preserve"> diabetes medications, age at cohort entry, study entry year, smoking status, menopausal status, Charlson score, statin use, and menopausal hormone therapy</w:t>
            </w:r>
          </w:p>
        </w:tc>
        <w:tc>
          <w:tcPr>
            <w:tcW w:w="307" w:type="pct"/>
          </w:tcPr>
          <w:p w14:paraId="0CBF0179" w14:textId="0F6EE620" w:rsidR="008721DE" w:rsidRPr="00F1762B" w:rsidRDefault="008721DE" w:rsidP="00E05BB0">
            <w:pPr>
              <w:rPr>
                <w:sz w:val="15"/>
                <w:szCs w:val="15"/>
                <w:lang w:val="en-CA"/>
              </w:rPr>
            </w:pPr>
            <w:r w:rsidRPr="00F1762B">
              <w:rPr>
                <w:rFonts w:ascii="Calibri" w:hAnsi="Calibri"/>
                <w:sz w:val="15"/>
                <w:szCs w:val="15"/>
              </w:rPr>
              <w:t>Low</w:t>
            </w:r>
          </w:p>
        </w:tc>
        <w:tc>
          <w:tcPr>
            <w:tcW w:w="204" w:type="pct"/>
          </w:tcPr>
          <w:p w14:paraId="78FB7635" w14:textId="5EB3C507" w:rsidR="008721DE" w:rsidRPr="00F1762B" w:rsidRDefault="008721DE" w:rsidP="00E05BB0">
            <w:pPr>
              <w:rPr>
                <w:rFonts w:ascii="Calibri" w:hAnsi="Calibri"/>
                <w:sz w:val="15"/>
                <w:szCs w:val="15"/>
              </w:rPr>
            </w:pPr>
            <w:r w:rsidRPr="00F1762B">
              <w:rPr>
                <w:rFonts w:ascii="Calibri" w:hAnsi="Calibri"/>
                <w:sz w:val="15"/>
                <w:szCs w:val="15"/>
              </w:rPr>
              <w:t>8</w:t>
            </w:r>
          </w:p>
        </w:tc>
      </w:tr>
      <w:tr w:rsidR="00B7487B" w:rsidRPr="00F1762B" w14:paraId="7FBDC4DE" w14:textId="61F2D081" w:rsidTr="00F1762B">
        <w:tc>
          <w:tcPr>
            <w:tcW w:w="517" w:type="pct"/>
          </w:tcPr>
          <w:p w14:paraId="509D72B8" w14:textId="4C842E82" w:rsidR="008721DE" w:rsidRPr="00F1762B" w:rsidRDefault="008721DE" w:rsidP="00E05BB0">
            <w:pPr>
              <w:rPr>
                <w:sz w:val="15"/>
                <w:szCs w:val="15"/>
                <w:lang w:val="en-CA"/>
              </w:rPr>
            </w:pPr>
            <w:r w:rsidRPr="00F1762B">
              <w:rPr>
                <w:rFonts w:ascii="Calibri" w:hAnsi="Calibri"/>
                <w:sz w:val="15"/>
                <w:szCs w:val="15"/>
              </w:rPr>
              <w:t>Wang 2016</w:t>
            </w:r>
          </w:p>
        </w:tc>
        <w:tc>
          <w:tcPr>
            <w:tcW w:w="447" w:type="pct"/>
          </w:tcPr>
          <w:p w14:paraId="4346D260" w14:textId="5AA1878E" w:rsidR="008721DE" w:rsidRPr="00F1762B" w:rsidRDefault="008721DE" w:rsidP="00E05BB0">
            <w:pPr>
              <w:rPr>
                <w:sz w:val="15"/>
                <w:szCs w:val="15"/>
                <w:lang w:val="en-CA"/>
              </w:rPr>
            </w:pPr>
            <w:r w:rsidRPr="00F1762B">
              <w:rPr>
                <w:rFonts w:ascii="Calibri" w:hAnsi="Calibri"/>
                <w:sz w:val="15"/>
                <w:szCs w:val="15"/>
              </w:rPr>
              <w:t>United States; population-based</w:t>
            </w:r>
          </w:p>
        </w:tc>
        <w:tc>
          <w:tcPr>
            <w:tcW w:w="491" w:type="pct"/>
          </w:tcPr>
          <w:p w14:paraId="0F0180A6" w14:textId="7D799B70" w:rsidR="008721DE" w:rsidRPr="00F1762B" w:rsidRDefault="008721DE" w:rsidP="00E05BB0">
            <w:pPr>
              <w:rPr>
                <w:sz w:val="15"/>
                <w:szCs w:val="15"/>
                <w:lang w:val="en-CA"/>
              </w:rPr>
            </w:pPr>
            <w:r w:rsidRPr="00F1762B">
              <w:rPr>
                <w:sz w:val="15"/>
                <w:szCs w:val="15"/>
                <w:lang w:val="en-CA"/>
              </w:rPr>
              <w:t>2002 to 2012; mean 6.4</w:t>
            </w:r>
          </w:p>
        </w:tc>
        <w:tc>
          <w:tcPr>
            <w:tcW w:w="620" w:type="pct"/>
          </w:tcPr>
          <w:p w14:paraId="5E83C697" w14:textId="26FF9369" w:rsidR="008721DE" w:rsidRPr="00F1762B" w:rsidRDefault="008721DE" w:rsidP="00E05BB0">
            <w:pPr>
              <w:rPr>
                <w:sz w:val="15"/>
                <w:szCs w:val="15"/>
                <w:lang w:val="en-CA"/>
              </w:rPr>
            </w:pPr>
            <w:r w:rsidRPr="00F1762B">
              <w:rPr>
                <w:sz w:val="15"/>
                <w:szCs w:val="15"/>
                <w:lang w:val="en-CA"/>
              </w:rPr>
              <w:t>40-89; 70.2 (9.5), 65.1 (11.0), and 68.8 (10.0) in non-Hispanic White, African American, and Hispanic nonusers of metformin; 64.4 (9.3), 59.0 (9.5), and 63.1 (9.3) in non-Hispanic White, African American, and Hispanic users of metformin</w:t>
            </w:r>
          </w:p>
        </w:tc>
        <w:tc>
          <w:tcPr>
            <w:tcW w:w="620" w:type="pct"/>
          </w:tcPr>
          <w:p w14:paraId="28D0C813" w14:textId="58C17902" w:rsidR="008721DE" w:rsidRPr="00F1762B" w:rsidRDefault="008721DE" w:rsidP="00E05BB0">
            <w:pPr>
              <w:rPr>
                <w:sz w:val="15"/>
                <w:szCs w:val="15"/>
                <w:lang w:val="en-CA"/>
              </w:rPr>
            </w:pPr>
            <w:r w:rsidRPr="00F1762B">
              <w:rPr>
                <w:sz w:val="15"/>
                <w:szCs w:val="15"/>
                <w:lang w:val="en-CA"/>
              </w:rPr>
              <w:t>100.0</w:t>
            </w:r>
          </w:p>
        </w:tc>
        <w:tc>
          <w:tcPr>
            <w:tcW w:w="537" w:type="pct"/>
          </w:tcPr>
          <w:p w14:paraId="47B116A1" w14:textId="67DE3F0F" w:rsidR="008721DE" w:rsidRPr="00F1762B" w:rsidRDefault="008721DE" w:rsidP="00E05BB0">
            <w:pPr>
              <w:rPr>
                <w:sz w:val="15"/>
                <w:szCs w:val="15"/>
                <w:lang w:val="en-CA"/>
              </w:rPr>
            </w:pPr>
            <w:r w:rsidRPr="00F1762B">
              <w:rPr>
                <w:sz w:val="15"/>
                <w:szCs w:val="15"/>
                <w:lang w:val="en-CA"/>
              </w:rPr>
              <w:t>Class 1, metformin vs no use of metformin</w:t>
            </w:r>
          </w:p>
        </w:tc>
        <w:tc>
          <w:tcPr>
            <w:tcW w:w="471" w:type="pct"/>
          </w:tcPr>
          <w:p w14:paraId="6FBDEC69" w14:textId="63476F1C" w:rsidR="008721DE" w:rsidRPr="00F1762B" w:rsidRDefault="00A06CB3" w:rsidP="00E05BB0">
            <w:pPr>
              <w:rPr>
                <w:sz w:val="15"/>
                <w:szCs w:val="15"/>
                <w:lang w:val="en-CA"/>
              </w:rPr>
            </w:pPr>
            <w:r w:rsidRPr="00F1762B">
              <w:rPr>
                <w:sz w:val="15"/>
                <w:szCs w:val="15"/>
                <w:lang w:val="en-CA"/>
              </w:rPr>
              <w:t>Prostate cancer</w:t>
            </w:r>
          </w:p>
        </w:tc>
        <w:tc>
          <w:tcPr>
            <w:tcW w:w="785" w:type="pct"/>
          </w:tcPr>
          <w:p w14:paraId="58DBB3A5" w14:textId="2DAA84F5" w:rsidR="008721DE" w:rsidRPr="00F1762B" w:rsidRDefault="008721DE" w:rsidP="00E05BB0">
            <w:pPr>
              <w:rPr>
                <w:sz w:val="15"/>
                <w:szCs w:val="15"/>
              </w:rPr>
            </w:pPr>
            <w:r w:rsidRPr="00F1762B">
              <w:rPr>
                <w:sz w:val="15"/>
                <w:szCs w:val="15"/>
              </w:rPr>
              <w:t xml:space="preserve">Adjusted for indicators of African American, Hispanics, metformin use, statin and finasteride use, two-way interactions of medication indicators, interactions between race/ethnicity with variables involving metformin use (i.e., indicator of metformin use, the product of the metformin use indicator and statin use indicator, and the product of metformin use indicator and finasteride use indicator), age, change in LDL, HbA1c, and </w:t>
            </w:r>
            <w:r w:rsidR="00B35CC0">
              <w:rPr>
                <w:sz w:val="15"/>
                <w:szCs w:val="15"/>
              </w:rPr>
              <w:t>body mass index</w:t>
            </w:r>
            <w:r w:rsidRPr="00F1762B">
              <w:rPr>
                <w:sz w:val="15"/>
                <w:szCs w:val="15"/>
              </w:rPr>
              <w:t xml:space="preserve">, and the maximum </w:t>
            </w:r>
            <w:r w:rsidR="00073FB7">
              <w:rPr>
                <w:sz w:val="15"/>
                <w:szCs w:val="15"/>
              </w:rPr>
              <w:t>prostate specific antigen</w:t>
            </w:r>
            <w:r w:rsidR="00073FB7">
              <w:rPr>
                <w:sz w:val="15"/>
                <w:szCs w:val="15"/>
              </w:rPr>
              <w:t xml:space="preserve"> </w:t>
            </w:r>
            <w:r w:rsidRPr="00F1762B">
              <w:rPr>
                <w:sz w:val="15"/>
                <w:szCs w:val="15"/>
              </w:rPr>
              <w:t>level during the study period;</w:t>
            </w:r>
          </w:p>
          <w:p w14:paraId="13AAF567" w14:textId="77777777" w:rsidR="008721DE" w:rsidRPr="00F1762B" w:rsidRDefault="008721DE" w:rsidP="00E05BB0">
            <w:pPr>
              <w:rPr>
                <w:sz w:val="15"/>
                <w:szCs w:val="15"/>
              </w:rPr>
            </w:pPr>
          </w:p>
          <w:p w14:paraId="642374C0" w14:textId="6DFD8366" w:rsidR="008721DE" w:rsidRPr="00F1762B" w:rsidRDefault="008721DE" w:rsidP="00E05BB0">
            <w:pPr>
              <w:rPr>
                <w:sz w:val="15"/>
                <w:szCs w:val="15"/>
              </w:rPr>
            </w:pPr>
            <w:r w:rsidRPr="00F1762B">
              <w:rPr>
                <w:sz w:val="15"/>
                <w:szCs w:val="15"/>
              </w:rPr>
              <w:t>Inverse probability weights adjusted for baseline HbA1c, age, and Charlson comorbidity score</w:t>
            </w:r>
          </w:p>
        </w:tc>
        <w:tc>
          <w:tcPr>
            <w:tcW w:w="307" w:type="pct"/>
          </w:tcPr>
          <w:p w14:paraId="3F42C649" w14:textId="2411CE7F" w:rsidR="008721DE" w:rsidRPr="00F1762B" w:rsidRDefault="008721DE" w:rsidP="00E05BB0">
            <w:pPr>
              <w:rPr>
                <w:sz w:val="15"/>
                <w:szCs w:val="15"/>
                <w:lang w:val="en-CA"/>
              </w:rPr>
            </w:pPr>
            <w:r w:rsidRPr="00F1762B">
              <w:rPr>
                <w:rFonts w:ascii="Calibri" w:hAnsi="Calibri"/>
                <w:sz w:val="15"/>
                <w:szCs w:val="15"/>
              </w:rPr>
              <w:t>Low</w:t>
            </w:r>
          </w:p>
        </w:tc>
        <w:tc>
          <w:tcPr>
            <w:tcW w:w="204" w:type="pct"/>
          </w:tcPr>
          <w:p w14:paraId="3B35CB71" w14:textId="319A8A31" w:rsidR="008721DE" w:rsidRPr="00F1762B" w:rsidRDefault="008721DE" w:rsidP="00E05BB0">
            <w:pPr>
              <w:rPr>
                <w:rFonts w:ascii="Calibri" w:hAnsi="Calibri"/>
                <w:sz w:val="15"/>
                <w:szCs w:val="15"/>
              </w:rPr>
            </w:pPr>
            <w:r w:rsidRPr="00F1762B">
              <w:rPr>
                <w:rFonts w:ascii="Calibri" w:hAnsi="Calibri"/>
                <w:sz w:val="15"/>
                <w:szCs w:val="15"/>
              </w:rPr>
              <w:t>8</w:t>
            </w:r>
          </w:p>
        </w:tc>
      </w:tr>
      <w:tr w:rsidR="00B7487B" w:rsidRPr="00F1762B" w14:paraId="76E04EE0" w14:textId="19CA7B14" w:rsidTr="00F1762B">
        <w:tc>
          <w:tcPr>
            <w:tcW w:w="517" w:type="pct"/>
          </w:tcPr>
          <w:p w14:paraId="2E367D7F" w14:textId="401E8658" w:rsidR="008721DE" w:rsidRPr="00F1762B" w:rsidRDefault="008721DE" w:rsidP="00E05BB0">
            <w:pPr>
              <w:rPr>
                <w:sz w:val="15"/>
                <w:szCs w:val="15"/>
                <w:lang w:val="en-CA"/>
              </w:rPr>
            </w:pPr>
            <w:r w:rsidRPr="00F1762B">
              <w:rPr>
                <w:rFonts w:ascii="Calibri" w:hAnsi="Calibri"/>
                <w:sz w:val="15"/>
                <w:szCs w:val="15"/>
              </w:rPr>
              <w:t>Erdmann 2016</w:t>
            </w:r>
          </w:p>
        </w:tc>
        <w:tc>
          <w:tcPr>
            <w:tcW w:w="447" w:type="pct"/>
          </w:tcPr>
          <w:p w14:paraId="7B794CEC" w14:textId="01DA3904" w:rsidR="008721DE" w:rsidRPr="00F1762B" w:rsidRDefault="008721DE" w:rsidP="00E05BB0">
            <w:pPr>
              <w:rPr>
                <w:sz w:val="15"/>
                <w:szCs w:val="15"/>
                <w:lang w:val="en-CA"/>
              </w:rPr>
            </w:pPr>
            <w:r w:rsidRPr="00F1762B">
              <w:rPr>
                <w:rFonts w:ascii="Calibri" w:hAnsi="Calibri"/>
                <w:sz w:val="15"/>
                <w:szCs w:val="15"/>
              </w:rPr>
              <w:t>19 European countries; population-based</w:t>
            </w:r>
          </w:p>
        </w:tc>
        <w:tc>
          <w:tcPr>
            <w:tcW w:w="491" w:type="pct"/>
          </w:tcPr>
          <w:p w14:paraId="7788E720" w14:textId="1C36B10A" w:rsidR="008721DE" w:rsidRPr="00F1762B" w:rsidRDefault="008721DE" w:rsidP="00E05BB0">
            <w:pPr>
              <w:rPr>
                <w:sz w:val="15"/>
                <w:szCs w:val="15"/>
                <w:lang w:val="en-CA"/>
              </w:rPr>
            </w:pPr>
            <w:r w:rsidRPr="00F1762B">
              <w:rPr>
                <w:sz w:val="15"/>
                <w:szCs w:val="15"/>
                <w:lang w:val="en-CA"/>
              </w:rPr>
              <w:t>10 years; mean 7.8</w:t>
            </w:r>
          </w:p>
        </w:tc>
        <w:tc>
          <w:tcPr>
            <w:tcW w:w="620" w:type="pct"/>
          </w:tcPr>
          <w:p w14:paraId="757A72EF" w14:textId="399CBC6D" w:rsidR="008721DE" w:rsidRPr="00F1762B" w:rsidRDefault="008721DE" w:rsidP="00E05BB0">
            <w:pPr>
              <w:rPr>
                <w:sz w:val="15"/>
                <w:szCs w:val="15"/>
              </w:rPr>
            </w:pPr>
            <w:r w:rsidRPr="00F1762B">
              <w:rPr>
                <w:sz w:val="15"/>
                <w:szCs w:val="15"/>
              </w:rPr>
              <w:t>35 to 75; 61.8 (7.7)</w:t>
            </w:r>
          </w:p>
        </w:tc>
        <w:tc>
          <w:tcPr>
            <w:tcW w:w="620" w:type="pct"/>
          </w:tcPr>
          <w:p w14:paraId="5E16D7F5" w14:textId="77777777" w:rsidR="008721DE" w:rsidRPr="00F1762B" w:rsidRDefault="008721DE" w:rsidP="00E05BB0">
            <w:pPr>
              <w:rPr>
                <w:sz w:val="15"/>
                <w:szCs w:val="15"/>
              </w:rPr>
            </w:pPr>
            <w:r w:rsidRPr="00F1762B">
              <w:rPr>
                <w:sz w:val="15"/>
                <w:szCs w:val="15"/>
              </w:rPr>
              <w:t>66.1</w:t>
            </w:r>
          </w:p>
          <w:p w14:paraId="2B60F253" w14:textId="77777777" w:rsidR="008721DE" w:rsidRPr="00F1762B" w:rsidRDefault="008721DE" w:rsidP="00E05BB0">
            <w:pPr>
              <w:rPr>
                <w:sz w:val="15"/>
                <w:szCs w:val="15"/>
                <w:lang w:val="en-CA"/>
              </w:rPr>
            </w:pPr>
          </w:p>
        </w:tc>
        <w:tc>
          <w:tcPr>
            <w:tcW w:w="537" w:type="pct"/>
          </w:tcPr>
          <w:p w14:paraId="5A17BE52" w14:textId="42444EF5" w:rsidR="008721DE" w:rsidRPr="00F1762B" w:rsidRDefault="008721DE" w:rsidP="00E05BB0">
            <w:pPr>
              <w:rPr>
                <w:sz w:val="15"/>
                <w:szCs w:val="15"/>
                <w:lang w:val="en-CA"/>
              </w:rPr>
            </w:pPr>
            <w:r w:rsidRPr="00F1762B">
              <w:rPr>
                <w:sz w:val="15"/>
                <w:szCs w:val="15"/>
                <w:lang w:val="en-CA"/>
              </w:rPr>
              <w:t>Class 5, pioglitazone vs no use of any diabetes medications</w:t>
            </w:r>
          </w:p>
        </w:tc>
        <w:tc>
          <w:tcPr>
            <w:tcW w:w="471" w:type="pct"/>
          </w:tcPr>
          <w:p w14:paraId="5BED27D4" w14:textId="467E6E4C" w:rsidR="008721DE" w:rsidRPr="00F1762B" w:rsidRDefault="00A06CB3" w:rsidP="00E05BB0">
            <w:pPr>
              <w:rPr>
                <w:sz w:val="15"/>
                <w:szCs w:val="15"/>
                <w:lang w:val="en-CA"/>
              </w:rPr>
            </w:pPr>
            <w:r w:rsidRPr="00F1762B">
              <w:rPr>
                <w:sz w:val="15"/>
                <w:szCs w:val="15"/>
                <w:lang w:val="en-CA"/>
              </w:rPr>
              <w:t>Breast, lung, colorectal, prostate, liver, and pancreatic cancers</w:t>
            </w:r>
          </w:p>
        </w:tc>
        <w:tc>
          <w:tcPr>
            <w:tcW w:w="785" w:type="pct"/>
          </w:tcPr>
          <w:p w14:paraId="341DDA44" w14:textId="45F1E43E" w:rsidR="008721DE" w:rsidRPr="00F1762B" w:rsidRDefault="008721DE" w:rsidP="00E05BB0">
            <w:pPr>
              <w:rPr>
                <w:sz w:val="15"/>
                <w:szCs w:val="15"/>
                <w:lang w:val="en-CA"/>
              </w:rPr>
            </w:pPr>
            <w:r w:rsidRPr="00F1762B">
              <w:rPr>
                <w:sz w:val="15"/>
                <w:szCs w:val="15"/>
                <w:lang w:val="en-CA"/>
              </w:rPr>
              <w:t>NA</w:t>
            </w:r>
          </w:p>
        </w:tc>
        <w:tc>
          <w:tcPr>
            <w:tcW w:w="307" w:type="pct"/>
          </w:tcPr>
          <w:p w14:paraId="784B2BE8" w14:textId="54D441D4" w:rsidR="008721DE" w:rsidRPr="00F1762B" w:rsidRDefault="008721DE" w:rsidP="00E05BB0">
            <w:pPr>
              <w:rPr>
                <w:sz w:val="15"/>
                <w:szCs w:val="15"/>
                <w:lang w:val="en-CA"/>
              </w:rPr>
            </w:pPr>
            <w:r w:rsidRPr="00F1762B">
              <w:rPr>
                <w:rFonts w:ascii="Calibri" w:hAnsi="Calibri"/>
                <w:sz w:val="15"/>
                <w:szCs w:val="15"/>
              </w:rPr>
              <w:t>Low</w:t>
            </w:r>
          </w:p>
        </w:tc>
        <w:tc>
          <w:tcPr>
            <w:tcW w:w="204" w:type="pct"/>
          </w:tcPr>
          <w:p w14:paraId="07E07D9E" w14:textId="10B43BD1" w:rsidR="008721DE" w:rsidRPr="00F1762B" w:rsidRDefault="008721DE" w:rsidP="00E05BB0">
            <w:pPr>
              <w:rPr>
                <w:rFonts w:ascii="Calibri" w:hAnsi="Calibri"/>
                <w:sz w:val="15"/>
                <w:szCs w:val="15"/>
              </w:rPr>
            </w:pPr>
            <w:r w:rsidRPr="00F1762B">
              <w:rPr>
                <w:rFonts w:ascii="Calibri" w:hAnsi="Calibri"/>
                <w:sz w:val="15"/>
                <w:szCs w:val="15"/>
              </w:rPr>
              <w:t>7</w:t>
            </w:r>
          </w:p>
        </w:tc>
      </w:tr>
      <w:tr w:rsidR="00B7487B" w:rsidRPr="00F1762B" w14:paraId="6E7FDB28" w14:textId="4A3FD796" w:rsidTr="00F1762B">
        <w:tc>
          <w:tcPr>
            <w:tcW w:w="517" w:type="pct"/>
          </w:tcPr>
          <w:p w14:paraId="163EE149" w14:textId="2D913E37" w:rsidR="008721DE" w:rsidRPr="00F1762B" w:rsidRDefault="008721DE" w:rsidP="00E05BB0">
            <w:pPr>
              <w:rPr>
                <w:sz w:val="15"/>
                <w:szCs w:val="15"/>
                <w:lang w:val="en-CA"/>
              </w:rPr>
            </w:pPr>
            <w:r w:rsidRPr="00F1762B">
              <w:rPr>
                <w:rFonts w:ascii="Calibri" w:hAnsi="Calibri"/>
                <w:sz w:val="15"/>
                <w:szCs w:val="15"/>
              </w:rPr>
              <w:t>Tseng 2016</w:t>
            </w:r>
          </w:p>
        </w:tc>
        <w:tc>
          <w:tcPr>
            <w:tcW w:w="447" w:type="pct"/>
          </w:tcPr>
          <w:p w14:paraId="05557561" w14:textId="2BCA0D8B" w:rsidR="008721DE" w:rsidRPr="00F1762B" w:rsidRDefault="008721DE" w:rsidP="00E05BB0">
            <w:pPr>
              <w:rPr>
                <w:sz w:val="15"/>
                <w:szCs w:val="15"/>
                <w:lang w:val="en-CA"/>
              </w:rPr>
            </w:pPr>
            <w:r w:rsidRPr="00F1762B">
              <w:rPr>
                <w:rFonts w:ascii="Calibri" w:hAnsi="Calibri"/>
                <w:sz w:val="15"/>
                <w:szCs w:val="15"/>
              </w:rPr>
              <w:t>Taiwan; population-based</w:t>
            </w:r>
          </w:p>
        </w:tc>
        <w:tc>
          <w:tcPr>
            <w:tcW w:w="491" w:type="pct"/>
          </w:tcPr>
          <w:p w14:paraId="3A84C522" w14:textId="7DA3D65A" w:rsidR="008721DE" w:rsidRPr="00F1762B" w:rsidRDefault="008721DE" w:rsidP="00E05BB0">
            <w:pPr>
              <w:tabs>
                <w:tab w:val="left" w:pos="554"/>
              </w:tabs>
              <w:rPr>
                <w:sz w:val="15"/>
                <w:szCs w:val="15"/>
                <w:lang w:val="en-CA"/>
              </w:rPr>
            </w:pPr>
            <w:r w:rsidRPr="00F1762B">
              <w:rPr>
                <w:sz w:val="15"/>
                <w:szCs w:val="15"/>
                <w:lang w:val="en-CA"/>
              </w:rPr>
              <w:t>1999 to 2010; NA</w:t>
            </w:r>
          </w:p>
        </w:tc>
        <w:tc>
          <w:tcPr>
            <w:tcW w:w="620" w:type="pct"/>
          </w:tcPr>
          <w:p w14:paraId="6B6563F3" w14:textId="21C8A7AC" w:rsidR="008721DE" w:rsidRPr="00F1762B" w:rsidRDefault="008721DE" w:rsidP="00E05BB0">
            <w:pPr>
              <w:rPr>
                <w:sz w:val="15"/>
                <w:szCs w:val="15"/>
              </w:rPr>
            </w:pPr>
            <w:r w:rsidRPr="00F1762B">
              <w:rPr>
                <w:sz w:val="15"/>
                <w:szCs w:val="15"/>
              </w:rPr>
              <w:t>25+; 52.6 (11.5) in ever-users of sitagliptin; 56.4 (13.8) in never users</w:t>
            </w:r>
          </w:p>
        </w:tc>
        <w:tc>
          <w:tcPr>
            <w:tcW w:w="620" w:type="pct"/>
          </w:tcPr>
          <w:p w14:paraId="5F32204C" w14:textId="31587DB1" w:rsidR="008721DE" w:rsidRPr="00F1762B" w:rsidRDefault="008721DE" w:rsidP="00E05BB0">
            <w:pPr>
              <w:rPr>
                <w:sz w:val="15"/>
                <w:szCs w:val="15"/>
              </w:rPr>
            </w:pPr>
            <w:r w:rsidRPr="00F1762B">
              <w:rPr>
                <w:sz w:val="15"/>
                <w:szCs w:val="15"/>
              </w:rPr>
              <w:t>53.8 in ever-users of sitagliptin; 52.9 in never-users of sitagliptin</w:t>
            </w:r>
          </w:p>
        </w:tc>
        <w:tc>
          <w:tcPr>
            <w:tcW w:w="537" w:type="pct"/>
          </w:tcPr>
          <w:p w14:paraId="128B7A5A" w14:textId="1B677D77" w:rsidR="008721DE" w:rsidRPr="00F1762B" w:rsidRDefault="008721DE" w:rsidP="00E05BB0">
            <w:pPr>
              <w:rPr>
                <w:sz w:val="15"/>
                <w:szCs w:val="15"/>
                <w:lang w:val="en-CA"/>
              </w:rPr>
            </w:pPr>
            <w:r w:rsidRPr="00F1762B">
              <w:rPr>
                <w:sz w:val="15"/>
                <w:szCs w:val="15"/>
                <w:lang w:val="en-CA"/>
              </w:rPr>
              <w:t>Class 2, sitagliptin vs no use of sitagliptin</w:t>
            </w:r>
          </w:p>
        </w:tc>
        <w:tc>
          <w:tcPr>
            <w:tcW w:w="471" w:type="pct"/>
          </w:tcPr>
          <w:p w14:paraId="0BE18FBD" w14:textId="7B5A2D60" w:rsidR="008721DE" w:rsidRPr="00F1762B" w:rsidRDefault="00A06CB3" w:rsidP="00E05BB0">
            <w:pPr>
              <w:rPr>
                <w:sz w:val="15"/>
                <w:szCs w:val="15"/>
                <w:lang w:val="en-CA"/>
              </w:rPr>
            </w:pPr>
            <w:r w:rsidRPr="00F1762B">
              <w:rPr>
                <w:sz w:val="15"/>
                <w:szCs w:val="15"/>
                <w:lang w:val="en-CA"/>
              </w:rPr>
              <w:t>Pancreatic cancer</w:t>
            </w:r>
          </w:p>
        </w:tc>
        <w:tc>
          <w:tcPr>
            <w:tcW w:w="785" w:type="pct"/>
          </w:tcPr>
          <w:p w14:paraId="6753EC3F" w14:textId="15ACD372" w:rsidR="008721DE" w:rsidRPr="00F1762B" w:rsidRDefault="008721DE" w:rsidP="00E05BB0">
            <w:pPr>
              <w:rPr>
                <w:sz w:val="15"/>
                <w:szCs w:val="15"/>
              </w:rPr>
            </w:pPr>
            <w:r w:rsidRPr="00F1762B">
              <w:rPr>
                <w:sz w:val="15"/>
                <w:szCs w:val="15"/>
              </w:rPr>
              <w:t>Propensity score adjusted for age, sex, major comorbidities, diabetes-related complications, acute pancreatitis, gallstone, commonly used medications, other diabetes medications, aspirin, and anticoagulants</w:t>
            </w:r>
          </w:p>
        </w:tc>
        <w:tc>
          <w:tcPr>
            <w:tcW w:w="307" w:type="pct"/>
          </w:tcPr>
          <w:p w14:paraId="199B1BA2" w14:textId="662221BF" w:rsidR="008721DE" w:rsidRPr="00F1762B" w:rsidRDefault="008721DE" w:rsidP="00E05BB0">
            <w:pPr>
              <w:rPr>
                <w:sz w:val="15"/>
                <w:szCs w:val="15"/>
                <w:lang w:val="en-CA"/>
              </w:rPr>
            </w:pPr>
            <w:r w:rsidRPr="00F1762B">
              <w:rPr>
                <w:rFonts w:ascii="Calibri" w:hAnsi="Calibri"/>
                <w:sz w:val="15"/>
                <w:szCs w:val="15"/>
              </w:rPr>
              <w:t>Low</w:t>
            </w:r>
          </w:p>
        </w:tc>
        <w:tc>
          <w:tcPr>
            <w:tcW w:w="204" w:type="pct"/>
          </w:tcPr>
          <w:p w14:paraId="0E3E7062" w14:textId="6D677560" w:rsidR="008721DE" w:rsidRPr="00F1762B" w:rsidRDefault="008721DE" w:rsidP="00E05BB0">
            <w:pPr>
              <w:rPr>
                <w:rFonts w:ascii="Calibri" w:hAnsi="Calibri"/>
                <w:sz w:val="15"/>
                <w:szCs w:val="15"/>
              </w:rPr>
            </w:pPr>
            <w:r w:rsidRPr="00F1762B">
              <w:rPr>
                <w:rFonts w:ascii="Calibri" w:hAnsi="Calibri"/>
                <w:sz w:val="15"/>
                <w:szCs w:val="15"/>
              </w:rPr>
              <w:t>8</w:t>
            </w:r>
          </w:p>
        </w:tc>
      </w:tr>
      <w:tr w:rsidR="00B7487B" w:rsidRPr="00F1762B" w14:paraId="2D49091C" w14:textId="0C6A1FBE" w:rsidTr="00F1762B">
        <w:tc>
          <w:tcPr>
            <w:tcW w:w="517" w:type="pct"/>
          </w:tcPr>
          <w:p w14:paraId="294F59B9" w14:textId="5520E934" w:rsidR="008721DE" w:rsidRPr="00F1762B" w:rsidRDefault="008721DE" w:rsidP="00E05BB0">
            <w:pPr>
              <w:rPr>
                <w:sz w:val="15"/>
                <w:szCs w:val="15"/>
                <w:lang w:val="en-CA"/>
              </w:rPr>
            </w:pPr>
            <w:r w:rsidRPr="00F1762B">
              <w:rPr>
                <w:rFonts w:ascii="Calibri" w:hAnsi="Calibri"/>
                <w:sz w:val="15"/>
                <w:szCs w:val="15"/>
              </w:rPr>
              <w:t>Tseng 2015</w:t>
            </w:r>
          </w:p>
        </w:tc>
        <w:tc>
          <w:tcPr>
            <w:tcW w:w="447" w:type="pct"/>
          </w:tcPr>
          <w:p w14:paraId="6431E14D" w14:textId="01766518" w:rsidR="008721DE" w:rsidRPr="00F1762B" w:rsidRDefault="008721DE" w:rsidP="00E05BB0">
            <w:pPr>
              <w:rPr>
                <w:sz w:val="15"/>
                <w:szCs w:val="15"/>
                <w:lang w:val="en-CA"/>
              </w:rPr>
            </w:pPr>
            <w:r w:rsidRPr="00F1762B">
              <w:rPr>
                <w:rFonts w:ascii="Calibri" w:hAnsi="Calibri"/>
                <w:sz w:val="15"/>
                <w:szCs w:val="15"/>
              </w:rPr>
              <w:t>Taiwan; population-based</w:t>
            </w:r>
          </w:p>
        </w:tc>
        <w:tc>
          <w:tcPr>
            <w:tcW w:w="491" w:type="pct"/>
          </w:tcPr>
          <w:p w14:paraId="689D31AB" w14:textId="123F158A" w:rsidR="008721DE" w:rsidRPr="00F1762B" w:rsidRDefault="008721DE" w:rsidP="00E05BB0">
            <w:pPr>
              <w:rPr>
                <w:sz w:val="15"/>
                <w:szCs w:val="15"/>
                <w:lang w:val="en-CA"/>
              </w:rPr>
            </w:pPr>
            <w:r w:rsidRPr="00F1762B">
              <w:rPr>
                <w:sz w:val="15"/>
                <w:szCs w:val="15"/>
                <w:lang w:val="en-CA"/>
              </w:rPr>
              <w:t>1996 to 2009; NA</w:t>
            </w:r>
          </w:p>
        </w:tc>
        <w:tc>
          <w:tcPr>
            <w:tcW w:w="620" w:type="pct"/>
          </w:tcPr>
          <w:p w14:paraId="3746BF31" w14:textId="7EEC73B3" w:rsidR="008721DE" w:rsidRPr="00F1762B" w:rsidRDefault="008721DE" w:rsidP="00E05BB0">
            <w:pPr>
              <w:rPr>
                <w:sz w:val="15"/>
                <w:szCs w:val="15"/>
              </w:rPr>
            </w:pPr>
            <w:r w:rsidRPr="00F1762B">
              <w:rPr>
                <w:sz w:val="15"/>
                <w:szCs w:val="15"/>
              </w:rPr>
              <w:t>NA; 63.7 (12.7) in ever-users of human insulin; 62.5 (12.2) in never-users of human insulin</w:t>
            </w:r>
          </w:p>
          <w:p w14:paraId="71876022" w14:textId="77777777" w:rsidR="008721DE" w:rsidRPr="00F1762B" w:rsidRDefault="008721DE" w:rsidP="00E05BB0">
            <w:pPr>
              <w:rPr>
                <w:sz w:val="15"/>
                <w:szCs w:val="15"/>
              </w:rPr>
            </w:pPr>
          </w:p>
        </w:tc>
        <w:tc>
          <w:tcPr>
            <w:tcW w:w="620" w:type="pct"/>
          </w:tcPr>
          <w:p w14:paraId="717FF195" w14:textId="7800FE27" w:rsidR="008721DE" w:rsidRPr="00F1762B" w:rsidRDefault="008721DE" w:rsidP="00E05BB0">
            <w:pPr>
              <w:rPr>
                <w:sz w:val="15"/>
                <w:szCs w:val="15"/>
                <w:lang w:val="en-CA"/>
              </w:rPr>
            </w:pPr>
            <w:r w:rsidRPr="00F1762B">
              <w:rPr>
                <w:sz w:val="15"/>
                <w:szCs w:val="15"/>
                <w:lang w:val="en-CA"/>
              </w:rPr>
              <w:t>NA</w:t>
            </w:r>
          </w:p>
        </w:tc>
        <w:tc>
          <w:tcPr>
            <w:tcW w:w="537" w:type="pct"/>
          </w:tcPr>
          <w:p w14:paraId="5463DD6F" w14:textId="5195EE43" w:rsidR="008721DE" w:rsidRPr="00F1762B" w:rsidRDefault="008721DE" w:rsidP="00E05BB0">
            <w:pPr>
              <w:rPr>
                <w:sz w:val="15"/>
                <w:szCs w:val="15"/>
                <w:lang w:val="en-CA"/>
              </w:rPr>
            </w:pPr>
            <w:r w:rsidRPr="00F1762B">
              <w:rPr>
                <w:sz w:val="15"/>
                <w:szCs w:val="15"/>
                <w:lang w:val="en-CA"/>
              </w:rPr>
              <w:t>Class 6, human insulin vs no use of human insulin</w:t>
            </w:r>
          </w:p>
        </w:tc>
        <w:tc>
          <w:tcPr>
            <w:tcW w:w="471" w:type="pct"/>
          </w:tcPr>
          <w:p w14:paraId="1632D25A" w14:textId="4D8BBEED" w:rsidR="008721DE" w:rsidRPr="00F1762B" w:rsidRDefault="00A06CB3" w:rsidP="00E05BB0">
            <w:pPr>
              <w:rPr>
                <w:sz w:val="15"/>
                <w:szCs w:val="15"/>
                <w:lang w:val="en-CA"/>
              </w:rPr>
            </w:pPr>
            <w:r w:rsidRPr="00F1762B">
              <w:rPr>
                <w:sz w:val="15"/>
                <w:szCs w:val="15"/>
                <w:lang w:val="en-CA"/>
              </w:rPr>
              <w:t>Breast cancer</w:t>
            </w:r>
          </w:p>
        </w:tc>
        <w:tc>
          <w:tcPr>
            <w:tcW w:w="785" w:type="pct"/>
          </w:tcPr>
          <w:p w14:paraId="36BC972B" w14:textId="22388971" w:rsidR="008721DE" w:rsidRPr="00F1762B" w:rsidRDefault="008721DE" w:rsidP="00E05BB0">
            <w:pPr>
              <w:rPr>
                <w:sz w:val="15"/>
                <w:szCs w:val="15"/>
              </w:rPr>
            </w:pPr>
            <w:r w:rsidRPr="00F1762B">
              <w:rPr>
                <w:sz w:val="15"/>
                <w:szCs w:val="15"/>
                <w:lang w:val="en-CA"/>
              </w:rPr>
              <w:t xml:space="preserve">Adjusted for </w:t>
            </w:r>
            <w:r w:rsidRPr="00F1762B">
              <w:rPr>
                <w:sz w:val="15"/>
                <w:szCs w:val="15"/>
              </w:rPr>
              <w:t>age, diabetes duration, major comorbidities, diabetes-related complications, other cancer prior to baseline, other diabetes medications, commonly used medications, non-steroidal anti-inflammatory drugs, and estrogen</w:t>
            </w:r>
          </w:p>
        </w:tc>
        <w:tc>
          <w:tcPr>
            <w:tcW w:w="307" w:type="pct"/>
          </w:tcPr>
          <w:p w14:paraId="7C00299B" w14:textId="2858A64A" w:rsidR="008721DE" w:rsidRPr="00F1762B" w:rsidRDefault="008721DE" w:rsidP="00E05BB0">
            <w:pPr>
              <w:rPr>
                <w:sz w:val="15"/>
                <w:szCs w:val="15"/>
                <w:lang w:val="en-CA"/>
              </w:rPr>
            </w:pPr>
            <w:r w:rsidRPr="00F1762B">
              <w:rPr>
                <w:rFonts w:ascii="Calibri" w:hAnsi="Calibri"/>
                <w:sz w:val="15"/>
                <w:szCs w:val="15"/>
              </w:rPr>
              <w:t>Low</w:t>
            </w:r>
          </w:p>
        </w:tc>
        <w:tc>
          <w:tcPr>
            <w:tcW w:w="204" w:type="pct"/>
          </w:tcPr>
          <w:p w14:paraId="5E508214" w14:textId="350EC369" w:rsidR="008721DE" w:rsidRPr="00F1762B" w:rsidRDefault="008721DE" w:rsidP="00E05BB0">
            <w:pPr>
              <w:rPr>
                <w:rFonts w:ascii="Calibri" w:hAnsi="Calibri"/>
                <w:sz w:val="15"/>
                <w:szCs w:val="15"/>
              </w:rPr>
            </w:pPr>
            <w:r w:rsidRPr="00F1762B">
              <w:rPr>
                <w:rFonts w:ascii="Calibri" w:hAnsi="Calibri"/>
                <w:sz w:val="15"/>
                <w:szCs w:val="15"/>
              </w:rPr>
              <w:t>8</w:t>
            </w:r>
          </w:p>
        </w:tc>
      </w:tr>
      <w:tr w:rsidR="00B7487B" w:rsidRPr="00F1762B" w14:paraId="52C7734C" w14:textId="519B3319" w:rsidTr="00F1762B">
        <w:tc>
          <w:tcPr>
            <w:tcW w:w="517" w:type="pct"/>
          </w:tcPr>
          <w:p w14:paraId="0ABB105F" w14:textId="7E887DD3" w:rsidR="008721DE" w:rsidRPr="00F1762B" w:rsidRDefault="008721DE" w:rsidP="00E05BB0">
            <w:pPr>
              <w:rPr>
                <w:sz w:val="15"/>
                <w:szCs w:val="15"/>
                <w:lang w:val="en-CA"/>
              </w:rPr>
            </w:pPr>
            <w:r w:rsidRPr="00F1762B">
              <w:rPr>
                <w:rFonts w:ascii="Calibri" w:hAnsi="Calibri"/>
                <w:sz w:val="15"/>
                <w:szCs w:val="15"/>
              </w:rPr>
              <w:lastRenderedPageBreak/>
              <w:t>Tuccori 2015</w:t>
            </w:r>
          </w:p>
        </w:tc>
        <w:tc>
          <w:tcPr>
            <w:tcW w:w="447" w:type="pct"/>
          </w:tcPr>
          <w:p w14:paraId="456FBA85" w14:textId="3610FACC" w:rsidR="008721DE" w:rsidRPr="00F1762B" w:rsidRDefault="008721DE" w:rsidP="00E05BB0">
            <w:pPr>
              <w:rPr>
                <w:sz w:val="15"/>
                <w:szCs w:val="15"/>
                <w:lang w:val="en-CA"/>
              </w:rPr>
            </w:pPr>
            <w:r w:rsidRPr="00F1762B">
              <w:rPr>
                <w:rFonts w:ascii="Calibri" w:hAnsi="Calibri"/>
                <w:sz w:val="15"/>
                <w:szCs w:val="15"/>
              </w:rPr>
              <w:t>United Kingdom; population-based</w:t>
            </w:r>
          </w:p>
        </w:tc>
        <w:tc>
          <w:tcPr>
            <w:tcW w:w="491" w:type="pct"/>
          </w:tcPr>
          <w:p w14:paraId="6A534805" w14:textId="13F0555C" w:rsidR="008721DE" w:rsidRPr="00F1762B" w:rsidRDefault="008721DE" w:rsidP="00E05BB0">
            <w:pPr>
              <w:rPr>
                <w:sz w:val="15"/>
                <w:szCs w:val="15"/>
              </w:rPr>
            </w:pPr>
            <w:r w:rsidRPr="00F1762B">
              <w:rPr>
                <w:sz w:val="15"/>
                <w:szCs w:val="15"/>
              </w:rPr>
              <w:t>1988 to 2013; mean 5.3</w:t>
            </w:r>
          </w:p>
        </w:tc>
        <w:tc>
          <w:tcPr>
            <w:tcW w:w="620" w:type="pct"/>
          </w:tcPr>
          <w:p w14:paraId="77F3B084" w14:textId="324EA6E8" w:rsidR="008721DE" w:rsidRPr="00F1762B" w:rsidRDefault="008721DE" w:rsidP="00E05BB0">
            <w:pPr>
              <w:rPr>
                <w:sz w:val="15"/>
                <w:szCs w:val="15"/>
              </w:rPr>
            </w:pPr>
            <w:r w:rsidRPr="00F1762B">
              <w:rPr>
                <w:sz w:val="15"/>
                <w:szCs w:val="15"/>
              </w:rPr>
              <w:t>40+; 64.0 (11.9) in users of glyburide; 64.0 (12.5) in users of other second-generation sulfonylureas</w:t>
            </w:r>
          </w:p>
          <w:p w14:paraId="17FEE181" w14:textId="77777777" w:rsidR="008721DE" w:rsidRPr="00F1762B" w:rsidRDefault="008721DE" w:rsidP="00E05BB0">
            <w:pPr>
              <w:rPr>
                <w:sz w:val="15"/>
                <w:szCs w:val="15"/>
                <w:lang w:val="en-CA"/>
              </w:rPr>
            </w:pPr>
          </w:p>
        </w:tc>
        <w:tc>
          <w:tcPr>
            <w:tcW w:w="620" w:type="pct"/>
          </w:tcPr>
          <w:p w14:paraId="44976ECE" w14:textId="77777777" w:rsidR="008721DE" w:rsidRPr="00F1762B" w:rsidRDefault="008721DE" w:rsidP="00E05BB0">
            <w:pPr>
              <w:rPr>
                <w:sz w:val="15"/>
                <w:szCs w:val="15"/>
              </w:rPr>
            </w:pPr>
            <w:r w:rsidRPr="00F1762B">
              <w:rPr>
                <w:sz w:val="15"/>
                <w:szCs w:val="15"/>
              </w:rPr>
              <w:t>66.4 in users of glyburide; 73.3 in users of other second-generation sulfonylureas</w:t>
            </w:r>
          </w:p>
          <w:p w14:paraId="281DC4BE" w14:textId="77777777" w:rsidR="008721DE" w:rsidRPr="00F1762B" w:rsidRDefault="008721DE" w:rsidP="00E05BB0">
            <w:pPr>
              <w:rPr>
                <w:sz w:val="15"/>
                <w:szCs w:val="15"/>
              </w:rPr>
            </w:pPr>
          </w:p>
        </w:tc>
        <w:tc>
          <w:tcPr>
            <w:tcW w:w="537" w:type="pct"/>
          </w:tcPr>
          <w:p w14:paraId="0258A98A" w14:textId="7FE25155" w:rsidR="008721DE" w:rsidRPr="00F1762B" w:rsidRDefault="008721DE" w:rsidP="00E05BB0">
            <w:pPr>
              <w:rPr>
                <w:sz w:val="15"/>
                <w:szCs w:val="15"/>
                <w:lang w:val="en-CA"/>
              </w:rPr>
            </w:pPr>
            <w:r w:rsidRPr="00F1762B">
              <w:rPr>
                <w:sz w:val="15"/>
                <w:szCs w:val="15"/>
                <w:lang w:val="en-CA"/>
              </w:rPr>
              <w:t>Class 4, glyburide vs use of</w:t>
            </w:r>
            <w:r w:rsidRPr="00F1762B">
              <w:rPr>
                <w:sz w:val="15"/>
                <w:szCs w:val="15"/>
              </w:rPr>
              <w:t xml:space="preserve"> other second-generation sulfonylureas</w:t>
            </w:r>
          </w:p>
          <w:p w14:paraId="19116D51" w14:textId="5AF4EA43" w:rsidR="008721DE" w:rsidRPr="00F1762B" w:rsidRDefault="008721DE" w:rsidP="00E05BB0">
            <w:pPr>
              <w:rPr>
                <w:sz w:val="15"/>
                <w:szCs w:val="15"/>
                <w:lang w:val="en-CA"/>
              </w:rPr>
            </w:pPr>
          </w:p>
        </w:tc>
        <w:tc>
          <w:tcPr>
            <w:tcW w:w="471" w:type="pct"/>
          </w:tcPr>
          <w:p w14:paraId="4C9B6A0F" w14:textId="0528581A" w:rsidR="008721DE" w:rsidRPr="00F1762B" w:rsidRDefault="00A06CB3" w:rsidP="00E05BB0">
            <w:pPr>
              <w:rPr>
                <w:sz w:val="15"/>
                <w:szCs w:val="15"/>
                <w:lang w:val="en-CA"/>
              </w:rPr>
            </w:pPr>
            <w:r w:rsidRPr="00F1762B">
              <w:rPr>
                <w:sz w:val="15"/>
                <w:szCs w:val="15"/>
                <w:lang w:val="en-CA"/>
              </w:rPr>
              <w:t xml:space="preserve">Breast, lung, colorectal, </w:t>
            </w:r>
            <w:r w:rsidR="00051776" w:rsidRPr="00F1762B">
              <w:rPr>
                <w:sz w:val="15"/>
                <w:szCs w:val="15"/>
                <w:lang w:val="en-CA"/>
              </w:rPr>
              <w:t xml:space="preserve">and </w:t>
            </w:r>
            <w:r w:rsidRPr="00F1762B">
              <w:rPr>
                <w:sz w:val="15"/>
                <w:szCs w:val="15"/>
                <w:lang w:val="en-CA"/>
              </w:rPr>
              <w:t>prostate</w:t>
            </w:r>
            <w:r w:rsidR="00051776" w:rsidRPr="00F1762B">
              <w:rPr>
                <w:sz w:val="15"/>
                <w:szCs w:val="15"/>
                <w:lang w:val="en-CA"/>
              </w:rPr>
              <w:t xml:space="preserve"> </w:t>
            </w:r>
            <w:r w:rsidRPr="00F1762B">
              <w:rPr>
                <w:sz w:val="15"/>
                <w:szCs w:val="15"/>
                <w:lang w:val="en-CA"/>
              </w:rPr>
              <w:t>cancers</w:t>
            </w:r>
          </w:p>
        </w:tc>
        <w:tc>
          <w:tcPr>
            <w:tcW w:w="785" w:type="pct"/>
          </w:tcPr>
          <w:p w14:paraId="01408CAE" w14:textId="3B75102E" w:rsidR="008721DE" w:rsidRPr="00F1762B" w:rsidRDefault="008721DE" w:rsidP="00E05BB0">
            <w:pPr>
              <w:rPr>
                <w:sz w:val="15"/>
                <w:szCs w:val="15"/>
              </w:rPr>
            </w:pPr>
            <w:r w:rsidRPr="00F1762B">
              <w:rPr>
                <w:sz w:val="15"/>
                <w:szCs w:val="15"/>
              </w:rPr>
              <w:t xml:space="preserve">Adjusted for age, </w:t>
            </w:r>
            <w:r w:rsidR="00B35CC0">
              <w:rPr>
                <w:sz w:val="15"/>
                <w:szCs w:val="15"/>
              </w:rPr>
              <w:t>body mass index</w:t>
            </w:r>
            <w:r w:rsidRPr="00F1762B">
              <w:rPr>
                <w:sz w:val="15"/>
                <w:szCs w:val="15"/>
              </w:rPr>
              <w:t>, smoking status, excessive alcohol use, HbA1c, duration of treated diabetes, comedications, use of other antidiabetic medications, ever use of oral contraceptives, hormone replacement therapy, and previous mammography screening</w:t>
            </w:r>
          </w:p>
        </w:tc>
        <w:tc>
          <w:tcPr>
            <w:tcW w:w="307" w:type="pct"/>
          </w:tcPr>
          <w:p w14:paraId="2461B0C6" w14:textId="77617661" w:rsidR="008721DE" w:rsidRPr="00F1762B" w:rsidRDefault="008721DE" w:rsidP="00E05BB0">
            <w:pPr>
              <w:rPr>
                <w:sz w:val="15"/>
                <w:szCs w:val="15"/>
                <w:lang w:val="en-CA"/>
              </w:rPr>
            </w:pPr>
            <w:r w:rsidRPr="00F1762B">
              <w:rPr>
                <w:rFonts w:ascii="Calibri" w:hAnsi="Calibri"/>
                <w:sz w:val="15"/>
                <w:szCs w:val="15"/>
              </w:rPr>
              <w:t>Low</w:t>
            </w:r>
          </w:p>
        </w:tc>
        <w:tc>
          <w:tcPr>
            <w:tcW w:w="204" w:type="pct"/>
          </w:tcPr>
          <w:p w14:paraId="4A042D42" w14:textId="126B5D67" w:rsidR="008721DE" w:rsidRPr="00F1762B" w:rsidRDefault="008721DE" w:rsidP="00E05BB0">
            <w:pPr>
              <w:rPr>
                <w:rFonts w:ascii="Calibri" w:hAnsi="Calibri"/>
                <w:sz w:val="15"/>
                <w:szCs w:val="15"/>
              </w:rPr>
            </w:pPr>
            <w:r w:rsidRPr="00F1762B">
              <w:rPr>
                <w:rFonts w:ascii="Calibri" w:hAnsi="Calibri"/>
                <w:sz w:val="15"/>
                <w:szCs w:val="15"/>
              </w:rPr>
              <w:t>8</w:t>
            </w:r>
          </w:p>
        </w:tc>
      </w:tr>
      <w:tr w:rsidR="00B7487B" w:rsidRPr="00F1762B" w14:paraId="464CC27D" w14:textId="1D491B63" w:rsidTr="00F1762B">
        <w:tc>
          <w:tcPr>
            <w:tcW w:w="517" w:type="pct"/>
          </w:tcPr>
          <w:p w14:paraId="09CFB271" w14:textId="76F75495" w:rsidR="008721DE" w:rsidRPr="00F1762B" w:rsidRDefault="008721DE" w:rsidP="00E05BB0">
            <w:pPr>
              <w:rPr>
                <w:sz w:val="15"/>
                <w:szCs w:val="15"/>
                <w:lang w:val="en-CA"/>
              </w:rPr>
            </w:pPr>
            <w:r w:rsidRPr="00F1762B">
              <w:rPr>
                <w:rFonts w:ascii="Calibri" w:hAnsi="Calibri"/>
                <w:sz w:val="15"/>
                <w:szCs w:val="15"/>
              </w:rPr>
              <w:t>Tseng 2014b</w:t>
            </w:r>
          </w:p>
        </w:tc>
        <w:tc>
          <w:tcPr>
            <w:tcW w:w="447" w:type="pct"/>
          </w:tcPr>
          <w:p w14:paraId="7FFD4ABA" w14:textId="44723CFA" w:rsidR="008721DE" w:rsidRPr="00F1762B" w:rsidRDefault="008721DE" w:rsidP="00E05BB0">
            <w:pPr>
              <w:rPr>
                <w:sz w:val="15"/>
                <w:szCs w:val="15"/>
                <w:lang w:val="en-CA"/>
              </w:rPr>
            </w:pPr>
            <w:r w:rsidRPr="00F1762B">
              <w:rPr>
                <w:rFonts w:ascii="Calibri" w:hAnsi="Calibri"/>
                <w:sz w:val="15"/>
                <w:szCs w:val="15"/>
              </w:rPr>
              <w:t>Taiwan; population-based</w:t>
            </w:r>
          </w:p>
        </w:tc>
        <w:tc>
          <w:tcPr>
            <w:tcW w:w="491" w:type="pct"/>
          </w:tcPr>
          <w:p w14:paraId="3328ABD2" w14:textId="1D693C20" w:rsidR="008721DE" w:rsidRPr="00F1762B" w:rsidRDefault="008721DE" w:rsidP="00E05BB0">
            <w:pPr>
              <w:rPr>
                <w:sz w:val="15"/>
                <w:szCs w:val="15"/>
              </w:rPr>
            </w:pPr>
            <w:r w:rsidRPr="00F1762B">
              <w:rPr>
                <w:sz w:val="15"/>
                <w:szCs w:val="15"/>
              </w:rPr>
              <w:t>1998 to 2009; NA</w:t>
            </w:r>
          </w:p>
        </w:tc>
        <w:tc>
          <w:tcPr>
            <w:tcW w:w="620" w:type="pct"/>
          </w:tcPr>
          <w:p w14:paraId="3A5460A5" w14:textId="501F9C07" w:rsidR="008721DE" w:rsidRPr="00F1762B" w:rsidRDefault="008721DE" w:rsidP="00E05BB0">
            <w:pPr>
              <w:rPr>
                <w:sz w:val="15"/>
                <w:szCs w:val="15"/>
              </w:rPr>
            </w:pPr>
            <w:r w:rsidRPr="00F1762B">
              <w:rPr>
                <w:sz w:val="15"/>
                <w:szCs w:val="15"/>
              </w:rPr>
              <w:t>40+; 57.1 (10.6) in ever-users of metformin; 62.6 (12.4) in never-users of metformin;</w:t>
            </w:r>
          </w:p>
        </w:tc>
        <w:tc>
          <w:tcPr>
            <w:tcW w:w="620" w:type="pct"/>
          </w:tcPr>
          <w:p w14:paraId="520C6D1C" w14:textId="6E67D788" w:rsidR="008721DE" w:rsidRPr="00F1762B" w:rsidRDefault="008721DE" w:rsidP="00E05BB0">
            <w:pPr>
              <w:rPr>
                <w:sz w:val="15"/>
                <w:szCs w:val="15"/>
                <w:lang w:val="en-CA"/>
              </w:rPr>
            </w:pPr>
            <w:r w:rsidRPr="00F1762B">
              <w:rPr>
                <w:sz w:val="15"/>
                <w:szCs w:val="15"/>
                <w:lang w:val="en-CA"/>
              </w:rPr>
              <w:t>100.0</w:t>
            </w:r>
          </w:p>
        </w:tc>
        <w:tc>
          <w:tcPr>
            <w:tcW w:w="537" w:type="pct"/>
          </w:tcPr>
          <w:p w14:paraId="41C2BCD7" w14:textId="67B19813" w:rsidR="008721DE" w:rsidRPr="00F1762B" w:rsidRDefault="008721DE" w:rsidP="00E05BB0">
            <w:pPr>
              <w:rPr>
                <w:sz w:val="15"/>
                <w:szCs w:val="15"/>
                <w:lang w:val="en-CA"/>
              </w:rPr>
            </w:pPr>
            <w:r w:rsidRPr="00F1762B">
              <w:rPr>
                <w:sz w:val="15"/>
                <w:szCs w:val="15"/>
                <w:lang w:val="en-CA"/>
              </w:rPr>
              <w:t>Class 1, metformin vs no use of metformin</w:t>
            </w:r>
          </w:p>
        </w:tc>
        <w:tc>
          <w:tcPr>
            <w:tcW w:w="471" w:type="pct"/>
          </w:tcPr>
          <w:p w14:paraId="66D34CA2" w14:textId="77C8944A" w:rsidR="008721DE" w:rsidRPr="00F1762B" w:rsidRDefault="00051776" w:rsidP="00E05BB0">
            <w:pPr>
              <w:rPr>
                <w:sz w:val="15"/>
                <w:szCs w:val="15"/>
                <w:lang w:val="en-CA"/>
              </w:rPr>
            </w:pPr>
            <w:r w:rsidRPr="00F1762B">
              <w:rPr>
                <w:sz w:val="15"/>
                <w:szCs w:val="15"/>
                <w:lang w:val="en-CA"/>
              </w:rPr>
              <w:t>Prostate cancer</w:t>
            </w:r>
          </w:p>
        </w:tc>
        <w:tc>
          <w:tcPr>
            <w:tcW w:w="785" w:type="pct"/>
          </w:tcPr>
          <w:p w14:paraId="532FDC76" w14:textId="01BB7809" w:rsidR="008721DE" w:rsidRPr="00F1762B" w:rsidRDefault="008721DE" w:rsidP="00E05BB0">
            <w:pPr>
              <w:rPr>
                <w:sz w:val="15"/>
                <w:szCs w:val="15"/>
              </w:rPr>
            </w:pPr>
            <w:r w:rsidRPr="00F1762B">
              <w:rPr>
                <w:sz w:val="15"/>
                <w:szCs w:val="15"/>
              </w:rPr>
              <w:t>Propensity score adjusted for age, major comorbidities, diabetes-related complications, urinary tract disease, benign prostatic hyperplasia, other cancers, commonly used medications, other diabetes medications, aspirin, anticoagulants, non-steroidal anti-inflammatory drugs, and prostate</w:t>
            </w:r>
            <w:r w:rsidR="0022050A">
              <w:rPr>
                <w:sz w:val="15"/>
                <w:szCs w:val="15"/>
              </w:rPr>
              <w:t xml:space="preserve"> </w:t>
            </w:r>
            <w:r w:rsidRPr="00F1762B">
              <w:rPr>
                <w:sz w:val="15"/>
                <w:szCs w:val="15"/>
              </w:rPr>
              <w:t>specific antigen</w:t>
            </w:r>
          </w:p>
        </w:tc>
        <w:tc>
          <w:tcPr>
            <w:tcW w:w="307" w:type="pct"/>
          </w:tcPr>
          <w:p w14:paraId="6E296D23" w14:textId="44E7227C" w:rsidR="008721DE" w:rsidRPr="00F1762B" w:rsidRDefault="008721DE" w:rsidP="00E05BB0">
            <w:pPr>
              <w:rPr>
                <w:sz w:val="15"/>
                <w:szCs w:val="15"/>
                <w:lang w:val="en-CA"/>
              </w:rPr>
            </w:pPr>
            <w:r w:rsidRPr="00F1762B">
              <w:rPr>
                <w:rFonts w:ascii="Calibri" w:hAnsi="Calibri"/>
                <w:sz w:val="15"/>
                <w:szCs w:val="15"/>
              </w:rPr>
              <w:t>Low</w:t>
            </w:r>
          </w:p>
        </w:tc>
        <w:tc>
          <w:tcPr>
            <w:tcW w:w="204" w:type="pct"/>
          </w:tcPr>
          <w:p w14:paraId="18AC79B6" w14:textId="3BEAEC1E" w:rsidR="008721DE" w:rsidRPr="00F1762B" w:rsidRDefault="008721DE" w:rsidP="00E05BB0">
            <w:pPr>
              <w:rPr>
                <w:rFonts w:ascii="Calibri" w:hAnsi="Calibri"/>
                <w:sz w:val="15"/>
                <w:szCs w:val="15"/>
              </w:rPr>
            </w:pPr>
            <w:r w:rsidRPr="00F1762B">
              <w:rPr>
                <w:rFonts w:ascii="Calibri" w:hAnsi="Calibri"/>
                <w:sz w:val="15"/>
                <w:szCs w:val="15"/>
              </w:rPr>
              <w:t>8</w:t>
            </w:r>
          </w:p>
        </w:tc>
      </w:tr>
      <w:tr w:rsidR="00B7487B" w:rsidRPr="00F1762B" w14:paraId="23C2B483" w14:textId="2BC5FF4E" w:rsidTr="00F1762B">
        <w:tc>
          <w:tcPr>
            <w:tcW w:w="517" w:type="pct"/>
          </w:tcPr>
          <w:p w14:paraId="7FA837E9" w14:textId="626B28E6" w:rsidR="008721DE" w:rsidRPr="00F1762B" w:rsidRDefault="008721DE" w:rsidP="00E05BB0">
            <w:pPr>
              <w:rPr>
                <w:sz w:val="15"/>
                <w:szCs w:val="15"/>
                <w:lang w:val="en-CA"/>
              </w:rPr>
            </w:pPr>
            <w:r w:rsidRPr="00F1762B">
              <w:rPr>
                <w:rFonts w:ascii="Calibri" w:hAnsi="Calibri"/>
                <w:sz w:val="15"/>
                <w:szCs w:val="15"/>
              </w:rPr>
              <w:t>Gokhale 2014</w:t>
            </w:r>
          </w:p>
        </w:tc>
        <w:tc>
          <w:tcPr>
            <w:tcW w:w="447" w:type="pct"/>
          </w:tcPr>
          <w:p w14:paraId="7375D7E8" w14:textId="6D9A1218" w:rsidR="008721DE" w:rsidRPr="00F1762B" w:rsidRDefault="008721DE" w:rsidP="00E05BB0">
            <w:pPr>
              <w:rPr>
                <w:sz w:val="15"/>
                <w:szCs w:val="15"/>
                <w:lang w:val="en-CA"/>
              </w:rPr>
            </w:pPr>
            <w:r w:rsidRPr="00F1762B">
              <w:rPr>
                <w:rFonts w:ascii="Calibri" w:hAnsi="Calibri"/>
                <w:sz w:val="15"/>
                <w:szCs w:val="15"/>
              </w:rPr>
              <w:t>United States; population-based</w:t>
            </w:r>
          </w:p>
        </w:tc>
        <w:tc>
          <w:tcPr>
            <w:tcW w:w="491" w:type="pct"/>
          </w:tcPr>
          <w:p w14:paraId="270C237B" w14:textId="41B55D23" w:rsidR="008721DE" w:rsidRPr="00F1762B" w:rsidRDefault="008721DE" w:rsidP="00E05BB0">
            <w:pPr>
              <w:rPr>
                <w:sz w:val="15"/>
                <w:szCs w:val="15"/>
              </w:rPr>
            </w:pPr>
            <w:r w:rsidRPr="00F1762B">
              <w:rPr>
                <w:sz w:val="15"/>
                <w:szCs w:val="15"/>
              </w:rPr>
              <w:t>2007 to 2011; median 10 months (IQR: 5, 18 months)</w:t>
            </w:r>
          </w:p>
          <w:p w14:paraId="0AE8DFA3" w14:textId="77777777" w:rsidR="008721DE" w:rsidRPr="00F1762B" w:rsidRDefault="008721DE" w:rsidP="00E05BB0">
            <w:pPr>
              <w:rPr>
                <w:sz w:val="15"/>
                <w:szCs w:val="15"/>
                <w:lang w:val="en-CA"/>
              </w:rPr>
            </w:pPr>
          </w:p>
        </w:tc>
        <w:tc>
          <w:tcPr>
            <w:tcW w:w="620" w:type="pct"/>
          </w:tcPr>
          <w:p w14:paraId="22D82989" w14:textId="6CB16D9A" w:rsidR="008721DE" w:rsidRPr="00F1762B" w:rsidRDefault="008721DE" w:rsidP="00E05BB0">
            <w:pPr>
              <w:rPr>
                <w:sz w:val="15"/>
                <w:szCs w:val="15"/>
                <w:lang w:val="en-CA"/>
              </w:rPr>
            </w:pPr>
            <w:r w:rsidRPr="00F1762B">
              <w:rPr>
                <w:sz w:val="15"/>
                <w:szCs w:val="15"/>
                <w:lang w:val="en-CA"/>
              </w:rPr>
              <w:t>65+; mean 75.0</w:t>
            </w:r>
          </w:p>
        </w:tc>
        <w:tc>
          <w:tcPr>
            <w:tcW w:w="620" w:type="pct"/>
          </w:tcPr>
          <w:p w14:paraId="59BE44E2" w14:textId="59525267" w:rsidR="008721DE" w:rsidRPr="00F1762B" w:rsidRDefault="008721DE" w:rsidP="00E05BB0">
            <w:pPr>
              <w:rPr>
                <w:sz w:val="15"/>
                <w:szCs w:val="15"/>
                <w:lang w:val="en-CA"/>
              </w:rPr>
            </w:pPr>
            <w:r w:rsidRPr="00F1762B">
              <w:rPr>
                <w:sz w:val="15"/>
                <w:szCs w:val="15"/>
                <w:lang w:val="en-CA"/>
              </w:rPr>
              <w:t>35.0</w:t>
            </w:r>
          </w:p>
        </w:tc>
        <w:tc>
          <w:tcPr>
            <w:tcW w:w="537" w:type="pct"/>
          </w:tcPr>
          <w:p w14:paraId="73658351" w14:textId="0DEFD338" w:rsidR="008721DE" w:rsidRPr="00F1762B" w:rsidRDefault="008721DE" w:rsidP="00E05BB0">
            <w:pPr>
              <w:rPr>
                <w:sz w:val="15"/>
                <w:szCs w:val="15"/>
                <w:lang w:val="en-CA"/>
              </w:rPr>
            </w:pPr>
            <w:r w:rsidRPr="00F1762B">
              <w:rPr>
                <w:sz w:val="15"/>
                <w:szCs w:val="15"/>
                <w:lang w:val="en-CA"/>
              </w:rPr>
              <w:t>Class 2, dipeptidyl peptidase-4</w:t>
            </w:r>
            <w:r w:rsidRPr="00F1762B">
              <w:rPr>
                <w:sz w:val="15"/>
                <w:szCs w:val="15"/>
              </w:rPr>
              <w:t xml:space="preserve"> inhibitors vs </w:t>
            </w:r>
            <w:r w:rsidRPr="00F1762B">
              <w:rPr>
                <w:sz w:val="15"/>
                <w:szCs w:val="15"/>
                <w:lang w:val="en-CA"/>
              </w:rPr>
              <w:t>sulfonylureas or thiazolidinediones</w:t>
            </w:r>
          </w:p>
        </w:tc>
        <w:tc>
          <w:tcPr>
            <w:tcW w:w="471" w:type="pct"/>
          </w:tcPr>
          <w:p w14:paraId="186BA5E0" w14:textId="64EDD996" w:rsidR="008721DE" w:rsidRPr="00F1762B" w:rsidRDefault="00051776" w:rsidP="00E05BB0">
            <w:pPr>
              <w:rPr>
                <w:sz w:val="15"/>
                <w:szCs w:val="15"/>
                <w:lang w:val="en-CA"/>
              </w:rPr>
            </w:pPr>
            <w:r w:rsidRPr="00F1762B">
              <w:rPr>
                <w:sz w:val="15"/>
                <w:szCs w:val="15"/>
                <w:lang w:val="en-CA"/>
              </w:rPr>
              <w:t>Pancreatic cancer</w:t>
            </w:r>
          </w:p>
        </w:tc>
        <w:tc>
          <w:tcPr>
            <w:tcW w:w="785" w:type="pct"/>
          </w:tcPr>
          <w:p w14:paraId="74C74821" w14:textId="4083E184" w:rsidR="008721DE" w:rsidRPr="00F1762B" w:rsidRDefault="008721DE" w:rsidP="00E05BB0">
            <w:pPr>
              <w:rPr>
                <w:sz w:val="15"/>
                <w:szCs w:val="15"/>
              </w:rPr>
            </w:pPr>
            <w:r w:rsidRPr="00F1762B">
              <w:rPr>
                <w:sz w:val="15"/>
                <w:szCs w:val="15"/>
              </w:rPr>
              <w:t>Propensity score weighted for comorbidities and health care utilization</w:t>
            </w:r>
          </w:p>
        </w:tc>
        <w:tc>
          <w:tcPr>
            <w:tcW w:w="307" w:type="pct"/>
          </w:tcPr>
          <w:p w14:paraId="1C271E50" w14:textId="3E05612B" w:rsidR="008721DE" w:rsidRPr="00F1762B" w:rsidRDefault="008721DE" w:rsidP="00E05BB0">
            <w:pPr>
              <w:rPr>
                <w:sz w:val="15"/>
                <w:szCs w:val="15"/>
                <w:lang w:val="en-CA"/>
              </w:rPr>
            </w:pPr>
            <w:r w:rsidRPr="00F1762B">
              <w:rPr>
                <w:rFonts w:ascii="Calibri" w:hAnsi="Calibri"/>
                <w:sz w:val="15"/>
                <w:szCs w:val="15"/>
              </w:rPr>
              <w:t>Low</w:t>
            </w:r>
          </w:p>
        </w:tc>
        <w:tc>
          <w:tcPr>
            <w:tcW w:w="204" w:type="pct"/>
          </w:tcPr>
          <w:p w14:paraId="65E0120D" w14:textId="3E71217A" w:rsidR="008721DE" w:rsidRPr="00F1762B" w:rsidRDefault="008721DE" w:rsidP="00E05BB0">
            <w:pPr>
              <w:rPr>
                <w:rFonts w:ascii="Calibri" w:hAnsi="Calibri"/>
                <w:sz w:val="15"/>
                <w:szCs w:val="15"/>
              </w:rPr>
            </w:pPr>
            <w:r w:rsidRPr="00F1762B">
              <w:rPr>
                <w:rFonts w:ascii="Calibri" w:hAnsi="Calibri"/>
                <w:sz w:val="15"/>
                <w:szCs w:val="15"/>
              </w:rPr>
              <w:t>7</w:t>
            </w:r>
          </w:p>
        </w:tc>
      </w:tr>
      <w:tr w:rsidR="00B7487B" w:rsidRPr="00F1762B" w14:paraId="5D5396AC" w14:textId="602157D5" w:rsidTr="00F1762B">
        <w:tc>
          <w:tcPr>
            <w:tcW w:w="517" w:type="pct"/>
          </w:tcPr>
          <w:p w14:paraId="15486AE9" w14:textId="3D025D98" w:rsidR="008721DE" w:rsidRPr="00F1762B" w:rsidRDefault="008721DE" w:rsidP="00E05BB0">
            <w:pPr>
              <w:rPr>
                <w:sz w:val="15"/>
                <w:szCs w:val="15"/>
                <w:lang w:val="en-CA"/>
              </w:rPr>
            </w:pPr>
            <w:r w:rsidRPr="00F1762B">
              <w:rPr>
                <w:rFonts w:ascii="Calibri" w:hAnsi="Calibri"/>
                <w:sz w:val="15"/>
                <w:szCs w:val="15"/>
              </w:rPr>
              <w:t>Tsilidis 2014</w:t>
            </w:r>
          </w:p>
        </w:tc>
        <w:tc>
          <w:tcPr>
            <w:tcW w:w="447" w:type="pct"/>
          </w:tcPr>
          <w:p w14:paraId="163A2D76" w14:textId="4AB5034D" w:rsidR="008721DE" w:rsidRPr="00F1762B" w:rsidRDefault="008721DE" w:rsidP="00E05BB0">
            <w:pPr>
              <w:rPr>
                <w:sz w:val="15"/>
                <w:szCs w:val="15"/>
                <w:lang w:val="en-CA"/>
              </w:rPr>
            </w:pPr>
            <w:r w:rsidRPr="00F1762B">
              <w:rPr>
                <w:rFonts w:ascii="Calibri" w:hAnsi="Calibri"/>
                <w:sz w:val="15"/>
                <w:szCs w:val="15"/>
              </w:rPr>
              <w:t>United Kingdom; population-based</w:t>
            </w:r>
          </w:p>
        </w:tc>
        <w:tc>
          <w:tcPr>
            <w:tcW w:w="491" w:type="pct"/>
          </w:tcPr>
          <w:p w14:paraId="50EEBFEA" w14:textId="4F8206CF" w:rsidR="008721DE" w:rsidRPr="00F1762B" w:rsidRDefault="008721DE" w:rsidP="00E05BB0">
            <w:pPr>
              <w:rPr>
                <w:rFonts w:ascii="Calibri" w:hAnsi="Calibri"/>
                <w:sz w:val="15"/>
                <w:szCs w:val="15"/>
              </w:rPr>
            </w:pPr>
            <w:r w:rsidRPr="00F1762B">
              <w:rPr>
                <w:rFonts w:ascii="Calibri" w:hAnsi="Calibri"/>
                <w:sz w:val="15"/>
                <w:szCs w:val="15"/>
              </w:rPr>
              <w:t>1987 to 2010; median 5.1</w:t>
            </w:r>
          </w:p>
        </w:tc>
        <w:tc>
          <w:tcPr>
            <w:tcW w:w="620" w:type="pct"/>
          </w:tcPr>
          <w:p w14:paraId="724548C0" w14:textId="2C7B931D" w:rsidR="008721DE" w:rsidRPr="00F1762B" w:rsidRDefault="008721DE" w:rsidP="00E05BB0">
            <w:pPr>
              <w:rPr>
                <w:sz w:val="15"/>
                <w:szCs w:val="15"/>
              </w:rPr>
            </w:pPr>
            <w:r w:rsidRPr="00F1762B">
              <w:rPr>
                <w:sz w:val="15"/>
                <w:szCs w:val="15"/>
              </w:rPr>
              <w:t>35 to 90; 61.1 in users of metformin monotherapy; 65.3 in users of sulfonylurea monotherapy</w:t>
            </w:r>
          </w:p>
        </w:tc>
        <w:tc>
          <w:tcPr>
            <w:tcW w:w="620" w:type="pct"/>
          </w:tcPr>
          <w:p w14:paraId="6704D84C" w14:textId="6B71D15E" w:rsidR="008721DE" w:rsidRPr="00F1762B" w:rsidRDefault="008721DE" w:rsidP="00E05BB0">
            <w:pPr>
              <w:rPr>
                <w:sz w:val="15"/>
                <w:szCs w:val="15"/>
              </w:rPr>
            </w:pPr>
            <w:r w:rsidRPr="00F1762B">
              <w:rPr>
                <w:sz w:val="15"/>
                <w:szCs w:val="15"/>
              </w:rPr>
              <w:t>56.1 in users of metformin monotherapy; 57.9 in users of sulfonylurea monotherapy</w:t>
            </w:r>
          </w:p>
        </w:tc>
        <w:tc>
          <w:tcPr>
            <w:tcW w:w="537" w:type="pct"/>
          </w:tcPr>
          <w:p w14:paraId="3FEAC0D6" w14:textId="7F9B2D41" w:rsidR="008721DE" w:rsidRPr="00F1762B" w:rsidRDefault="008721DE" w:rsidP="00E05BB0">
            <w:pPr>
              <w:rPr>
                <w:sz w:val="15"/>
                <w:szCs w:val="15"/>
                <w:lang w:val="en-CA"/>
              </w:rPr>
            </w:pPr>
            <w:r w:rsidRPr="00F1762B">
              <w:rPr>
                <w:sz w:val="15"/>
                <w:szCs w:val="15"/>
                <w:lang w:val="en-CA"/>
              </w:rPr>
              <w:t>Class 1, metformin monotherapy vs sulfonylurea monotherapy</w:t>
            </w:r>
          </w:p>
        </w:tc>
        <w:tc>
          <w:tcPr>
            <w:tcW w:w="471" w:type="pct"/>
          </w:tcPr>
          <w:p w14:paraId="2BF4BACB" w14:textId="696DD8DD" w:rsidR="008721DE" w:rsidRPr="00F1762B" w:rsidRDefault="00051776" w:rsidP="00E05BB0">
            <w:pPr>
              <w:rPr>
                <w:sz w:val="15"/>
                <w:szCs w:val="15"/>
                <w:lang w:val="en-CA"/>
              </w:rPr>
            </w:pPr>
            <w:r w:rsidRPr="00F1762B">
              <w:rPr>
                <w:sz w:val="15"/>
                <w:szCs w:val="15"/>
                <w:lang w:val="en-CA"/>
              </w:rPr>
              <w:t>Breast (</w:t>
            </w:r>
            <w:r w:rsidRPr="00F1762B">
              <w:rPr>
                <w:sz w:val="15"/>
                <w:szCs w:val="15"/>
              </w:rPr>
              <w:t>postmenopausal breast cancer)</w:t>
            </w:r>
            <w:r w:rsidRPr="00F1762B">
              <w:rPr>
                <w:sz w:val="15"/>
                <w:szCs w:val="15"/>
                <w:lang w:val="en-CA"/>
              </w:rPr>
              <w:t xml:space="preserve">, lung, colorectal, prostate, liver, and pancreatic cancers </w:t>
            </w:r>
          </w:p>
        </w:tc>
        <w:tc>
          <w:tcPr>
            <w:tcW w:w="785" w:type="pct"/>
          </w:tcPr>
          <w:p w14:paraId="66AECA8C" w14:textId="14FA8975" w:rsidR="008721DE" w:rsidRPr="00F1762B" w:rsidRDefault="008721DE" w:rsidP="00E05BB0">
            <w:pPr>
              <w:rPr>
                <w:sz w:val="15"/>
                <w:szCs w:val="15"/>
              </w:rPr>
            </w:pPr>
            <w:r w:rsidRPr="00F1762B">
              <w:rPr>
                <w:sz w:val="15"/>
                <w:szCs w:val="15"/>
              </w:rPr>
              <w:t xml:space="preserve">Adjusted for smoking status, </w:t>
            </w:r>
            <w:r w:rsidR="00B35CC0">
              <w:rPr>
                <w:sz w:val="15"/>
                <w:szCs w:val="15"/>
              </w:rPr>
              <w:t>body mass index</w:t>
            </w:r>
            <w:r w:rsidRPr="00F1762B">
              <w:rPr>
                <w:sz w:val="15"/>
                <w:szCs w:val="15"/>
              </w:rPr>
              <w:t>, alcohol consumption, use of aspirin or NSAIDs, statins, diabetes duration, and year of first anti-diabetes prescription</w:t>
            </w:r>
          </w:p>
        </w:tc>
        <w:tc>
          <w:tcPr>
            <w:tcW w:w="307" w:type="pct"/>
          </w:tcPr>
          <w:p w14:paraId="5A9D3DAA" w14:textId="57B16D32" w:rsidR="008721DE" w:rsidRPr="00F1762B" w:rsidRDefault="008721DE" w:rsidP="00E05BB0">
            <w:pPr>
              <w:rPr>
                <w:sz w:val="15"/>
                <w:szCs w:val="15"/>
                <w:lang w:val="en-CA"/>
              </w:rPr>
            </w:pPr>
            <w:r w:rsidRPr="00F1762B">
              <w:rPr>
                <w:rFonts w:ascii="Calibri" w:hAnsi="Calibri"/>
                <w:sz w:val="15"/>
                <w:szCs w:val="15"/>
              </w:rPr>
              <w:t>Low</w:t>
            </w:r>
          </w:p>
        </w:tc>
        <w:tc>
          <w:tcPr>
            <w:tcW w:w="204" w:type="pct"/>
          </w:tcPr>
          <w:p w14:paraId="7A3381C8" w14:textId="151E1259" w:rsidR="008721DE" w:rsidRPr="00F1762B" w:rsidRDefault="008721DE" w:rsidP="00E05BB0">
            <w:pPr>
              <w:rPr>
                <w:rFonts w:ascii="Calibri" w:hAnsi="Calibri"/>
                <w:sz w:val="15"/>
                <w:szCs w:val="15"/>
              </w:rPr>
            </w:pPr>
            <w:r w:rsidRPr="00F1762B">
              <w:rPr>
                <w:rFonts w:ascii="Calibri" w:hAnsi="Calibri"/>
                <w:sz w:val="15"/>
                <w:szCs w:val="15"/>
              </w:rPr>
              <w:t>8</w:t>
            </w:r>
          </w:p>
        </w:tc>
      </w:tr>
      <w:tr w:rsidR="00B7487B" w:rsidRPr="00F1762B" w14:paraId="032988D7" w14:textId="2506DC14" w:rsidTr="00F1762B">
        <w:tc>
          <w:tcPr>
            <w:tcW w:w="517" w:type="pct"/>
          </w:tcPr>
          <w:p w14:paraId="7233BF68" w14:textId="4AA3E506" w:rsidR="008721DE" w:rsidRPr="00F1762B" w:rsidRDefault="008721DE" w:rsidP="00E05BB0">
            <w:pPr>
              <w:rPr>
                <w:sz w:val="15"/>
                <w:szCs w:val="15"/>
                <w:lang w:val="en-CA"/>
              </w:rPr>
            </w:pPr>
            <w:r w:rsidRPr="00F1762B">
              <w:rPr>
                <w:rFonts w:ascii="Calibri" w:hAnsi="Calibri"/>
                <w:sz w:val="15"/>
                <w:szCs w:val="15"/>
              </w:rPr>
              <w:t>Tseng 2014c</w:t>
            </w:r>
          </w:p>
        </w:tc>
        <w:tc>
          <w:tcPr>
            <w:tcW w:w="447" w:type="pct"/>
          </w:tcPr>
          <w:p w14:paraId="4642EF51" w14:textId="1D4C800F" w:rsidR="008721DE" w:rsidRPr="00F1762B" w:rsidRDefault="008721DE" w:rsidP="00E05BB0">
            <w:pPr>
              <w:rPr>
                <w:sz w:val="15"/>
                <w:szCs w:val="15"/>
                <w:lang w:val="en-CA"/>
              </w:rPr>
            </w:pPr>
            <w:r w:rsidRPr="00F1762B">
              <w:rPr>
                <w:rFonts w:ascii="Calibri" w:hAnsi="Calibri"/>
                <w:sz w:val="15"/>
                <w:szCs w:val="15"/>
              </w:rPr>
              <w:t>Taiwan; population-based</w:t>
            </w:r>
          </w:p>
        </w:tc>
        <w:tc>
          <w:tcPr>
            <w:tcW w:w="491" w:type="pct"/>
          </w:tcPr>
          <w:p w14:paraId="10E3DE0E" w14:textId="2DFEC27D" w:rsidR="008721DE" w:rsidRPr="00F1762B" w:rsidRDefault="008721DE" w:rsidP="00E05BB0">
            <w:pPr>
              <w:rPr>
                <w:sz w:val="15"/>
                <w:szCs w:val="15"/>
              </w:rPr>
            </w:pPr>
            <w:r w:rsidRPr="00F1762B">
              <w:rPr>
                <w:sz w:val="15"/>
                <w:szCs w:val="15"/>
              </w:rPr>
              <w:t>1998 to 2009; NA</w:t>
            </w:r>
          </w:p>
        </w:tc>
        <w:tc>
          <w:tcPr>
            <w:tcW w:w="620" w:type="pct"/>
          </w:tcPr>
          <w:p w14:paraId="10CA7A95" w14:textId="618B5BDC" w:rsidR="008721DE" w:rsidRPr="00F1762B" w:rsidRDefault="008721DE" w:rsidP="00E05BB0">
            <w:pPr>
              <w:rPr>
                <w:sz w:val="15"/>
                <w:szCs w:val="15"/>
              </w:rPr>
            </w:pPr>
            <w:r w:rsidRPr="00F1762B">
              <w:rPr>
                <w:sz w:val="15"/>
                <w:szCs w:val="15"/>
              </w:rPr>
              <w:t>NA; 56.5 (12.3) in ever-users of metformin; 54.9 (16.7) in never-users of metformin</w:t>
            </w:r>
          </w:p>
        </w:tc>
        <w:tc>
          <w:tcPr>
            <w:tcW w:w="620" w:type="pct"/>
          </w:tcPr>
          <w:p w14:paraId="42CD6226" w14:textId="2A81B00F" w:rsidR="008721DE" w:rsidRPr="00F1762B" w:rsidRDefault="008721DE" w:rsidP="00E05BB0">
            <w:pPr>
              <w:rPr>
                <w:sz w:val="15"/>
                <w:szCs w:val="15"/>
              </w:rPr>
            </w:pPr>
            <w:r w:rsidRPr="00F1762B">
              <w:rPr>
                <w:sz w:val="15"/>
                <w:szCs w:val="15"/>
              </w:rPr>
              <w:t>NA</w:t>
            </w:r>
          </w:p>
        </w:tc>
        <w:tc>
          <w:tcPr>
            <w:tcW w:w="537" w:type="pct"/>
          </w:tcPr>
          <w:p w14:paraId="5C3B123C" w14:textId="35908842" w:rsidR="008721DE" w:rsidRPr="00F1762B" w:rsidRDefault="008721DE" w:rsidP="00E05BB0">
            <w:pPr>
              <w:rPr>
                <w:sz w:val="15"/>
                <w:szCs w:val="15"/>
                <w:lang w:val="en-CA"/>
              </w:rPr>
            </w:pPr>
            <w:r w:rsidRPr="00F1762B">
              <w:rPr>
                <w:sz w:val="15"/>
                <w:szCs w:val="15"/>
                <w:lang w:val="en-CA"/>
              </w:rPr>
              <w:t>Class 1, metformin vs no use of metformin</w:t>
            </w:r>
          </w:p>
        </w:tc>
        <w:tc>
          <w:tcPr>
            <w:tcW w:w="471" w:type="pct"/>
          </w:tcPr>
          <w:p w14:paraId="61377E1B" w14:textId="3625828F" w:rsidR="008721DE" w:rsidRPr="00F1762B" w:rsidRDefault="00051776" w:rsidP="00E05BB0">
            <w:pPr>
              <w:rPr>
                <w:sz w:val="15"/>
                <w:szCs w:val="15"/>
                <w:lang w:val="en-CA"/>
              </w:rPr>
            </w:pPr>
            <w:r w:rsidRPr="00F1762B">
              <w:rPr>
                <w:sz w:val="15"/>
                <w:szCs w:val="15"/>
                <w:lang w:val="en-CA"/>
              </w:rPr>
              <w:t>Breast cancer</w:t>
            </w:r>
          </w:p>
        </w:tc>
        <w:tc>
          <w:tcPr>
            <w:tcW w:w="785" w:type="pct"/>
          </w:tcPr>
          <w:p w14:paraId="28EDCABF" w14:textId="3FD3B11C" w:rsidR="008721DE" w:rsidRPr="00F1762B" w:rsidRDefault="008721DE" w:rsidP="00E05BB0">
            <w:pPr>
              <w:rPr>
                <w:sz w:val="15"/>
                <w:szCs w:val="15"/>
              </w:rPr>
            </w:pPr>
            <w:r w:rsidRPr="00F1762B">
              <w:rPr>
                <w:sz w:val="15"/>
                <w:szCs w:val="15"/>
                <w:lang w:val="en-CA"/>
              </w:rPr>
              <w:t xml:space="preserve">Adjusted for </w:t>
            </w:r>
            <w:r w:rsidRPr="00F1762B">
              <w:rPr>
                <w:sz w:val="15"/>
                <w:szCs w:val="15"/>
              </w:rPr>
              <w:t>age, major comorbidities, diabetes-related complications, other cancer, commonly used medications, other antidiabetic medications, aspirin, nonsteroidal anti-inflammatory drugs, and anticoagulants</w:t>
            </w:r>
          </w:p>
        </w:tc>
        <w:tc>
          <w:tcPr>
            <w:tcW w:w="307" w:type="pct"/>
          </w:tcPr>
          <w:p w14:paraId="4587BB4E" w14:textId="20798E59" w:rsidR="008721DE" w:rsidRPr="00F1762B" w:rsidRDefault="008721DE" w:rsidP="00E05BB0">
            <w:pPr>
              <w:rPr>
                <w:sz w:val="15"/>
                <w:szCs w:val="15"/>
                <w:lang w:val="en-CA"/>
              </w:rPr>
            </w:pPr>
            <w:r w:rsidRPr="00F1762B">
              <w:rPr>
                <w:rFonts w:ascii="Calibri" w:hAnsi="Calibri"/>
                <w:sz w:val="15"/>
                <w:szCs w:val="15"/>
              </w:rPr>
              <w:t>Low</w:t>
            </w:r>
          </w:p>
        </w:tc>
        <w:tc>
          <w:tcPr>
            <w:tcW w:w="204" w:type="pct"/>
          </w:tcPr>
          <w:p w14:paraId="1335C003" w14:textId="3DB2AFAE" w:rsidR="008721DE" w:rsidRPr="00F1762B" w:rsidRDefault="008721DE" w:rsidP="00E05BB0">
            <w:pPr>
              <w:rPr>
                <w:rFonts w:ascii="Calibri" w:hAnsi="Calibri"/>
                <w:sz w:val="15"/>
                <w:szCs w:val="15"/>
              </w:rPr>
            </w:pPr>
            <w:r w:rsidRPr="00F1762B">
              <w:rPr>
                <w:rFonts w:ascii="Calibri" w:hAnsi="Calibri"/>
                <w:sz w:val="15"/>
                <w:szCs w:val="15"/>
              </w:rPr>
              <w:t>7</w:t>
            </w:r>
          </w:p>
        </w:tc>
      </w:tr>
      <w:tr w:rsidR="00B7487B" w:rsidRPr="00F1762B" w14:paraId="6C6FD051" w14:textId="1013F747" w:rsidTr="00F1762B">
        <w:tc>
          <w:tcPr>
            <w:tcW w:w="517" w:type="pct"/>
          </w:tcPr>
          <w:p w14:paraId="326C94DC" w14:textId="70E72BFE" w:rsidR="008721DE" w:rsidRPr="00F1762B" w:rsidRDefault="008721DE" w:rsidP="00E05BB0">
            <w:pPr>
              <w:rPr>
                <w:sz w:val="15"/>
                <w:szCs w:val="15"/>
                <w:lang w:val="en-CA"/>
              </w:rPr>
            </w:pPr>
            <w:r w:rsidRPr="00F1762B">
              <w:rPr>
                <w:rFonts w:ascii="Calibri" w:hAnsi="Calibri"/>
                <w:sz w:val="15"/>
                <w:szCs w:val="15"/>
              </w:rPr>
              <w:t>Vicentini 2018</w:t>
            </w:r>
          </w:p>
        </w:tc>
        <w:tc>
          <w:tcPr>
            <w:tcW w:w="447" w:type="pct"/>
          </w:tcPr>
          <w:p w14:paraId="0A97922B" w14:textId="1AD9862F" w:rsidR="008721DE" w:rsidRPr="00F1762B" w:rsidRDefault="008721DE" w:rsidP="00E05BB0">
            <w:pPr>
              <w:rPr>
                <w:sz w:val="15"/>
                <w:szCs w:val="15"/>
                <w:lang w:val="en-CA"/>
              </w:rPr>
            </w:pPr>
            <w:r w:rsidRPr="00F1762B">
              <w:rPr>
                <w:rFonts w:ascii="Calibri" w:hAnsi="Calibri"/>
                <w:sz w:val="15"/>
                <w:szCs w:val="15"/>
              </w:rPr>
              <w:t>Italy; population-based</w:t>
            </w:r>
          </w:p>
        </w:tc>
        <w:tc>
          <w:tcPr>
            <w:tcW w:w="491" w:type="pct"/>
          </w:tcPr>
          <w:p w14:paraId="73CF31B7" w14:textId="34A36920" w:rsidR="008721DE" w:rsidRPr="00F1762B" w:rsidRDefault="008721DE" w:rsidP="00E05BB0">
            <w:pPr>
              <w:rPr>
                <w:sz w:val="15"/>
                <w:szCs w:val="15"/>
                <w:lang w:val="en-CA"/>
              </w:rPr>
            </w:pPr>
            <w:r w:rsidRPr="00F1762B">
              <w:rPr>
                <w:sz w:val="15"/>
                <w:szCs w:val="15"/>
                <w:lang w:val="en-CA"/>
              </w:rPr>
              <w:t>2009 to 2014; NA</w:t>
            </w:r>
          </w:p>
        </w:tc>
        <w:tc>
          <w:tcPr>
            <w:tcW w:w="620" w:type="pct"/>
          </w:tcPr>
          <w:p w14:paraId="6EB33F3A" w14:textId="045A37BB" w:rsidR="008721DE" w:rsidRPr="00F1762B" w:rsidRDefault="008721DE" w:rsidP="00E05BB0">
            <w:pPr>
              <w:rPr>
                <w:sz w:val="15"/>
                <w:szCs w:val="15"/>
              </w:rPr>
            </w:pPr>
            <w:r w:rsidRPr="00F1762B">
              <w:rPr>
                <w:sz w:val="15"/>
                <w:szCs w:val="15"/>
              </w:rPr>
              <w:t>20 to 84; 66.1 (11.1)</w:t>
            </w:r>
          </w:p>
        </w:tc>
        <w:tc>
          <w:tcPr>
            <w:tcW w:w="620" w:type="pct"/>
          </w:tcPr>
          <w:p w14:paraId="6D8D76C0" w14:textId="18CAA8A2" w:rsidR="008721DE" w:rsidRPr="00F1762B" w:rsidRDefault="008721DE" w:rsidP="00E05BB0">
            <w:pPr>
              <w:rPr>
                <w:sz w:val="15"/>
                <w:szCs w:val="15"/>
                <w:lang w:val="en-CA"/>
              </w:rPr>
            </w:pPr>
            <w:r w:rsidRPr="00F1762B">
              <w:rPr>
                <w:sz w:val="15"/>
                <w:szCs w:val="15"/>
                <w:lang w:val="en-CA"/>
              </w:rPr>
              <w:t>55.6</w:t>
            </w:r>
          </w:p>
        </w:tc>
        <w:tc>
          <w:tcPr>
            <w:tcW w:w="537" w:type="pct"/>
          </w:tcPr>
          <w:p w14:paraId="67118621" w14:textId="69102EA4" w:rsidR="008721DE" w:rsidRPr="00F1762B" w:rsidRDefault="008721DE" w:rsidP="00E05BB0">
            <w:pPr>
              <w:rPr>
                <w:sz w:val="15"/>
                <w:szCs w:val="15"/>
                <w:lang w:val="en-CA"/>
              </w:rPr>
            </w:pPr>
            <w:r w:rsidRPr="00F1762B">
              <w:rPr>
                <w:sz w:val="15"/>
                <w:szCs w:val="15"/>
                <w:lang w:val="en-CA"/>
              </w:rPr>
              <w:t>Class 1, metformin vs untreated diabetes (diet only)</w:t>
            </w:r>
          </w:p>
        </w:tc>
        <w:tc>
          <w:tcPr>
            <w:tcW w:w="471" w:type="pct"/>
          </w:tcPr>
          <w:p w14:paraId="26538CDC" w14:textId="580E6D7B" w:rsidR="008721DE" w:rsidRPr="00F1762B" w:rsidRDefault="00852087" w:rsidP="00E05BB0">
            <w:pPr>
              <w:rPr>
                <w:sz w:val="15"/>
                <w:szCs w:val="15"/>
                <w:lang w:val="en-CA"/>
              </w:rPr>
            </w:pPr>
            <w:r w:rsidRPr="00F1762B">
              <w:rPr>
                <w:sz w:val="15"/>
                <w:szCs w:val="15"/>
                <w:lang w:val="en-CA"/>
              </w:rPr>
              <w:t>Breast, lung, colorectal, prostate, liver, and pancreatic cancers</w:t>
            </w:r>
          </w:p>
        </w:tc>
        <w:tc>
          <w:tcPr>
            <w:tcW w:w="785" w:type="pct"/>
          </w:tcPr>
          <w:p w14:paraId="6E4FAAD6" w14:textId="40A0B13A" w:rsidR="008721DE" w:rsidRPr="00F1762B" w:rsidRDefault="008721DE" w:rsidP="00E05BB0">
            <w:pPr>
              <w:rPr>
                <w:sz w:val="15"/>
                <w:szCs w:val="15"/>
              </w:rPr>
            </w:pPr>
            <w:r w:rsidRPr="00F1762B">
              <w:rPr>
                <w:sz w:val="15"/>
                <w:szCs w:val="15"/>
              </w:rPr>
              <w:t>Adjusted for age, citizenship, and time since diagnosis of diabetes</w:t>
            </w:r>
          </w:p>
        </w:tc>
        <w:tc>
          <w:tcPr>
            <w:tcW w:w="307" w:type="pct"/>
          </w:tcPr>
          <w:p w14:paraId="0159C88F" w14:textId="04652A06" w:rsidR="008721DE" w:rsidRPr="00F1762B" w:rsidRDefault="008721DE" w:rsidP="00E05BB0">
            <w:pPr>
              <w:rPr>
                <w:sz w:val="15"/>
                <w:szCs w:val="15"/>
                <w:lang w:val="en-CA"/>
              </w:rPr>
            </w:pPr>
            <w:r w:rsidRPr="00F1762B">
              <w:rPr>
                <w:rFonts w:ascii="Calibri" w:hAnsi="Calibri"/>
                <w:sz w:val="15"/>
                <w:szCs w:val="15"/>
              </w:rPr>
              <w:t>Moderate</w:t>
            </w:r>
          </w:p>
        </w:tc>
        <w:tc>
          <w:tcPr>
            <w:tcW w:w="204" w:type="pct"/>
          </w:tcPr>
          <w:p w14:paraId="69021D81" w14:textId="0B0A8DC4" w:rsidR="008721DE" w:rsidRPr="00F1762B" w:rsidRDefault="008721DE" w:rsidP="00E05BB0">
            <w:pPr>
              <w:rPr>
                <w:rFonts w:ascii="Calibri" w:hAnsi="Calibri"/>
                <w:sz w:val="15"/>
                <w:szCs w:val="15"/>
              </w:rPr>
            </w:pPr>
            <w:r w:rsidRPr="00F1762B">
              <w:rPr>
                <w:rFonts w:ascii="Calibri" w:hAnsi="Calibri"/>
                <w:sz w:val="15"/>
                <w:szCs w:val="15"/>
              </w:rPr>
              <w:t>6</w:t>
            </w:r>
          </w:p>
        </w:tc>
      </w:tr>
      <w:tr w:rsidR="00B7487B" w:rsidRPr="00F1762B" w14:paraId="59B42B7A" w14:textId="1132DF58" w:rsidTr="00F1762B">
        <w:tc>
          <w:tcPr>
            <w:tcW w:w="517" w:type="pct"/>
          </w:tcPr>
          <w:p w14:paraId="4BD2FC9A" w14:textId="7426A5B1" w:rsidR="008721DE" w:rsidRPr="00F1762B" w:rsidRDefault="008721DE" w:rsidP="00E05BB0">
            <w:pPr>
              <w:rPr>
                <w:sz w:val="15"/>
                <w:szCs w:val="15"/>
                <w:lang w:val="en-CA"/>
              </w:rPr>
            </w:pPr>
            <w:r w:rsidRPr="00F1762B">
              <w:rPr>
                <w:rFonts w:ascii="Calibri" w:hAnsi="Calibri"/>
                <w:sz w:val="15"/>
                <w:szCs w:val="15"/>
              </w:rPr>
              <w:lastRenderedPageBreak/>
              <w:t>Bradley 2018</w:t>
            </w:r>
          </w:p>
        </w:tc>
        <w:tc>
          <w:tcPr>
            <w:tcW w:w="447" w:type="pct"/>
          </w:tcPr>
          <w:p w14:paraId="78318219" w14:textId="25FD7E89" w:rsidR="008721DE" w:rsidRPr="00F1762B" w:rsidRDefault="008721DE" w:rsidP="00E05BB0">
            <w:pPr>
              <w:rPr>
                <w:sz w:val="15"/>
                <w:szCs w:val="15"/>
                <w:lang w:val="en-CA"/>
              </w:rPr>
            </w:pPr>
            <w:r w:rsidRPr="00F1762B">
              <w:rPr>
                <w:rFonts w:ascii="Calibri" w:hAnsi="Calibri"/>
                <w:sz w:val="15"/>
                <w:szCs w:val="15"/>
              </w:rPr>
              <w:t>United States; population-based</w:t>
            </w:r>
          </w:p>
        </w:tc>
        <w:tc>
          <w:tcPr>
            <w:tcW w:w="491" w:type="pct"/>
          </w:tcPr>
          <w:p w14:paraId="1E58F757" w14:textId="745E7A1E" w:rsidR="008721DE" w:rsidRPr="00F1762B" w:rsidRDefault="008721DE" w:rsidP="00E05BB0">
            <w:pPr>
              <w:rPr>
                <w:sz w:val="15"/>
                <w:szCs w:val="15"/>
                <w:lang w:val="en-CA"/>
              </w:rPr>
            </w:pPr>
            <w:r w:rsidRPr="00F1762B">
              <w:rPr>
                <w:sz w:val="15"/>
                <w:szCs w:val="15"/>
              </w:rPr>
              <w:t>1995 to 2012; mean 9.0</w:t>
            </w:r>
          </w:p>
        </w:tc>
        <w:tc>
          <w:tcPr>
            <w:tcW w:w="620" w:type="pct"/>
          </w:tcPr>
          <w:p w14:paraId="56157AA1" w14:textId="2122035C" w:rsidR="008721DE" w:rsidRPr="00F1762B" w:rsidRDefault="008721DE" w:rsidP="00E05BB0">
            <w:pPr>
              <w:rPr>
                <w:sz w:val="15"/>
                <w:szCs w:val="15"/>
              </w:rPr>
            </w:pPr>
            <w:r w:rsidRPr="00F1762B">
              <w:rPr>
                <w:sz w:val="15"/>
                <w:szCs w:val="15"/>
              </w:rPr>
              <w:t>40+; 48.7% of ever users and 69.0% never users of metformin were &gt;60, respectively</w:t>
            </w:r>
          </w:p>
        </w:tc>
        <w:tc>
          <w:tcPr>
            <w:tcW w:w="620" w:type="pct"/>
          </w:tcPr>
          <w:p w14:paraId="2FB0B2C0" w14:textId="6A9821F7" w:rsidR="008721DE" w:rsidRPr="00F1762B" w:rsidRDefault="008721DE" w:rsidP="00E05BB0">
            <w:pPr>
              <w:rPr>
                <w:sz w:val="15"/>
                <w:szCs w:val="15"/>
              </w:rPr>
            </w:pPr>
            <w:r w:rsidRPr="00F1762B">
              <w:rPr>
                <w:sz w:val="15"/>
                <w:szCs w:val="15"/>
              </w:rPr>
              <w:t>53.95; 52.3 in ever users; 55.3 in never users</w:t>
            </w:r>
          </w:p>
          <w:p w14:paraId="110E4AE8" w14:textId="30E7A894" w:rsidR="008721DE" w:rsidRPr="00F1762B" w:rsidRDefault="008721DE" w:rsidP="00E05BB0">
            <w:pPr>
              <w:rPr>
                <w:sz w:val="15"/>
                <w:szCs w:val="15"/>
                <w:lang w:val="en-CA"/>
              </w:rPr>
            </w:pPr>
          </w:p>
        </w:tc>
        <w:tc>
          <w:tcPr>
            <w:tcW w:w="537" w:type="pct"/>
          </w:tcPr>
          <w:p w14:paraId="6C5C66A4" w14:textId="21AE7825" w:rsidR="008721DE" w:rsidRPr="00F1762B" w:rsidRDefault="008721DE" w:rsidP="00E05BB0">
            <w:pPr>
              <w:rPr>
                <w:sz w:val="15"/>
                <w:szCs w:val="15"/>
                <w:lang w:val="en-CA"/>
              </w:rPr>
            </w:pPr>
            <w:r w:rsidRPr="00F1762B">
              <w:rPr>
                <w:sz w:val="15"/>
                <w:szCs w:val="15"/>
                <w:lang w:val="en-CA"/>
              </w:rPr>
              <w:t>Class 1, metformin vs never use of metformin</w:t>
            </w:r>
          </w:p>
        </w:tc>
        <w:tc>
          <w:tcPr>
            <w:tcW w:w="471" w:type="pct"/>
          </w:tcPr>
          <w:p w14:paraId="2FDAA2E8" w14:textId="3A367E1B" w:rsidR="008721DE" w:rsidRPr="00F1762B" w:rsidRDefault="00A54865" w:rsidP="00E05BB0">
            <w:pPr>
              <w:rPr>
                <w:sz w:val="15"/>
                <w:szCs w:val="15"/>
                <w:lang w:val="en-CA"/>
              </w:rPr>
            </w:pPr>
            <w:r w:rsidRPr="00F1762B">
              <w:rPr>
                <w:sz w:val="15"/>
                <w:szCs w:val="15"/>
                <w:lang w:val="en-CA"/>
              </w:rPr>
              <w:t>Colorectal cancer</w:t>
            </w:r>
          </w:p>
        </w:tc>
        <w:tc>
          <w:tcPr>
            <w:tcW w:w="785" w:type="pct"/>
          </w:tcPr>
          <w:p w14:paraId="71A86589" w14:textId="6A7811B0" w:rsidR="008721DE" w:rsidRPr="00F1762B" w:rsidRDefault="008721DE" w:rsidP="00E05BB0">
            <w:pPr>
              <w:rPr>
                <w:sz w:val="15"/>
                <w:szCs w:val="15"/>
              </w:rPr>
            </w:pPr>
            <w:r w:rsidRPr="00F1762B">
              <w:rPr>
                <w:sz w:val="15"/>
                <w:szCs w:val="15"/>
              </w:rPr>
              <w:t xml:space="preserve">Adjusted for gender, race/ethnicity, birth year, diabetes duration, </w:t>
            </w:r>
            <w:r w:rsidR="00B35CC0">
              <w:rPr>
                <w:sz w:val="15"/>
                <w:szCs w:val="15"/>
              </w:rPr>
              <w:t>body mass index</w:t>
            </w:r>
            <w:r w:rsidRPr="00F1762B">
              <w:rPr>
                <w:sz w:val="15"/>
                <w:szCs w:val="15"/>
              </w:rPr>
              <w:t>, alcohol use, smoking status, Charlson comorbidity index, education, income level, creatinine, HbA1c, history of lower endoscopy; first lower endoscopy after baseline (time-varying) and use of other types of diabetes medications (time-varying)</w:t>
            </w:r>
          </w:p>
        </w:tc>
        <w:tc>
          <w:tcPr>
            <w:tcW w:w="307" w:type="pct"/>
          </w:tcPr>
          <w:p w14:paraId="644C2F01" w14:textId="6EA0FDAA" w:rsidR="008721DE" w:rsidRPr="00F1762B" w:rsidRDefault="008721DE" w:rsidP="00E05BB0">
            <w:pPr>
              <w:rPr>
                <w:sz w:val="15"/>
                <w:szCs w:val="15"/>
                <w:lang w:val="en-CA"/>
              </w:rPr>
            </w:pPr>
            <w:r w:rsidRPr="00F1762B">
              <w:rPr>
                <w:rFonts w:ascii="Calibri" w:hAnsi="Calibri"/>
                <w:sz w:val="15"/>
                <w:szCs w:val="15"/>
              </w:rPr>
              <w:t>Low</w:t>
            </w:r>
          </w:p>
        </w:tc>
        <w:tc>
          <w:tcPr>
            <w:tcW w:w="204" w:type="pct"/>
          </w:tcPr>
          <w:p w14:paraId="67AEE1A6" w14:textId="2EED4CBB" w:rsidR="008721DE" w:rsidRPr="00F1762B" w:rsidRDefault="008721DE" w:rsidP="00E05BB0">
            <w:pPr>
              <w:rPr>
                <w:rFonts w:ascii="Calibri" w:hAnsi="Calibri"/>
                <w:sz w:val="15"/>
                <w:szCs w:val="15"/>
              </w:rPr>
            </w:pPr>
            <w:r w:rsidRPr="00F1762B">
              <w:rPr>
                <w:rFonts w:ascii="Calibri" w:hAnsi="Calibri"/>
                <w:sz w:val="15"/>
                <w:szCs w:val="15"/>
              </w:rPr>
              <w:t>8</w:t>
            </w:r>
          </w:p>
        </w:tc>
      </w:tr>
      <w:tr w:rsidR="00B7487B" w:rsidRPr="00F1762B" w14:paraId="06D60627" w14:textId="3B137D5D" w:rsidTr="00F1762B">
        <w:tc>
          <w:tcPr>
            <w:tcW w:w="517" w:type="pct"/>
          </w:tcPr>
          <w:p w14:paraId="4AA87F5F" w14:textId="28B40234" w:rsidR="008721DE" w:rsidRPr="00F1762B" w:rsidRDefault="008721DE" w:rsidP="00E05BB0">
            <w:pPr>
              <w:rPr>
                <w:sz w:val="15"/>
                <w:szCs w:val="15"/>
                <w:lang w:val="en-CA"/>
              </w:rPr>
            </w:pPr>
            <w:r w:rsidRPr="00F1762B">
              <w:rPr>
                <w:rFonts w:ascii="Calibri" w:hAnsi="Calibri"/>
                <w:sz w:val="15"/>
                <w:szCs w:val="15"/>
              </w:rPr>
              <w:t>Tseng 2017a</w:t>
            </w:r>
          </w:p>
        </w:tc>
        <w:tc>
          <w:tcPr>
            <w:tcW w:w="447" w:type="pct"/>
          </w:tcPr>
          <w:p w14:paraId="3D2B2E30" w14:textId="08EC0FDC" w:rsidR="008721DE" w:rsidRPr="00F1762B" w:rsidRDefault="008721DE" w:rsidP="00E05BB0">
            <w:pPr>
              <w:rPr>
                <w:sz w:val="15"/>
                <w:szCs w:val="15"/>
                <w:lang w:val="en-CA"/>
              </w:rPr>
            </w:pPr>
            <w:r w:rsidRPr="00F1762B">
              <w:rPr>
                <w:rFonts w:ascii="Calibri" w:hAnsi="Calibri"/>
                <w:sz w:val="15"/>
                <w:szCs w:val="15"/>
              </w:rPr>
              <w:t>Taiwan; population-based</w:t>
            </w:r>
          </w:p>
        </w:tc>
        <w:tc>
          <w:tcPr>
            <w:tcW w:w="491" w:type="pct"/>
          </w:tcPr>
          <w:p w14:paraId="3C97B6A3" w14:textId="67C42F4C" w:rsidR="008721DE" w:rsidRPr="00F1762B" w:rsidRDefault="008721DE" w:rsidP="00E05BB0">
            <w:pPr>
              <w:rPr>
                <w:sz w:val="15"/>
                <w:szCs w:val="15"/>
              </w:rPr>
            </w:pPr>
            <w:r w:rsidRPr="00F1762B">
              <w:rPr>
                <w:sz w:val="15"/>
                <w:szCs w:val="15"/>
              </w:rPr>
              <w:t>1999 to 2011; NA</w:t>
            </w:r>
          </w:p>
        </w:tc>
        <w:tc>
          <w:tcPr>
            <w:tcW w:w="620" w:type="pct"/>
          </w:tcPr>
          <w:p w14:paraId="234664D5" w14:textId="3C394469" w:rsidR="008721DE" w:rsidRPr="00F1762B" w:rsidRDefault="008721DE" w:rsidP="00E05BB0">
            <w:pPr>
              <w:rPr>
                <w:sz w:val="15"/>
                <w:szCs w:val="15"/>
              </w:rPr>
            </w:pPr>
            <w:r w:rsidRPr="00F1762B">
              <w:rPr>
                <w:sz w:val="15"/>
                <w:szCs w:val="15"/>
              </w:rPr>
              <w:t>25 to 75; 61.4 (10.2) in ever users of metformin; 63.8 (10.4) in never users of metformin</w:t>
            </w:r>
          </w:p>
        </w:tc>
        <w:tc>
          <w:tcPr>
            <w:tcW w:w="620" w:type="pct"/>
          </w:tcPr>
          <w:p w14:paraId="6E4DB29C" w14:textId="7CD1F1C1" w:rsidR="008721DE" w:rsidRPr="00F1762B" w:rsidRDefault="008721DE" w:rsidP="00E05BB0">
            <w:pPr>
              <w:rPr>
                <w:sz w:val="15"/>
                <w:szCs w:val="15"/>
              </w:rPr>
            </w:pPr>
            <w:r w:rsidRPr="00F1762B">
              <w:rPr>
                <w:sz w:val="15"/>
                <w:szCs w:val="15"/>
              </w:rPr>
              <w:t>53.7 in ever-users of metformin; 57.2 in never-users of metformin</w:t>
            </w:r>
          </w:p>
          <w:p w14:paraId="5E96FC25" w14:textId="77777777" w:rsidR="008721DE" w:rsidRPr="00F1762B" w:rsidRDefault="008721DE" w:rsidP="00E05BB0">
            <w:pPr>
              <w:rPr>
                <w:sz w:val="15"/>
                <w:szCs w:val="15"/>
              </w:rPr>
            </w:pPr>
          </w:p>
        </w:tc>
        <w:tc>
          <w:tcPr>
            <w:tcW w:w="537" w:type="pct"/>
          </w:tcPr>
          <w:p w14:paraId="6153FD31" w14:textId="1FC18D4D" w:rsidR="008721DE" w:rsidRPr="00F1762B" w:rsidRDefault="008721DE" w:rsidP="00E05BB0">
            <w:pPr>
              <w:rPr>
                <w:sz w:val="15"/>
                <w:szCs w:val="15"/>
                <w:lang w:val="en-CA"/>
              </w:rPr>
            </w:pPr>
            <w:r w:rsidRPr="00F1762B">
              <w:rPr>
                <w:sz w:val="15"/>
                <w:szCs w:val="15"/>
                <w:lang w:val="en-CA"/>
              </w:rPr>
              <w:t>Class 1, metformin vs no use of metformin</w:t>
            </w:r>
          </w:p>
        </w:tc>
        <w:tc>
          <w:tcPr>
            <w:tcW w:w="471" w:type="pct"/>
          </w:tcPr>
          <w:p w14:paraId="6E253443" w14:textId="5790AD98" w:rsidR="008721DE" w:rsidRPr="00F1762B" w:rsidRDefault="00A54865" w:rsidP="00E05BB0">
            <w:pPr>
              <w:rPr>
                <w:sz w:val="15"/>
                <w:szCs w:val="15"/>
                <w:lang w:val="en-CA"/>
              </w:rPr>
            </w:pPr>
            <w:r w:rsidRPr="00F1762B">
              <w:rPr>
                <w:sz w:val="15"/>
                <w:szCs w:val="15"/>
                <w:lang w:val="en-CA"/>
              </w:rPr>
              <w:t>Lung cancer</w:t>
            </w:r>
          </w:p>
        </w:tc>
        <w:tc>
          <w:tcPr>
            <w:tcW w:w="785" w:type="pct"/>
          </w:tcPr>
          <w:p w14:paraId="2452EB06" w14:textId="35AB78D7" w:rsidR="008721DE" w:rsidRPr="00F1762B" w:rsidRDefault="008721DE" w:rsidP="00E05BB0">
            <w:pPr>
              <w:rPr>
                <w:sz w:val="15"/>
                <w:szCs w:val="15"/>
              </w:rPr>
            </w:pPr>
            <w:r w:rsidRPr="00F1762B">
              <w:rPr>
                <w:sz w:val="15"/>
                <w:szCs w:val="15"/>
                <w:lang w:val="en-CA"/>
              </w:rPr>
              <w:t>Inverse</w:t>
            </w:r>
            <w:r w:rsidRPr="00F1762B">
              <w:rPr>
                <w:sz w:val="15"/>
                <w:szCs w:val="15"/>
              </w:rPr>
              <w:t xml:space="preserve"> probability of treatment weighting using propensity score adjusted for age, sex, occupation, living region, major comorbidities, diabetes-related complications, other antidiabetic drugs, potential risk factors of cancer, medications that are commonly used in diabetes patients and may affect cancer risk</w:t>
            </w:r>
          </w:p>
        </w:tc>
        <w:tc>
          <w:tcPr>
            <w:tcW w:w="307" w:type="pct"/>
          </w:tcPr>
          <w:p w14:paraId="1C0F0240" w14:textId="26689F1A" w:rsidR="008721DE" w:rsidRPr="00F1762B" w:rsidRDefault="008721DE" w:rsidP="00E05BB0">
            <w:pPr>
              <w:rPr>
                <w:sz w:val="15"/>
                <w:szCs w:val="15"/>
                <w:lang w:val="en-CA"/>
              </w:rPr>
            </w:pPr>
            <w:r w:rsidRPr="00F1762B">
              <w:rPr>
                <w:rFonts w:ascii="Calibri" w:hAnsi="Calibri"/>
                <w:sz w:val="15"/>
                <w:szCs w:val="15"/>
              </w:rPr>
              <w:t>Low</w:t>
            </w:r>
          </w:p>
        </w:tc>
        <w:tc>
          <w:tcPr>
            <w:tcW w:w="204" w:type="pct"/>
          </w:tcPr>
          <w:p w14:paraId="75BD2D60" w14:textId="60A56212" w:rsidR="008721DE" w:rsidRPr="00F1762B" w:rsidRDefault="008721DE" w:rsidP="00E05BB0">
            <w:pPr>
              <w:rPr>
                <w:rFonts w:ascii="Calibri" w:hAnsi="Calibri"/>
                <w:sz w:val="15"/>
                <w:szCs w:val="15"/>
              </w:rPr>
            </w:pPr>
            <w:r w:rsidRPr="00F1762B">
              <w:rPr>
                <w:rFonts w:ascii="Calibri" w:hAnsi="Calibri"/>
                <w:sz w:val="15"/>
                <w:szCs w:val="15"/>
              </w:rPr>
              <w:t>8</w:t>
            </w:r>
          </w:p>
        </w:tc>
      </w:tr>
      <w:tr w:rsidR="00B7487B" w:rsidRPr="00F1762B" w14:paraId="3DF3E56A" w14:textId="7582BED9" w:rsidTr="00F1762B">
        <w:tc>
          <w:tcPr>
            <w:tcW w:w="517" w:type="pct"/>
          </w:tcPr>
          <w:p w14:paraId="29FDC2F3" w14:textId="5671CFEA" w:rsidR="008721DE" w:rsidRPr="00F1762B" w:rsidRDefault="008721DE" w:rsidP="00E05BB0">
            <w:pPr>
              <w:rPr>
                <w:sz w:val="15"/>
                <w:szCs w:val="15"/>
                <w:lang w:val="en-CA"/>
              </w:rPr>
            </w:pPr>
            <w:r w:rsidRPr="00F1762B">
              <w:rPr>
                <w:rFonts w:ascii="Calibri" w:hAnsi="Calibri"/>
                <w:sz w:val="15"/>
                <w:szCs w:val="15"/>
              </w:rPr>
              <w:t>Tseng 2017b</w:t>
            </w:r>
          </w:p>
        </w:tc>
        <w:tc>
          <w:tcPr>
            <w:tcW w:w="447" w:type="pct"/>
          </w:tcPr>
          <w:p w14:paraId="072CB2F5" w14:textId="63292657" w:rsidR="008721DE" w:rsidRPr="00F1762B" w:rsidRDefault="008721DE" w:rsidP="00E05BB0">
            <w:pPr>
              <w:rPr>
                <w:sz w:val="15"/>
                <w:szCs w:val="15"/>
                <w:lang w:val="en-CA"/>
              </w:rPr>
            </w:pPr>
            <w:r w:rsidRPr="00F1762B">
              <w:rPr>
                <w:rFonts w:ascii="Calibri" w:hAnsi="Calibri"/>
                <w:sz w:val="15"/>
                <w:szCs w:val="15"/>
              </w:rPr>
              <w:t>Taiwan; population-based</w:t>
            </w:r>
          </w:p>
        </w:tc>
        <w:tc>
          <w:tcPr>
            <w:tcW w:w="491" w:type="pct"/>
          </w:tcPr>
          <w:p w14:paraId="58DA09D7" w14:textId="14F9565D" w:rsidR="008721DE" w:rsidRPr="00F1762B" w:rsidRDefault="008721DE" w:rsidP="00E05BB0">
            <w:pPr>
              <w:rPr>
                <w:sz w:val="15"/>
                <w:szCs w:val="15"/>
                <w:lang w:val="en-CA"/>
              </w:rPr>
            </w:pPr>
            <w:r w:rsidRPr="00F1762B">
              <w:rPr>
                <w:sz w:val="15"/>
                <w:szCs w:val="15"/>
                <w:lang w:val="en-CA"/>
              </w:rPr>
              <w:t>1995 to 2005; median 5.5</w:t>
            </w:r>
          </w:p>
        </w:tc>
        <w:tc>
          <w:tcPr>
            <w:tcW w:w="620" w:type="pct"/>
          </w:tcPr>
          <w:p w14:paraId="3FB856B8" w14:textId="78F81E21" w:rsidR="008721DE" w:rsidRPr="00F1762B" w:rsidRDefault="008721DE" w:rsidP="00E05BB0">
            <w:pPr>
              <w:rPr>
                <w:sz w:val="15"/>
                <w:szCs w:val="15"/>
              </w:rPr>
            </w:pPr>
            <w:r w:rsidRPr="00F1762B">
              <w:rPr>
                <w:sz w:val="15"/>
                <w:szCs w:val="15"/>
              </w:rPr>
              <w:t>25 to 75; 62.0 (10.1)</w:t>
            </w:r>
          </w:p>
        </w:tc>
        <w:tc>
          <w:tcPr>
            <w:tcW w:w="620" w:type="pct"/>
          </w:tcPr>
          <w:p w14:paraId="1DE3B3FA" w14:textId="2C09F8D6" w:rsidR="008721DE" w:rsidRPr="00F1762B" w:rsidRDefault="008721DE" w:rsidP="00E05BB0">
            <w:pPr>
              <w:rPr>
                <w:sz w:val="15"/>
                <w:szCs w:val="15"/>
                <w:lang w:val="en-CA"/>
              </w:rPr>
            </w:pPr>
            <w:r w:rsidRPr="00F1762B">
              <w:rPr>
                <w:sz w:val="15"/>
                <w:szCs w:val="15"/>
                <w:lang w:val="en-CA"/>
              </w:rPr>
              <w:t>54.2</w:t>
            </w:r>
          </w:p>
        </w:tc>
        <w:tc>
          <w:tcPr>
            <w:tcW w:w="537" w:type="pct"/>
          </w:tcPr>
          <w:p w14:paraId="437C3D36" w14:textId="5BDDF652" w:rsidR="008721DE" w:rsidRPr="00F1762B" w:rsidRDefault="008721DE" w:rsidP="00E05BB0">
            <w:pPr>
              <w:rPr>
                <w:sz w:val="15"/>
                <w:szCs w:val="15"/>
                <w:lang w:val="en-CA"/>
              </w:rPr>
            </w:pPr>
            <w:r w:rsidRPr="00F1762B">
              <w:rPr>
                <w:sz w:val="15"/>
                <w:szCs w:val="15"/>
                <w:lang w:val="en-CA"/>
              </w:rPr>
              <w:t>Class 1, metformin vs no use of metformin</w:t>
            </w:r>
          </w:p>
        </w:tc>
        <w:tc>
          <w:tcPr>
            <w:tcW w:w="471" w:type="pct"/>
          </w:tcPr>
          <w:p w14:paraId="10450DB9" w14:textId="64608D9D" w:rsidR="008721DE" w:rsidRPr="00F1762B" w:rsidRDefault="00A54865" w:rsidP="00E05BB0">
            <w:pPr>
              <w:rPr>
                <w:sz w:val="15"/>
                <w:szCs w:val="15"/>
                <w:lang w:val="en-CA"/>
              </w:rPr>
            </w:pPr>
            <w:r w:rsidRPr="00F1762B">
              <w:rPr>
                <w:sz w:val="15"/>
                <w:szCs w:val="15"/>
                <w:lang w:val="en-CA"/>
              </w:rPr>
              <w:t>Colorectal cancer</w:t>
            </w:r>
          </w:p>
        </w:tc>
        <w:tc>
          <w:tcPr>
            <w:tcW w:w="785" w:type="pct"/>
          </w:tcPr>
          <w:p w14:paraId="55B173A0" w14:textId="038D67A0" w:rsidR="008721DE" w:rsidRPr="00F1762B" w:rsidRDefault="008721DE" w:rsidP="00E05BB0">
            <w:pPr>
              <w:rPr>
                <w:sz w:val="15"/>
                <w:szCs w:val="15"/>
              </w:rPr>
            </w:pPr>
            <w:r w:rsidRPr="00F1762B">
              <w:rPr>
                <w:sz w:val="15"/>
                <w:szCs w:val="15"/>
              </w:rPr>
              <w:t>Inverse probability of treatment weighting using propensity score adjusted for age, gender, occupation, region of residence, major comorbidities, diabetes-related complications, antidiabetic drugs, diagnosis possibly associated with cancer risk, medications commonly used for diabetes that may affect cancer risk, and entry date</w:t>
            </w:r>
          </w:p>
          <w:p w14:paraId="442C2229" w14:textId="77777777" w:rsidR="008721DE" w:rsidRPr="00F1762B" w:rsidRDefault="008721DE" w:rsidP="00E05BB0">
            <w:pPr>
              <w:rPr>
                <w:sz w:val="15"/>
                <w:szCs w:val="15"/>
              </w:rPr>
            </w:pPr>
          </w:p>
        </w:tc>
        <w:tc>
          <w:tcPr>
            <w:tcW w:w="307" w:type="pct"/>
          </w:tcPr>
          <w:p w14:paraId="6C276252" w14:textId="6FCA81D3" w:rsidR="008721DE" w:rsidRPr="00F1762B" w:rsidRDefault="008721DE" w:rsidP="00E05BB0">
            <w:pPr>
              <w:rPr>
                <w:sz w:val="15"/>
                <w:szCs w:val="15"/>
                <w:lang w:val="en-CA"/>
              </w:rPr>
            </w:pPr>
            <w:r w:rsidRPr="00F1762B">
              <w:rPr>
                <w:rFonts w:ascii="Calibri" w:hAnsi="Calibri"/>
                <w:sz w:val="15"/>
                <w:szCs w:val="15"/>
              </w:rPr>
              <w:t>Low</w:t>
            </w:r>
          </w:p>
        </w:tc>
        <w:tc>
          <w:tcPr>
            <w:tcW w:w="204" w:type="pct"/>
          </w:tcPr>
          <w:p w14:paraId="33E07827" w14:textId="43B038F6" w:rsidR="008721DE" w:rsidRPr="00F1762B" w:rsidRDefault="008721DE" w:rsidP="00E05BB0">
            <w:pPr>
              <w:rPr>
                <w:rFonts w:ascii="Calibri" w:hAnsi="Calibri"/>
                <w:sz w:val="15"/>
                <w:szCs w:val="15"/>
              </w:rPr>
            </w:pPr>
            <w:r w:rsidRPr="00F1762B">
              <w:rPr>
                <w:rFonts w:ascii="Calibri" w:hAnsi="Calibri"/>
                <w:sz w:val="15"/>
                <w:szCs w:val="15"/>
              </w:rPr>
              <w:t>9</w:t>
            </w:r>
          </w:p>
        </w:tc>
      </w:tr>
      <w:tr w:rsidR="00B7487B" w:rsidRPr="00F1762B" w14:paraId="1A3965A9" w14:textId="456E4A9B" w:rsidTr="00F1762B">
        <w:tc>
          <w:tcPr>
            <w:tcW w:w="517" w:type="pct"/>
          </w:tcPr>
          <w:p w14:paraId="40278C61" w14:textId="6D354E60" w:rsidR="008721DE" w:rsidRPr="00F1762B" w:rsidRDefault="008721DE" w:rsidP="00E05BB0">
            <w:pPr>
              <w:rPr>
                <w:sz w:val="15"/>
                <w:szCs w:val="15"/>
                <w:lang w:val="en-CA"/>
              </w:rPr>
            </w:pPr>
            <w:r w:rsidRPr="00F1762B">
              <w:rPr>
                <w:rFonts w:ascii="Calibri" w:hAnsi="Calibri"/>
                <w:sz w:val="15"/>
                <w:szCs w:val="15"/>
              </w:rPr>
              <w:t>Abrahami 2018</w:t>
            </w:r>
          </w:p>
        </w:tc>
        <w:tc>
          <w:tcPr>
            <w:tcW w:w="447" w:type="pct"/>
          </w:tcPr>
          <w:p w14:paraId="484146CB" w14:textId="3CB0B305" w:rsidR="008721DE" w:rsidRPr="00F1762B" w:rsidRDefault="008721DE" w:rsidP="00E05BB0">
            <w:pPr>
              <w:rPr>
                <w:sz w:val="15"/>
                <w:szCs w:val="15"/>
                <w:lang w:val="en-CA"/>
              </w:rPr>
            </w:pPr>
            <w:r w:rsidRPr="00F1762B">
              <w:rPr>
                <w:rFonts w:ascii="Calibri" w:hAnsi="Calibri"/>
                <w:sz w:val="15"/>
                <w:szCs w:val="15"/>
              </w:rPr>
              <w:t>United Kingdom; population-based</w:t>
            </w:r>
          </w:p>
        </w:tc>
        <w:tc>
          <w:tcPr>
            <w:tcW w:w="491" w:type="pct"/>
          </w:tcPr>
          <w:p w14:paraId="0B45C69F" w14:textId="3A6727CB" w:rsidR="008721DE" w:rsidRPr="00F1762B" w:rsidRDefault="008721DE" w:rsidP="00E05BB0">
            <w:pPr>
              <w:rPr>
                <w:sz w:val="15"/>
                <w:szCs w:val="15"/>
                <w:lang w:val="en-CA"/>
              </w:rPr>
            </w:pPr>
            <w:r w:rsidRPr="00F1762B">
              <w:rPr>
                <w:sz w:val="15"/>
                <w:szCs w:val="15"/>
                <w:lang w:val="en-CA"/>
              </w:rPr>
              <w:t>Up to 9.5 years; NA</w:t>
            </w:r>
          </w:p>
        </w:tc>
        <w:tc>
          <w:tcPr>
            <w:tcW w:w="620" w:type="pct"/>
          </w:tcPr>
          <w:p w14:paraId="1713CCB5" w14:textId="2788D58A" w:rsidR="008721DE" w:rsidRPr="00F1762B" w:rsidRDefault="008721DE" w:rsidP="00E05BB0">
            <w:pPr>
              <w:rPr>
                <w:sz w:val="15"/>
                <w:szCs w:val="15"/>
              </w:rPr>
            </w:pPr>
            <w:r w:rsidRPr="00F1762B">
              <w:rPr>
                <w:sz w:val="15"/>
                <w:szCs w:val="15"/>
              </w:rPr>
              <w:t>NA; 64.0 (12.0)</w:t>
            </w:r>
          </w:p>
          <w:p w14:paraId="0EE17252" w14:textId="77777777" w:rsidR="008721DE" w:rsidRPr="00F1762B" w:rsidRDefault="008721DE" w:rsidP="00E05BB0">
            <w:pPr>
              <w:rPr>
                <w:sz w:val="15"/>
                <w:szCs w:val="15"/>
                <w:lang w:val="en-CA"/>
              </w:rPr>
            </w:pPr>
          </w:p>
        </w:tc>
        <w:tc>
          <w:tcPr>
            <w:tcW w:w="620" w:type="pct"/>
          </w:tcPr>
          <w:p w14:paraId="79EB5BDF" w14:textId="05F1C9A5" w:rsidR="008721DE" w:rsidRPr="00F1762B" w:rsidRDefault="008721DE" w:rsidP="00E05BB0">
            <w:pPr>
              <w:rPr>
                <w:sz w:val="15"/>
                <w:szCs w:val="15"/>
                <w:lang w:val="en-CA"/>
              </w:rPr>
            </w:pPr>
            <w:r w:rsidRPr="00F1762B">
              <w:rPr>
                <w:sz w:val="15"/>
                <w:szCs w:val="15"/>
                <w:lang w:val="en-CA"/>
              </w:rPr>
              <w:t>58.2</w:t>
            </w:r>
          </w:p>
        </w:tc>
        <w:tc>
          <w:tcPr>
            <w:tcW w:w="537" w:type="pct"/>
          </w:tcPr>
          <w:p w14:paraId="269F646D" w14:textId="23240172" w:rsidR="008721DE" w:rsidRPr="00F1762B" w:rsidRDefault="008721DE" w:rsidP="00E05BB0">
            <w:pPr>
              <w:rPr>
                <w:sz w:val="15"/>
                <w:szCs w:val="15"/>
                <w:lang w:val="en-CA"/>
              </w:rPr>
            </w:pPr>
            <w:r w:rsidRPr="00F1762B">
              <w:rPr>
                <w:sz w:val="15"/>
                <w:szCs w:val="15"/>
                <w:lang w:val="en-CA"/>
              </w:rPr>
              <w:t>Class 2,</w:t>
            </w:r>
          </w:p>
          <w:p w14:paraId="2D99C3CD" w14:textId="3A12704E" w:rsidR="008721DE" w:rsidRPr="00F1762B" w:rsidRDefault="008721DE" w:rsidP="00E05BB0">
            <w:pPr>
              <w:rPr>
                <w:sz w:val="15"/>
                <w:szCs w:val="15"/>
              </w:rPr>
            </w:pPr>
            <w:r w:rsidRPr="00F1762B">
              <w:rPr>
                <w:sz w:val="15"/>
                <w:szCs w:val="15"/>
              </w:rPr>
              <w:t>GLP-1 analogues or DPP-4 inhibitors</w:t>
            </w:r>
          </w:p>
          <w:p w14:paraId="55308108" w14:textId="37584583" w:rsidR="008721DE" w:rsidRPr="00F1762B" w:rsidRDefault="008721DE" w:rsidP="00E05BB0">
            <w:pPr>
              <w:rPr>
                <w:sz w:val="15"/>
                <w:szCs w:val="15"/>
                <w:lang w:val="en-CA"/>
              </w:rPr>
            </w:pPr>
            <w:r w:rsidRPr="00F1762B">
              <w:rPr>
                <w:sz w:val="15"/>
                <w:szCs w:val="15"/>
                <w:lang w:val="en-CA"/>
              </w:rPr>
              <w:t>vs use of other diabetes medication(s)</w:t>
            </w:r>
          </w:p>
        </w:tc>
        <w:tc>
          <w:tcPr>
            <w:tcW w:w="471" w:type="pct"/>
          </w:tcPr>
          <w:p w14:paraId="40D2F609" w14:textId="6725A15D" w:rsidR="008721DE" w:rsidRPr="00F1762B" w:rsidRDefault="00A54865" w:rsidP="00E05BB0">
            <w:pPr>
              <w:rPr>
                <w:sz w:val="15"/>
                <w:szCs w:val="15"/>
                <w:lang w:val="en-CA"/>
              </w:rPr>
            </w:pPr>
            <w:r w:rsidRPr="00F1762B">
              <w:rPr>
                <w:sz w:val="15"/>
                <w:szCs w:val="15"/>
                <w:lang w:val="en-CA"/>
              </w:rPr>
              <w:t>Colorectal cancer</w:t>
            </w:r>
          </w:p>
        </w:tc>
        <w:tc>
          <w:tcPr>
            <w:tcW w:w="785" w:type="pct"/>
          </w:tcPr>
          <w:p w14:paraId="32FA36A8" w14:textId="506F76EC" w:rsidR="008721DE" w:rsidRPr="00F1762B" w:rsidRDefault="008721DE" w:rsidP="00E05BB0">
            <w:pPr>
              <w:rPr>
                <w:sz w:val="15"/>
                <w:szCs w:val="15"/>
              </w:rPr>
            </w:pPr>
            <w:r w:rsidRPr="00F1762B">
              <w:rPr>
                <w:sz w:val="15"/>
                <w:szCs w:val="15"/>
                <w:lang w:val="en-CA"/>
              </w:rPr>
              <w:t>Adjusted for</w:t>
            </w:r>
          </w:p>
          <w:p w14:paraId="783580D9" w14:textId="1B4B7205" w:rsidR="008721DE" w:rsidRPr="00F1762B" w:rsidRDefault="008721DE" w:rsidP="00E05BB0">
            <w:pPr>
              <w:rPr>
                <w:sz w:val="15"/>
                <w:szCs w:val="15"/>
              </w:rPr>
            </w:pPr>
            <w:r w:rsidRPr="00F1762B">
              <w:rPr>
                <w:sz w:val="15"/>
                <w:szCs w:val="15"/>
              </w:rPr>
              <w:t xml:space="preserve">age, sex, year of cohort entry, </w:t>
            </w:r>
            <w:r w:rsidR="00B35CC0">
              <w:rPr>
                <w:sz w:val="15"/>
                <w:szCs w:val="15"/>
              </w:rPr>
              <w:t>body mass index</w:t>
            </w:r>
            <w:r w:rsidRPr="00F1762B">
              <w:rPr>
                <w:sz w:val="15"/>
                <w:szCs w:val="15"/>
              </w:rPr>
              <w:t xml:space="preserve">, smoking, alcohol-related disorders (including, e.g., alcoholism, alcoholic cirrhosis of the liver, alcoholic hepatitis, and hepatic failure), hemoglobin A1c, duration of treated diabetes, previous cancer, </w:t>
            </w:r>
            <w:r w:rsidRPr="00F1762B">
              <w:rPr>
                <w:sz w:val="15"/>
                <w:szCs w:val="15"/>
              </w:rPr>
              <w:lastRenderedPageBreak/>
              <w:t>presence of inflammatory bowel disease, Charlson comorbidity score, neuropathy, renal disease, retinopathy, peripheral arteriopathy, aspirin, statins, the number of unique antidiabetic drugs, and the total number of unique nondiabetic drugs in the year before cohort entry</w:t>
            </w:r>
          </w:p>
        </w:tc>
        <w:tc>
          <w:tcPr>
            <w:tcW w:w="307" w:type="pct"/>
          </w:tcPr>
          <w:p w14:paraId="379CECE9" w14:textId="1BC0A42C" w:rsidR="008721DE" w:rsidRPr="00F1762B" w:rsidRDefault="008721DE" w:rsidP="00E05BB0">
            <w:pPr>
              <w:rPr>
                <w:sz w:val="15"/>
                <w:szCs w:val="15"/>
                <w:lang w:val="en-CA"/>
              </w:rPr>
            </w:pPr>
            <w:r w:rsidRPr="00F1762B">
              <w:rPr>
                <w:rFonts w:ascii="Calibri" w:hAnsi="Calibri"/>
                <w:sz w:val="15"/>
                <w:szCs w:val="15"/>
              </w:rPr>
              <w:lastRenderedPageBreak/>
              <w:t>Low</w:t>
            </w:r>
          </w:p>
        </w:tc>
        <w:tc>
          <w:tcPr>
            <w:tcW w:w="204" w:type="pct"/>
          </w:tcPr>
          <w:p w14:paraId="3330FF5D" w14:textId="5A8608D6" w:rsidR="008721DE" w:rsidRPr="00F1762B" w:rsidRDefault="008721DE" w:rsidP="00E05BB0">
            <w:pPr>
              <w:rPr>
                <w:rFonts w:ascii="Calibri" w:hAnsi="Calibri"/>
                <w:sz w:val="15"/>
                <w:szCs w:val="15"/>
              </w:rPr>
            </w:pPr>
            <w:r w:rsidRPr="00F1762B">
              <w:rPr>
                <w:rFonts w:ascii="Calibri" w:hAnsi="Calibri"/>
                <w:sz w:val="15"/>
                <w:szCs w:val="15"/>
              </w:rPr>
              <w:t>9</w:t>
            </w:r>
          </w:p>
        </w:tc>
      </w:tr>
      <w:tr w:rsidR="00B7487B" w:rsidRPr="00F1762B" w14:paraId="7D475F3F" w14:textId="79C17191" w:rsidTr="00F1762B">
        <w:tc>
          <w:tcPr>
            <w:tcW w:w="517" w:type="pct"/>
          </w:tcPr>
          <w:p w14:paraId="736AD30D" w14:textId="4C5C51AB" w:rsidR="008721DE" w:rsidRPr="00F1762B" w:rsidRDefault="008721DE" w:rsidP="00E05BB0">
            <w:pPr>
              <w:rPr>
                <w:sz w:val="15"/>
                <w:szCs w:val="15"/>
                <w:lang w:val="en-CA"/>
              </w:rPr>
            </w:pPr>
            <w:r w:rsidRPr="00F1762B">
              <w:rPr>
                <w:rFonts w:ascii="Calibri" w:hAnsi="Calibri"/>
                <w:sz w:val="15"/>
                <w:szCs w:val="15"/>
              </w:rPr>
              <w:t>Boniol 2018</w:t>
            </w:r>
          </w:p>
        </w:tc>
        <w:tc>
          <w:tcPr>
            <w:tcW w:w="447" w:type="pct"/>
          </w:tcPr>
          <w:p w14:paraId="642FA23D" w14:textId="61D0915E" w:rsidR="008721DE" w:rsidRPr="00F1762B" w:rsidRDefault="008721DE" w:rsidP="00E05BB0">
            <w:pPr>
              <w:rPr>
                <w:sz w:val="15"/>
                <w:szCs w:val="15"/>
                <w:lang w:val="en-CA"/>
              </w:rPr>
            </w:pPr>
            <w:r w:rsidRPr="00F1762B">
              <w:rPr>
                <w:rFonts w:ascii="Calibri" w:hAnsi="Calibri"/>
                <w:sz w:val="15"/>
                <w:szCs w:val="15"/>
              </w:rPr>
              <w:t>Belgium and Italy; population-based</w:t>
            </w:r>
          </w:p>
        </w:tc>
        <w:tc>
          <w:tcPr>
            <w:tcW w:w="491" w:type="pct"/>
          </w:tcPr>
          <w:p w14:paraId="126FFC91" w14:textId="01D10986" w:rsidR="008721DE" w:rsidRPr="00F1762B" w:rsidRDefault="008721DE" w:rsidP="00E05BB0">
            <w:pPr>
              <w:rPr>
                <w:sz w:val="15"/>
                <w:szCs w:val="15"/>
                <w:lang w:val="en-CA"/>
              </w:rPr>
            </w:pPr>
            <w:r w:rsidRPr="00F1762B">
              <w:rPr>
                <w:sz w:val="15"/>
                <w:szCs w:val="15"/>
                <w:lang w:val="en-CA"/>
              </w:rPr>
              <w:t xml:space="preserve">NA; </w:t>
            </w:r>
            <w:r w:rsidRPr="00F1762B">
              <w:rPr>
                <w:sz w:val="15"/>
                <w:szCs w:val="15"/>
              </w:rPr>
              <w:t>Belgium exposed mean 1.81; Belgium unexposed mean 2.83; Italy exposed mean 1.25; Italy unexposed mean 2.55</w:t>
            </w:r>
          </w:p>
        </w:tc>
        <w:tc>
          <w:tcPr>
            <w:tcW w:w="620" w:type="pct"/>
          </w:tcPr>
          <w:p w14:paraId="6D390A8F" w14:textId="2B4C6D48" w:rsidR="008721DE" w:rsidRPr="00F1762B" w:rsidRDefault="008721DE" w:rsidP="00E05BB0">
            <w:pPr>
              <w:rPr>
                <w:sz w:val="15"/>
                <w:szCs w:val="15"/>
              </w:rPr>
            </w:pPr>
            <w:r w:rsidRPr="00F1762B">
              <w:rPr>
                <w:sz w:val="15"/>
                <w:szCs w:val="15"/>
              </w:rPr>
              <w:t>18+; &gt;70% are 50+</w:t>
            </w:r>
          </w:p>
        </w:tc>
        <w:tc>
          <w:tcPr>
            <w:tcW w:w="620" w:type="pct"/>
          </w:tcPr>
          <w:p w14:paraId="4056FF85" w14:textId="5CB278BF" w:rsidR="008721DE" w:rsidRPr="00F1762B" w:rsidRDefault="008721DE" w:rsidP="00E05BB0">
            <w:pPr>
              <w:rPr>
                <w:sz w:val="15"/>
                <w:szCs w:val="15"/>
                <w:lang w:val="en-CA"/>
              </w:rPr>
            </w:pPr>
            <w:r w:rsidRPr="00F1762B">
              <w:rPr>
                <w:sz w:val="15"/>
                <w:szCs w:val="15"/>
                <w:lang w:val="en-CA"/>
              </w:rPr>
              <w:t>49.5</w:t>
            </w:r>
          </w:p>
        </w:tc>
        <w:tc>
          <w:tcPr>
            <w:tcW w:w="537" w:type="pct"/>
          </w:tcPr>
          <w:p w14:paraId="38F64813" w14:textId="2CC84545" w:rsidR="008721DE" w:rsidRPr="00F1762B" w:rsidRDefault="008721DE" w:rsidP="00E05BB0">
            <w:pPr>
              <w:rPr>
                <w:sz w:val="15"/>
                <w:szCs w:val="15"/>
                <w:lang w:val="en-CA"/>
              </w:rPr>
            </w:pPr>
            <w:r w:rsidRPr="00F1762B">
              <w:rPr>
                <w:sz w:val="15"/>
                <w:szCs w:val="15"/>
                <w:lang w:val="en-CA"/>
              </w:rPr>
              <w:t>Class 2, GLP-1 RA (sexenatide and liraglutide) and the DPP-4 inhibitors (sitagliptin, vildagliptin, saxagliptin, alogliptin, and linagliptin) vs noninsulin antidiabetic drug;</w:t>
            </w:r>
          </w:p>
          <w:p w14:paraId="0811C53C" w14:textId="77777777" w:rsidR="008721DE" w:rsidRPr="00F1762B" w:rsidRDefault="008721DE" w:rsidP="00E05BB0">
            <w:pPr>
              <w:rPr>
                <w:sz w:val="15"/>
                <w:szCs w:val="15"/>
                <w:lang w:val="en-CA"/>
              </w:rPr>
            </w:pPr>
          </w:p>
          <w:p w14:paraId="649556A0" w14:textId="285737A5" w:rsidR="008721DE" w:rsidRPr="00F1762B" w:rsidRDefault="008721DE" w:rsidP="00E05BB0">
            <w:pPr>
              <w:rPr>
                <w:sz w:val="15"/>
                <w:szCs w:val="15"/>
                <w:lang w:val="en-CA"/>
              </w:rPr>
            </w:pPr>
            <w:r w:rsidRPr="00F1762B">
              <w:rPr>
                <w:sz w:val="15"/>
                <w:szCs w:val="15"/>
                <w:lang w:val="en-CA"/>
              </w:rPr>
              <w:t>Class 6, insulin vs no prescription of insulin</w:t>
            </w:r>
          </w:p>
        </w:tc>
        <w:tc>
          <w:tcPr>
            <w:tcW w:w="471" w:type="pct"/>
          </w:tcPr>
          <w:p w14:paraId="502912A3" w14:textId="29AC6B1E" w:rsidR="008721DE" w:rsidRPr="00F1762B" w:rsidRDefault="00A54865" w:rsidP="00E05BB0">
            <w:pPr>
              <w:rPr>
                <w:sz w:val="15"/>
                <w:szCs w:val="15"/>
                <w:lang w:val="en-CA"/>
              </w:rPr>
            </w:pPr>
            <w:r w:rsidRPr="00F1762B">
              <w:rPr>
                <w:sz w:val="15"/>
                <w:szCs w:val="15"/>
                <w:lang w:val="en-CA"/>
              </w:rPr>
              <w:t>Pancreatic cancer</w:t>
            </w:r>
          </w:p>
        </w:tc>
        <w:tc>
          <w:tcPr>
            <w:tcW w:w="785" w:type="pct"/>
          </w:tcPr>
          <w:p w14:paraId="52BCE13D" w14:textId="03B42D1B" w:rsidR="008721DE" w:rsidRPr="00F1762B" w:rsidRDefault="008721DE" w:rsidP="00E05BB0">
            <w:pPr>
              <w:rPr>
                <w:sz w:val="15"/>
                <w:szCs w:val="15"/>
                <w:lang w:val="en-CA"/>
              </w:rPr>
            </w:pPr>
            <w:r w:rsidRPr="00F1762B">
              <w:rPr>
                <w:sz w:val="15"/>
                <w:szCs w:val="15"/>
                <w:lang w:val="en-CA"/>
              </w:rPr>
              <w:t>Stratified by age and sex and adjusted for use of insulin</w:t>
            </w:r>
          </w:p>
        </w:tc>
        <w:tc>
          <w:tcPr>
            <w:tcW w:w="307" w:type="pct"/>
          </w:tcPr>
          <w:p w14:paraId="3319BBD3" w14:textId="31AAF498" w:rsidR="008721DE" w:rsidRPr="00F1762B" w:rsidRDefault="008721DE" w:rsidP="00E05BB0">
            <w:pPr>
              <w:rPr>
                <w:sz w:val="15"/>
                <w:szCs w:val="15"/>
                <w:lang w:val="en-CA"/>
              </w:rPr>
            </w:pPr>
            <w:r w:rsidRPr="00F1762B">
              <w:rPr>
                <w:rFonts w:ascii="Calibri" w:hAnsi="Calibri"/>
                <w:sz w:val="15"/>
                <w:szCs w:val="15"/>
              </w:rPr>
              <w:t>Moderate</w:t>
            </w:r>
          </w:p>
        </w:tc>
        <w:tc>
          <w:tcPr>
            <w:tcW w:w="204" w:type="pct"/>
          </w:tcPr>
          <w:p w14:paraId="0D2EBF44" w14:textId="630DE0EB" w:rsidR="008721DE" w:rsidRPr="00F1762B" w:rsidRDefault="008721DE" w:rsidP="00E05BB0">
            <w:pPr>
              <w:rPr>
                <w:rFonts w:ascii="Calibri" w:hAnsi="Calibri"/>
                <w:sz w:val="15"/>
                <w:szCs w:val="15"/>
              </w:rPr>
            </w:pPr>
            <w:r w:rsidRPr="00F1762B">
              <w:rPr>
                <w:rFonts w:ascii="Calibri" w:hAnsi="Calibri"/>
                <w:sz w:val="15"/>
                <w:szCs w:val="15"/>
              </w:rPr>
              <w:t>6</w:t>
            </w:r>
          </w:p>
        </w:tc>
      </w:tr>
      <w:tr w:rsidR="00B7487B" w:rsidRPr="00F1762B" w14:paraId="459F77D4" w14:textId="556C4348" w:rsidTr="00F1762B">
        <w:tc>
          <w:tcPr>
            <w:tcW w:w="517" w:type="pct"/>
          </w:tcPr>
          <w:p w14:paraId="27EF0010" w14:textId="3C97B871" w:rsidR="008721DE" w:rsidRPr="00F1762B" w:rsidRDefault="008721DE" w:rsidP="00E05BB0">
            <w:pPr>
              <w:rPr>
                <w:sz w:val="15"/>
                <w:szCs w:val="15"/>
                <w:lang w:val="en-CA"/>
              </w:rPr>
            </w:pPr>
            <w:r w:rsidRPr="00F1762B">
              <w:rPr>
                <w:rFonts w:ascii="Calibri" w:hAnsi="Calibri"/>
                <w:sz w:val="15"/>
                <w:szCs w:val="15"/>
              </w:rPr>
              <w:t>Tseng 2018a</w:t>
            </w:r>
          </w:p>
        </w:tc>
        <w:tc>
          <w:tcPr>
            <w:tcW w:w="447" w:type="pct"/>
          </w:tcPr>
          <w:p w14:paraId="16E2335E" w14:textId="1965B917" w:rsidR="008721DE" w:rsidRPr="00F1762B" w:rsidRDefault="008721DE" w:rsidP="00E05BB0">
            <w:pPr>
              <w:rPr>
                <w:sz w:val="15"/>
                <w:szCs w:val="15"/>
                <w:lang w:val="en-CA"/>
              </w:rPr>
            </w:pPr>
            <w:r w:rsidRPr="00F1762B">
              <w:rPr>
                <w:rFonts w:ascii="Calibri" w:hAnsi="Calibri"/>
                <w:sz w:val="15"/>
                <w:szCs w:val="15"/>
              </w:rPr>
              <w:t>Taiwan; population-based</w:t>
            </w:r>
          </w:p>
        </w:tc>
        <w:tc>
          <w:tcPr>
            <w:tcW w:w="491" w:type="pct"/>
          </w:tcPr>
          <w:p w14:paraId="7ED9508C" w14:textId="37FC3D91" w:rsidR="008721DE" w:rsidRPr="00F1762B" w:rsidRDefault="008721DE" w:rsidP="00E05BB0">
            <w:pPr>
              <w:rPr>
                <w:sz w:val="15"/>
                <w:szCs w:val="15"/>
                <w:lang w:val="en-CA"/>
              </w:rPr>
            </w:pPr>
            <w:r w:rsidRPr="00F1762B">
              <w:rPr>
                <w:sz w:val="15"/>
                <w:szCs w:val="15"/>
                <w:lang w:val="en-CA"/>
              </w:rPr>
              <w:t>1999 to 2005; NA</w:t>
            </w:r>
          </w:p>
        </w:tc>
        <w:tc>
          <w:tcPr>
            <w:tcW w:w="620" w:type="pct"/>
          </w:tcPr>
          <w:p w14:paraId="71F3FBEC" w14:textId="616D77EC" w:rsidR="008721DE" w:rsidRPr="00F1762B" w:rsidRDefault="008721DE" w:rsidP="00E05BB0">
            <w:pPr>
              <w:rPr>
                <w:sz w:val="15"/>
                <w:szCs w:val="15"/>
                <w:lang w:val="en-CA"/>
              </w:rPr>
            </w:pPr>
            <w:r w:rsidRPr="00F1762B">
              <w:rPr>
                <w:sz w:val="15"/>
                <w:szCs w:val="15"/>
                <w:lang w:val="en-CA"/>
              </w:rPr>
              <w:t>45+; NA</w:t>
            </w:r>
          </w:p>
        </w:tc>
        <w:tc>
          <w:tcPr>
            <w:tcW w:w="620" w:type="pct"/>
          </w:tcPr>
          <w:p w14:paraId="381490AF" w14:textId="3C5C260D" w:rsidR="008721DE" w:rsidRPr="00F1762B" w:rsidRDefault="008721DE" w:rsidP="00E05BB0">
            <w:pPr>
              <w:rPr>
                <w:sz w:val="15"/>
                <w:szCs w:val="15"/>
                <w:lang w:val="en-CA"/>
              </w:rPr>
            </w:pPr>
            <w:r w:rsidRPr="00F1762B">
              <w:rPr>
                <w:sz w:val="15"/>
                <w:szCs w:val="15"/>
                <w:lang w:val="en-CA"/>
              </w:rPr>
              <w:t>NA</w:t>
            </w:r>
          </w:p>
        </w:tc>
        <w:tc>
          <w:tcPr>
            <w:tcW w:w="537" w:type="pct"/>
          </w:tcPr>
          <w:p w14:paraId="7BCCDF80" w14:textId="5F322EBF" w:rsidR="008721DE" w:rsidRPr="00F1762B" w:rsidRDefault="008721DE" w:rsidP="00E05BB0">
            <w:pPr>
              <w:rPr>
                <w:sz w:val="15"/>
                <w:szCs w:val="15"/>
                <w:lang w:val="en-CA"/>
              </w:rPr>
            </w:pPr>
            <w:r w:rsidRPr="00F1762B">
              <w:rPr>
                <w:sz w:val="15"/>
                <w:szCs w:val="15"/>
                <w:lang w:val="en-CA"/>
              </w:rPr>
              <w:t>Class 5,</w:t>
            </w:r>
          </w:p>
          <w:p w14:paraId="07FF5E79" w14:textId="3837ADCB" w:rsidR="008721DE" w:rsidRPr="00F1762B" w:rsidRDefault="008721DE" w:rsidP="00E05BB0">
            <w:pPr>
              <w:rPr>
                <w:sz w:val="15"/>
                <w:szCs w:val="15"/>
              </w:rPr>
            </w:pPr>
            <w:r w:rsidRPr="00F1762B">
              <w:rPr>
                <w:sz w:val="15"/>
                <w:szCs w:val="15"/>
              </w:rPr>
              <w:t>pioglitazone vs no use of pioglitazone</w:t>
            </w:r>
          </w:p>
        </w:tc>
        <w:tc>
          <w:tcPr>
            <w:tcW w:w="471" w:type="pct"/>
          </w:tcPr>
          <w:p w14:paraId="6AD7F3B6" w14:textId="56961AD0" w:rsidR="008721DE" w:rsidRPr="00F1762B" w:rsidRDefault="00A54865" w:rsidP="00E05BB0">
            <w:pPr>
              <w:rPr>
                <w:sz w:val="15"/>
                <w:szCs w:val="15"/>
                <w:lang w:val="en-CA"/>
              </w:rPr>
            </w:pPr>
            <w:r w:rsidRPr="00F1762B">
              <w:rPr>
                <w:sz w:val="15"/>
                <w:szCs w:val="15"/>
                <w:lang w:val="en-CA"/>
              </w:rPr>
              <w:t>Lung cancer</w:t>
            </w:r>
          </w:p>
        </w:tc>
        <w:tc>
          <w:tcPr>
            <w:tcW w:w="785" w:type="pct"/>
          </w:tcPr>
          <w:p w14:paraId="79AD9050" w14:textId="5A64E8BB" w:rsidR="008721DE" w:rsidRPr="00F1762B" w:rsidRDefault="008721DE" w:rsidP="00E05BB0">
            <w:pPr>
              <w:rPr>
                <w:sz w:val="15"/>
                <w:szCs w:val="15"/>
              </w:rPr>
            </w:pPr>
            <w:r w:rsidRPr="00F1762B">
              <w:rPr>
                <w:sz w:val="15"/>
                <w:szCs w:val="15"/>
              </w:rPr>
              <w:t>Propensity score matching adjusted for age, sex, diabetes duration, living region, occupation and the following factors: hypertension, chronic obstructive pulmonary disease (COPD),tobacco abuse, stroke, nephropathy, ischemic heart disease, peripheral arterial disease, eye disease, obesity, dyslipidemia, insulin, sulfonylurea, metformin, meglitinide, acarbose, statin, fibrate, angiotensin converting enzyme inhibitor/angiotensin receptor blocker, calcium channel blocker, aspirin, ticlopidine, clopidogrel, and dipyridamole</w:t>
            </w:r>
          </w:p>
        </w:tc>
        <w:tc>
          <w:tcPr>
            <w:tcW w:w="307" w:type="pct"/>
          </w:tcPr>
          <w:p w14:paraId="12864F5E" w14:textId="023B8283" w:rsidR="008721DE" w:rsidRPr="00F1762B" w:rsidRDefault="008721DE" w:rsidP="00E05BB0">
            <w:pPr>
              <w:rPr>
                <w:sz w:val="15"/>
                <w:szCs w:val="15"/>
                <w:lang w:val="en-CA"/>
              </w:rPr>
            </w:pPr>
            <w:r w:rsidRPr="00F1762B">
              <w:rPr>
                <w:rFonts w:ascii="Calibri" w:hAnsi="Calibri"/>
                <w:sz w:val="15"/>
                <w:szCs w:val="15"/>
              </w:rPr>
              <w:t>Low</w:t>
            </w:r>
          </w:p>
        </w:tc>
        <w:tc>
          <w:tcPr>
            <w:tcW w:w="204" w:type="pct"/>
          </w:tcPr>
          <w:p w14:paraId="355E081C" w14:textId="267A75C8" w:rsidR="008721DE" w:rsidRPr="00F1762B" w:rsidRDefault="008721DE" w:rsidP="00E05BB0">
            <w:pPr>
              <w:rPr>
                <w:rFonts w:ascii="Calibri" w:hAnsi="Calibri"/>
                <w:sz w:val="15"/>
                <w:szCs w:val="15"/>
              </w:rPr>
            </w:pPr>
            <w:r w:rsidRPr="00F1762B">
              <w:rPr>
                <w:rFonts w:ascii="Calibri" w:hAnsi="Calibri"/>
                <w:sz w:val="15"/>
                <w:szCs w:val="15"/>
              </w:rPr>
              <w:t>7</w:t>
            </w:r>
          </w:p>
        </w:tc>
      </w:tr>
      <w:tr w:rsidR="00B7487B" w:rsidRPr="00F1762B" w14:paraId="46E377AD" w14:textId="7369E3AC" w:rsidTr="00F1762B">
        <w:tc>
          <w:tcPr>
            <w:tcW w:w="517" w:type="pct"/>
          </w:tcPr>
          <w:p w14:paraId="0C1FCC11" w14:textId="3C4997CA" w:rsidR="008721DE" w:rsidRPr="00F1762B" w:rsidRDefault="008721DE" w:rsidP="00E05BB0">
            <w:pPr>
              <w:rPr>
                <w:sz w:val="15"/>
                <w:szCs w:val="15"/>
                <w:lang w:val="en-CA"/>
              </w:rPr>
            </w:pPr>
            <w:r w:rsidRPr="00F1762B">
              <w:rPr>
                <w:rFonts w:ascii="Calibri" w:hAnsi="Calibri"/>
                <w:sz w:val="15"/>
                <w:szCs w:val="15"/>
              </w:rPr>
              <w:lastRenderedPageBreak/>
              <w:t>You 2020</w:t>
            </w:r>
          </w:p>
        </w:tc>
        <w:tc>
          <w:tcPr>
            <w:tcW w:w="447" w:type="pct"/>
          </w:tcPr>
          <w:p w14:paraId="3AE44E8A" w14:textId="6E7A5715" w:rsidR="008721DE" w:rsidRPr="00F1762B" w:rsidRDefault="008721DE" w:rsidP="00E05BB0">
            <w:pPr>
              <w:rPr>
                <w:sz w:val="15"/>
                <w:szCs w:val="15"/>
                <w:lang w:val="en-CA"/>
              </w:rPr>
            </w:pPr>
            <w:r w:rsidRPr="00F1762B">
              <w:rPr>
                <w:rFonts w:ascii="Calibri" w:hAnsi="Calibri"/>
                <w:sz w:val="15"/>
                <w:szCs w:val="15"/>
              </w:rPr>
              <w:t>South Korea; population-based</w:t>
            </w:r>
          </w:p>
        </w:tc>
        <w:tc>
          <w:tcPr>
            <w:tcW w:w="491" w:type="pct"/>
          </w:tcPr>
          <w:p w14:paraId="63A5DDF8" w14:textId="0935BB32" w:rsidR="008721DE" w:rsidRPr="00F1762B" w:rsidRDefault="008721DE" w:rsidP="00E05BB0">
            <w:pPr>
              <w:rPr>
                <w:sz w:val="15"/>
                <w:szCs w:val="15"/>
                <w:lang w:val="en-CA"/>
              </w:rPr>
            </w:pPr>
            <w:r w:rsidRPr="00F1762B">
              <w:rPr>
                <w:sz w:val="15"/>
                <w:szCs w:val="15"/>
                <w:lang w:val="en-CA"/>
              </w:rPr>
              <w:t>2005 to 2014; NA</w:t>
            </w:r>
          </w:p>
        </w:tc>
        <w:tc>
          <w:tcPr>
            <w:tcW w:w="620" w:type="pct"/>
          </w:tcPr>
          <w:p w14:paraId="6D416B20" w14:textId="1F289528" w:rsidR="008721DE" w:rsidRPr="00F1762B" w:rsidRDefault="008721DE" w:rsidP="00E05BB0">
            <w:pPr>
              <w:rPr>
                <w:sz w:val="15"/>
                <w:szCs w:val="15"/>
              </w:rPr>
            </w:pPr>
            <w:r w:rsidRPr="00F1762B">
              <w:rPr>
                <w:sz w:val="15"/>
                <w:szCs w:val="15"/>
              </w:rPr>
              <w:t>NA; 60.7 (15.4) in users of metformin; 60.9 (13.9) in non-users of metformin</w:t>
            </w:r>
          </w:p>
        </w:tc>
        <w:tc>
          <w:tcPr>
            <w:tcW w:w="620" w:type="pct"/>
          </w:tcPr>
          <w:p w14:paraId="307FBCAB" w14:textId="508D7323" w:rsidR="008721DE" w:rsidRPr="00F1762B" w:rsidRDefault="008721DE" w:rsidP="00E05BB0">
            <w:pPr>
              <w:rPr>
                <w:sz w:val="15"/>
                <w:szCs w:val="15"/>
              </w:rPr>
            </w:pPr>
            <w:r w:rsidRPr="00F1762B">
              <w:rPr>
                <w:sz w:val="15"/>
                <w:szCs w:val="15"/>
              </w:rPr>
              <w:t>49.9 in users of metformin; 50.9 in non-users of metformin</w:t>
            </w:r>
          </w:p>
          <w:p w14:paraId="688FF7B8" w14:textId="2BBB79D5" w:rsidR="008721DE" w:rsidRPr="00F1762B" w:rsidRDefault="008721DE" w:rsidP="00E05BB0">
            <w:pPr>
              <w:rPr>
                <w:sz w:val="15"/>
                <w:szCs w:val="15"/>
              </w:rPr>
            </w:pPr>
          </w:p>
          <w:p w14:paraId="01B7AA62" w14:textId="77777777" w:rsidR="008721DE" w:rsidRPr="00F1762B" w:rsidRDefault="008721DE" w:rsidP="00E05BB0">
            <w:pPr>
              <w:rPr>
                <w:sz w:val="15"/>
                <w:szCs w:val="15"/>
                <w:lang w:val="en-CA"/>
              </w:rPr>
            </w:pPr>
          </w:p>
        </w:tc>
        <w:tc>
          <w:tcPr>
            <w:tcW w:w="537" w:type="pct"/>
          </w:tcPr>
          <w:p w14:paraId="7E101989" w14:textId="142DA9FE" w:rsidR="008721DE" w:rsidRPr="00F1762B" w:rsidRDefault="008721DE" w:rsidP="00E05BB0">
            <w:pPr>
              <w:rPr>
                <w:sz w:val="15"/>
                <w:szCs w:val="15"/>
                <w:lang w:val="en-CA"/>
              </w:rPr>
            </w:pPr>
            <w:r w:rsidRPr="00F1762B">
              <w:rPr>
                <w:sz w:val="15"/>
                <w:szCs w:val="15"/>
                <w:lang w:val="en-CA"/>
              </w:rPr>
              <w:t>Class 1, metformin vs no use of metformin</w:t>
            </w:r>
          </w:p>
        </w:tc>
        <w:tc>
          <w:tcPr>
            <w:tcW w:w="471" w:type="pct"/>
          </w:tcPr>
          <w:p w14:paraId="4AB095DB" w14:textId="0CA17918" w:rsidR="008721DE" w:rsidRPr="00F1762B" w:rsidRDefault="00A54865" w:rsidP="00E05BB0">
            <w:pPr>
              <w:rPr>
                <w:sz w:val="15"/>
                <w:szCs w:val="15"/>
                <w:lang w:val="en-CA"/>
              </w:rPr>
            </w:pPr>
            <w:r w:rsidRPr="00F1762B">
              <w:rPr>
                <w:sz w:val="15"/>
                <w:szCs w:val="15"/>
                <w:lang w:val="en-CA"/>
              </w:rPr>
              <w:t>C</w:t>
            </w:r>
            <w:r w:rsidR="008721DE" w:rsidRPr="00F1762B">
              <w:rPr>
                <w:sz w:val="15"/>
                <w:szCs w:val="15"/>
                <w:lang w:val="en-CA"/>
              </w:rPr>
              <w:t xml:space="preserve">olon, </w:t>
            </w:r>
            <w:r w:rsidRPr="00F1762B">
              <w:rPr>
                <w:sz w:val="15"/>
                <w:szCs w:val="15"/>
                <w:lang w:val="en-CA"/>
              </w:rPr>
              <w:t>liver, and pancreatic cancers</w:t>
            </w:r>
          </w:p>
        </w:tc>
        <w:tc>
          <w:tcPr>
            <w:tcW w:w="785" w:type="pct"/>
          </w:tcPr>
          <w:p w14:paraId="2D916A85" w14:textId="72F53A92" w:rsidR="008721DE" w:rsidRPr="00F1762B" w:rsidRDefault="008721DE" w:rsidP="00E05BB0">
            <w:pPr>
              <w:rPr>
                <w:rFonts w:ascii="Calibri" w:hAnsi="Calibri"/>
                <w:sz w:val="15"/>
                <w:szCs w:val="15"/>
              </w:rPr>
            </w:pPr>
            <w:r w:rsidRPr="00F1762B">
              <w:rPr>
                <w:rFonts w:ascii="Calibri" w:hAnsi="Calibri"/>
                <w:sz w:val="15"/>
                <w:szCs w:val="15"/>
              </w:rPr>
              <w:t>Adjusted for age, sex, economic status, region of residency, and antidiabetic medications (sulfonylureas, thiazolidinediones, dipeptidyl peptidase 4 inhibitors, alpha-glucosidase inhibitors, and meglitinide)</w:t>
            </w:r>
          </w:p>
          <w:p w14:paraId="7371D17D" w14:textId="77777777" w:rsidR="008721DE" w:rsidRPr="00F1762B" w:rsidRDefault="008721DE" w:rsidP="00E05BB0">
            <w:pPr>
              <w:rPr>
                <w:sz w:val="15"/>
                <w:szCs w:val="15"/>
              </w:rPr>
            </w:pPr>
          </w:p>
        </w:tc>
        <w:tc>
          <w:tcPr>
            <w:tcW w:w="307" w:type="pct"/>
          </w:tcPr>
          <w:p w14:paraId="707EADEE" w14:textId="71E85C49" w:rsidR="008721DE" w:rsidRPr="00F1762B" w:rsidRDefault="008721DE" w:rsidP="00E05BB0">
            <w:pPr>
              <w:rPr>
                <w:sz w:val="15"/>
                <w:szCs w:val="15"/>
                <w:lang w:val="en-CA"/>
              </w:rPr>
            </w:pPr>
            <w:r w:rsidRPr="00F1762B">
              <w:rPr>
                <w:rFonts w:ascii="Calibri" w:hAnsi="Calibri"/>
                <w:sz w:val="15"/>
                <w:szCs w:val="15"/>
              </w:rPr>
              <w:t>Low</w:t>
            </w:r>
          </w:p>
        </w:tc>
        <w:tc>
          <w:tcPr>
            <w:tcW w:w="204" w:type="pct"/>
          </w:tcPr>
          <w:p w14:paraId="405044F4" w14:textId="43054E66" w:rsidR="008721DE" w:rsidRPr="00F1762B" w:rsidRDefault="008721DE" w:rsidP="00E05BB0">
            <w:pPr>
              <w:rPr>
                <w:rFonts w:ascii="Calibri" w:hAnsi="Calibri"/>
                <w:sz w:val="15"/>
                <w:szCs w:val="15"/>
              </w:rPr>
            </w:pPr>
            <w:r w:rsidRPr="00F1762B">
              <w:rPr>
                <w:rFonts w:ascii="Calibri" w:hAnsi="Calibri"/>
                <w:sz w:val="15"/>
                <w:szCs w:val="15"/>
              </w:rPr>
              <w:t>8</w:t>
            </w:r>
          </w:p>
        </w:tc>
      </w:tr>
      <w:tr w:rsidR="00B7487B" w:rsidRPr="00F1762B" w14:paraId="0FE9C483" w14:textId="62722E10" w:rsidTr="00F1762B">
        <w:tc>
          <w:tcPr>
            <w:tcW w:w="517" w:type="pct"/>
          </w:tcPr>
          <w:p w14:paraId="39A78D74" w14:textId="4C026853" w:rsidR="008721DE" w:rsidRPr="00F1762B" w:rsidRDefault="008721DE" w:rsidP="00E05BB0">
            <w:pPr>
              <w:rPr>
                <w:sz w:val="15"/>
                <w:szCs w:val="15"/>
                <w:highlight w:val="yellow"/>
                <w:lang w:val="en-CA"/>
              </w:rPr>
            </w:pPr>
            <w:r w:rsidRPr="00F1762B">
              <w:rPr>
                <w:rFonts w:ascii="Calibri" w:hAnsi="Calibri"/>
                <w:sz w:val="15"/>
                <w:szCs w:val="15"/>
              </w:rPr>
              <w:t>Rouette 2020</w:t>
            </w:r>
          </w:p>
        </w:tc>
        <w:tc>
          <w:tcPr>
            <w:tcW w:w="447" w:type="pct"/>
          </w:tcPr>
          <w:p w14:paraId="6BEA69E3" w14:textId="666BB584" w:rsidR="008721DE" w:rsidRPr="00F1762B" w:rsidRDefault="008721DE" w:rsidP="00E05BB0">
            <w:pPr>
              <w:rPr>
                <w:sz w:val="15"/>
                <w:szCs w:val="15"/>
                <w:lang w:val="en-CA"/>
              </w:rPr>
            </w:pPr>
            <w:r w:rsidRPr="00F1762B">
              <w:rPr>
                <w:rFonts w:ascii="Calibri" w:hAnsi="Calibri"/>
                <w:sz w:val="15"/>
                <w:szCs w:val="15"/>
              </w:rPr>
              <w:t>United Kingdom; population-based</w:t>
            </w:r>
          </w:p>
        </w:tc>
        <w:tc>
          <w:tcPr>
            <w:tcW w:w="491" w:type="pct"/>
          </w:tcPr>
          <w:p w14:paraId="1AED2600" w14:textId="3C3237FE" w:rsidR="008721DE" w:rsidRPr="00F1762B" w:rsidRDefault="008721DE" w:rsidP="00E05BB0">
            <w:pPr>
              <w:rPr>
                <w:sz w:val="15"/>
                <w:szCs w:val="15"/>
                <w:lang w:val="en-CA"/>
              </w:rPr>
            </w:pPr>
            <w:r w:rsidRPr="00F1762B">
              <w:rPr>
                <w:sz w:val="15"/>
                <w:szCs w:val="15"/>
                <w:lang w:val="en-CA"/>
              </w:rPr>
              <w:t>2007 to 2017; median 4.6</w:t>
            </w:r>
          </w:p>
        </w:tc>
        <w:tc>
          <w:tcPr>
            <w:tcW w:w="620" w:type="pct"/>
          </w:tcPr>
          <w:p w14:paraId="16D77D48" w14:textId="10D4D2C3" w:rsidR="008721DE" w:rsidRPr="00F1762B" w:rsidRDefault="008721DE" w:rsidP="00E05BB0">
            <w:pPr>
              <w:rPr>
                <w:sz w:val="15"/>
                <w:szCs w:val="15"/>
                <w:lang w:val="en-CA"/>
              </w:rPr>
            </w:pPr>
            <w:r w:rsidRPr="00F1762B">
              <w:rPr>
                <w:sz w:val="15"/>
                <w:szCs w:val="15"/>
                <w:lang w:val="en-CA"/>
              </w:rPr>
              <w:t>18+; 60.7 (13.6)</w:t>
            </w:r>
          </w:p>
        </w:tc>
        <w:tc>
          <w:tcPr>
            <w:tcW w:w="620" w:type="pct"/>
          </w:tcPr>
          <w:p w14:paraId="63EDFE3C" w14:textId="0C116DFD" w:rsidR="008721DE" w:rsidRPr="00F1762B" w:rsidRDefault="008721DE" w:rsidP="00E05BB0">
            <w:pPr>
              <w:rPr>
                <w:sz w:val="15"/>
                <w:szCs w:val="15"/>
                <w:lang w:val="en-CA"/>
              </w:rPr>
            </w:pPr>
            <w:r w:rsidRPr="00F1762B">
              <w:rPr>
                <w:sz w:val="15"/>
                <w:szCs w:val="15"/>
                <w:lang w:val="en-CA"/>
              </w:rPr>
              <w:t>57.1</w:t>
            </w:r>
          </w:p>
        </w:tc>
        <w:tc>
          <w:tcPr>
            <w:tcW w:w="537" w:type="pct"/>
          </w:tcPr>
          <w:p w14:paraId="3C3F1DC9" w14:textId="55CA1015" w:rsidR="008721DE" w:rsidRPr="00F1762B" w:rsidRDefault="008721DE" w:rsidP="00E05BB0">
            <w:pPr>
              <w:rPr>
                <w:sz w:val="15"/>
                <w:szCs w:val="15"/>
                <w:lang w:val="en-CA"/>
              </w:rPr>
            </w:pPr>
            <w:r w:rsidRPr="00F1762B">
              <w:rPr>
                <w:sz w:val="15"/>
                <w:szCs w:val="15"/>
                <w:lang w:val="en-CA"/>
              </w:rPr>
              <w:t>Class 2, dipeptidyl peptidase-4 inhibitors or glucagon-like peptide-1 receptor agonist vs other second- or third-line antidiabetic drugs (including initiating on combination therapy or switching to or adding-on a new antidiabetic drug class)</w:t>
            </w:r>
          </w:p>
        </w:tc>
        <w:tc>
          <w:tcPr>
            <w:tcW w:w="471" w:type="pct"/>
          </w:tcPr>
          <w:p w14:paraId="5C6687A0" w14:textId="29AF4E15" w:rsidR="008721DE" w:rsidRPr="00F1762B" w:rsidRDefault="00A54865" w:rsidP="00E05BB0">
            <w:pPr>
              <w:rPr>
                <w:sz w:val="15"/>
                <w:szCs w:val="15"/>
                <w:lang w:val="en-CA"/>
              </w:rPr>
            </w:pPr>
            <w:r w:rsidRPr="00F1762B">
              <w:rPr>
                <w:sz w:val="15"/>
                <w:szCs w:val="15"/>
                <w:lang w:val="en-CA"/>
              </w:rPr>
              <w:t>Lung cancer</w:t>
            </w:r>
          </w:p>
        </w:tc>
        <w:tc>
          <w:tcPr>
            <w:tcW w:w="785" w:type="pct"/>
          </w:tcPr>
          <w:p w14:paraId="646DFCA2" w14:textId="3861DE91" w:rsidR="008721DE" w:rsidRPr="00F1762B" w:rsidRDefault="008721DE" w:rsidP="00E05BB0">
            <w:pPr>
              <w:rPr>
                <w:sz w:val="15"/>
                <w:szCs w:val="15"/>
              </w:rPr>
            </w:pPr>
            <w:r w:rsidRPr="00F1762B">
              <w:rPr>
                <w:sz w:val="15"/>
                <w:szCs w:val="15"/>
                <w:lang w:val="en-CA"/>
              </w:rPr>
              <w:t xml:space="preserve">Adjusted for </w:t>
            </w:r>
            <w:r w:rsidRPr="00F1762B">
              <w:rPr>
                <w:sz w:val="15"/>
                <w:szCs w:val="15"/>
              </w:rPr>
              <w:t xml:space="preserve">age, sex, year of cohort entry, </w:t>
            </w:r>
            <w:r w:rsidR="00B35CC0">
              <w:rPr>
                <w:sz w:val="15"/>
                <w:szCs w:val="15"/>
              </w:rPr>
              <w:t>body mass index</w:t>
            </w:r>
            <w:r w:rsidRPr="00F1762B">
              <w:rPr>
                <w:sz w:val="15"/>
                <w:szCs w:val="15"/>
              </w:rPr>
              <w:t>, HbA1c, duration of treated diabetes, macrovascular complications (stroke, myocardial infarction, peripheral vascular disease), microvascular complications (neuropathy, nephropathy and retinopathy), smoking status, alcohol-related disorders (including alcoholism, alcoholic cirrhosis of the liver, alcoholic hepatitis, hepatic failure), chronic obstructive pulmonary disease, use of statins, and total number of unique non-diabetes drugs</w:t>
            </w:r>
          </w:p>
        </w:tc>
        <w:tc>
          <w:tcPr>
            <w:tcW w:w="307" w:type="pct"/>
          </w:tcPr>
          <w:p w14:paraId="6A81C830" w14:textId="1D02978C" w:rsidR="008721DE" w:rsidRPr="00F1762B" w:rsidRDefault="008721DE" w:rsidP="00E05BB0">
            <w:pPr>
              <w:rPr>
                <w:sz w:val="15"/>
                <w:szCs w:val="15"/>
                <w:lang w:val="en-CA"/>
              </w:rPr>
            </w:pPr>
            <w:r w:rsidRPr="00F1762B">
              <w:rPr>
                <w:rFonts w:ascii="Calibri" w:hAnsi="Calibri"/>
                <w:sz w:val="15"/>
                <w:szCs w:val="15"/>
              </w:rPr>
              <w:t>Low</w:t>
            </w:r>
          </w:p>
        </w:tc>
        <w:tc>
          <w:tcPr>
            <w:tcW w:w="204" w:type="pct"/>
          </w:tcPr>
          <w:p w14:paraId="515E0B74" w14:textId="3D9D899A" w:rsidR="008721DE" w:rsidRPr="00F1762B" w:rsidRDefault="008721DE" w:rsidP="00E05BB0">
            <w:pPr>
              <w:rPr>
                <w:rFonts w:ascii="Calibri" w:hAnsi="Calibri"/>
                <w:sz w:val="15"/>
                <w:szCs w:val="15"/>
              </w:rPr>
            </w:pPr>
            <w:r w:rsidRPr="00F1762B">
              <w:rPr>
                <w:rFonts w:ascii="Calibri" w:hAnsi="Calibri"/>
                <w:sz w:val="15"/>
                <w:szCs w:val="15"/>
              </w:rPr>
              <w:t>9</w:t>
            </w:r>
          </w:p>
        </w:tc>
      </w:tr>
      <w:tr w:rsidR="00B7487B" w:rsidRPr="00F1762B" w14:paraId="29F2F3E8" w14:textId="1FEA53B5" w:rsidTr="00F1762B">
        <w:tc>
          <w:tcPr>
            <w:tcW w:w="517" w:type="pct"/>
          </w:tcPr>
          <w:p w14:paraId="15C0D901" w14:textId="13691212" w:rsidR="008721DE" w:rsidRPr="00F1762B" w:rsidRDefault="008721DE" w:rsidP="00E05BB0">
            <w:pPr>
              <w:rPr>
                <w:sz w:val="15"/>
                <w:szCs w:val="15"/>
                <w:lang w:val="en-CA"/>
              </w:rPr>
            </w:pPr>
            <w:r w:rsidRPr="00F1762B">
              <w:rPr>
                <w:rFonts w:ascii="Calibri" w:hAnsi="Calibri"/>
                <w:sz w:val="15"/>
                <w:szCs w:val="15"/>
              </w:rPr>
              <w:t>Haring 2017</w:t>
            </w:r>
          </w:p>
        </w:tc>
        <w:tc>
          <w:tcPr>
            <w:tcW w:w="447" w:type="pct"/>
          </w:tcPr>
          <w:p w14:paraId="2251C146" w14:textId="4D1F7094" w:rsidR="008721DE" w:rsidRPr="00F1762B" w:rsidRDefault="008721DE" w:rsidP="00E05BB0">
            <w:pPr>
              <w:rPr>
                <w:sz w:val="15"/>
                <w:szCs w:val="15"/>
                <w:lang w:val="en-CA"/>
              </w:rPr>
            </w:pPr>
            <w:r w:rsidRPr="00F1762B">
              <w:rPr>
                <w:rFonts w:ascii="Calibri" w:hAnsi="Calibri"/>
                <w:sz w:val="15"/>
                <w:szCs w:val="15"/>
              </w:rPr>
              <w:t>Finland; population-based</w:t>
            </w:r>
          </w:p>
        </w:tc>
        <w:tc>
          <w:tcPr>
            <w:tcW w:w="491" w:type="pct"/>
          </w:tcPr>
          <w:p w14:paraId="35705FF7" w14:textId="76E61789" w:rsidR="008721DE" w:rsidRPr="00F1762B" w:rsidRDefault="008721DE" w:rsidP="00E05BB0">
            <w:pPr>
              <w:rPr>
                <w:sz w:val="15"/>
                <w:szCs w:val="15"/>
                <w:lang w:val="en-CA"/>
              </w:rPr>
            </w:pPr>
            <w:r w:rsidRPr="00F1762B">
              <w:rPr>
                <w:sz w:val="15"/>
                <w:szCs w:val="15"/>
                <w:lang w:val="en-CA"/>
              </w:rPr>
              <w:t>1995 to 2009; NA</w:t>
            </w:r>
          </w:p>
        </w:tc>
        <w:tc>
          <w:tcPr>
            <w:tcW w:w="620" w:type="pct"/>
          </w:tcPr>
          <w:p w14:paraId="331E4FC9" w14:textId="5D7F678B" w:rsidR="008721DE" w:rsidRPr="00F1762B" w:rsidRDefault="008721DE" w:rsidP="00E05BB0">
            <w:pPr>
              <w:rPr>
                <w:sz w:val="15"/>
                <w:szCs w:val="15"/>
              </w:rPr>
            </w:pPr>
            <w:r w:rsidRPr="00F1762B">
              <w:rPr>
                <w:sz w:val="15"/>
                <w:szCs w:val="15"/>
              </w:rPr>
              <w:t>55.0 to 67.0; median 59.0</w:t>
            </w:r>
          </w:p>
        </w:tc>
        <w:tc>
          <w:tcPr>
            <w:tcW w:w="620" w:type="pct"/>
          </w:tcPr>
          <w:p w14:paraId="2CE7AFAE" w14:textId="5A660161" w:rsidR="008721DE" w:rsidRPr="00F1762B" w:rsidRDefault="008721DE" w:rsidP="00E05BB0">
            <w:pPr>
              <w:rPr>
                <w:sz w:val="15"/>
                <w:szCs w:val="15"/>
                <w:lang w:val="en-CA"/>
              </w:rPr>
            </w:pPr>
            <w:r w:rsidRPr="00F1762B">
              <w:rPr>
                <w:sz w:val="15"/>
                <w:szCs w:val="15"/>
                <w:lang w:val="en-CA"/>
              </w:rPr>
              <w:t>100.0</w:t>
            </w:r>
          </w:p>
        </w:tc>
        <w:tc>
          <w:tcPr>
            <w:tcW w:w="537" w:type="pct"/>
          </w:tcPr>
          <w:p w14:paraId="40B29B65" w14:textId="77777777" w:rsidR="008721DE" w:rsidRPr="00F1762B" w:rsidRDefault="008721DE" w:rsidP="00E05BB0">
            <w:pPr>
              <w:rPr>
                <w:sz w:val="15"/>
                <w:szCs w:val="15"/>
                <w:lang w:val="en-CA"/>
              </w:rPr>
            </w:pPr>
            <w:r w:rsidRPr="00F1762B">
              <w:rPr>
                <w:sz w:val="15"/>
                <w:szCs w:val="15"/>
                <w:lang w:val="en-CA"/>
              </w:rPr>
              <w:t>Class 1, metformin vs no use of metformin;</w:t>
            </w:r>
          </w:p>
          <w:p w14:paraId="681C808F" w14:textId="77777777" w:rsidR="008721DE" w:rsidRPr="00F1762B" w:rsidRDefault="008721DE" w:rsidP="00E05BB0">
            <w:pPr>
              <w:rPr>
                <w:sz w:val="15"/>
                <w:szCs w:val="15"/>
                <w:lang w:val="en-CA"/>
              </w:rPr>
            </w:pPr>
          </w:p>
          <w:p w14:paraId="3A16556B" w14:textId="22C9F693" w:rsidR="008721DE" w:rsidRPr="00F1762B" w:rsidRDefault="008721DE" w:rsidP="00E05BB0">
            <w:pPr>
              <w:rPr>
                <w:sz w:val="15"/>
                <w:szCs w:val="15"/>
                <w:lang w:val="en-CA"/>
              </w:rPr>
            </w:pPr>
            <w:r w:rsidRPr="00F1762B">
              <w:rPr>
                <w:sz w:val="15"/>
                <w:szCs w:val="15"/>
                <w:lang w:val="en-CA"/>
              </w:rPr>
              <w:t>Class 4, sulfonylurea vs no use of sulfonylurea;</w:t>
            </w:r>
          </w:p>
          <w:p w14:paraId="3F038B3E" w14:textId="77777777" w:rsidR="008721DE" w:rsidRPr="00F1762B" w:rsidRDefault="008721DE" w:rsidP="00E05BB0">
            <w:pPr>
              <w:rPr>
                <w:sz w:val="15"/>
                <w:szCs w:val="15"/>
                <w:lang w:val="en-CA"/>
              </w:rPr>
            </w:pPr>
          </w:p>
          <w:p w14:paraId="4F4B81FF" w14:textId="39052AB6" w:rsidR="008721DE" w:rsidRPr="00F1762B" w:rsidRDefault="008721DE" w:rsidP="00E05BB0">
            <w:pPr>
              <w:rPr>
                <w:sz w:val="15"/>
                <w:szCs w:val="15"/>
                <w:lang w:val="en-CA"/>
              </w:rPr>
            </w:pPr>
            <w:r w:rsidRPr="00F1762B">
              <w:rPr>
                <w:sz w:val="15"/>
                <w:szCs w:val="15"/>
                <w:lang w:val="en-CA"/>
              </w:rPr>
              <w:t>Class 5, thiazolidinedione vs no use of thiazolidinedione</w:t>
            </w:r>
          </w:p>
        </w:tc>
        <w:tc>
          <w:tcPr>
            <w:tcW w:w="471" w:type="pct"/>
          </w:tcPr>
          <w:p w14:paraId="1EC70109" w14:textId="45535698" w:rsidR="008721DE" w:rsidRPr="00F1762B" w:rsidRDefault="00A54865" w:rsidP="00E05BB0">
            <w:pPr>
              <w:rPr>
                <w:sz w:val="15"/>
                <w:szCs w:val="15"/>
                <w:lang w:val="en-CA"/>
              </w:rPr>
            </w:pPr>
            <w:r w:rsidRPr="00F1762B">
              <w:rPr>
                <w:sz w:val="15"/>
                <w:szCs w:val="15"/>
                <w:lang w:val="en-CA"/>
              </w:rPr>
              <w:t>Prostate cancer</w:t>
            </w:r>
          </w:p>
        </w:tc>
        <w:tc>
          <w:tcPr>
            <w:tcW w:w="785" w:type="pct"/>
          </w:tcPr>
          <w:p w14:paraId="537F713D" w14:textId="0FF89A42" w:rsidR="008721DE" w:rsidRPr="00F1762B" w:rsidRDefault="008721DE" w:rsidP="00E05BB0">
            <w:pPr>
              <w:rPr>
                <w:sz w:val="15"/>
                <w:szCs w:val="15"/>
              </w:rPr>
            </w:pPr>
            <w:r w:rsidRPr="00F1762B">
              <w:rPr>
                <w:sz w:val="15"/>
                <w:szCs w:val="15"/>
              </w:rPr>
              <w:t>Adjusted for age, trial arm (</w:t>
            </w:r>
            <w:r w:rsidR="00073FB7">
              <w:rPr>
                <w:sz w:val="15"/>
                <w:szCs w:val="15"/>
              </w:rPr>
              <w:t>prostate specific antigen</w:t>
            </w:r>
            <w:r w:rsidR="00073FB7" w:rsidRPr="00F1762B">
              <w:rPr>
                <w:sz w:val="15"/>
                <w:szCs w:val="15"/>
              </w:rPr>
              <w:t xml:space="preserve"> </w:t>
            </w:r>
            <w:r w:rsidRPr="00F1762B">
              <w:rPr>
                <w:sz w:val="15"/>
                <w:szCs w:val="15"/>
              </w:rPr>
              <w:t>screening at 4-year intervals or Standard care), and use of antihypertensives, cholesterol-lowering drugs, 5-alpha-reductase inhibitors, alpha-blockers, non-steroidal anti-inflammatory drugs and aspirin</w:t>
            </w:r>
          </w:p>
        </w:tc>
        <w:tc>
          <w:tcPr>
            <w:tcW w:w="307" w:type="pct"/>
          </w:tcPr>
          <w:p w14:paraId="5B280920" w14:textId="5111E9E0" w:rsidR="008721DE" w:rsidRPr="00F1762B" w:rsidRDefault="008721DE" w:rsidP="00E05BB0">
            <w:pPr>
              <w:rPr>
                <w:sz w:val="15"/>
                <w:szCs w:val="15"/>
                <w:lang w:val="en-CA"/>
              </w:rPr>
            </w:pPr>
            <w:r w:rsidRPr="00F1762B">
              <w:rPr>
                <w:rFonts w:ascii="Calibri" w:hAnsi="Calibri"/>
                <w:sz w:val="15"/>
                <w:szCs w:val="15"/>
              </w:rPr>
              <w:t>Low</w:t>
            </w:r>
          </w:p>
        </w:tc>
        <w:tc>
          <w:tcPr>
            <w:tcW w:w="204" w:type="pct"/>
          </w:tcPr>
          <w:p w14:paraId="7B9A162D" w14:textId="5FB4BE06" w:rsidR="008721DE" w:rsidRPr="00F1762B" w:rsidRDefault="008721DE" w:rsidP="00E05BB0">
            <w:pPr>
              <w:rPr>
                <w:rFonts w:ascii="Calibri" w:hAnsi="Calibri"/>
                <w:sz w:val="15"/>
                <w:szCs w:val="15"/>
              </w:rPr>
            </w:pPr>
            <w:r w:rsidRPr="00F1762B">
              <w:rPr>
                <w:rFonts w:ascii="Calibri" w:hAnsi="Calibri"/>
                <w:sz w:val="15"/>
                <w:szCs w:val="15"/>
              </w:rPr>
              <w:t>7</w:t>
            </w:r>
          </w:p>
        </w:tc>
      </w:tr>
      <w:tr w:rsidR="00B7487B" w:rsidRPr="00F1762B" w14:paraId="372E8BCD" w14:textId="6151AADD" w:rsidTr="00F1762B">
        <w:tc>
          <w:tcPr>
            <w:tcW w:w="517" w:type="pct"/>
          </w:tcPr>
          <w:p w14:paraId="7C680B6A" w14:textId="40E6EED1" w:rsidR="008721DE" w:rsidRPr="00F1762B" w:rsidRDefault="008721DE" w:rsidP="00E05BB0">
            <w:pPr>
              <w:rPr>
                <w:sz w:val="15"/>
                <w:szCs w:val="15"/>
                <w:lang w:val="en-CA"/>
              </w:rPr>
            </w:pPr>
            <w:r w:rsidRPr="00F1762B">
              <w:rPr>
                <w:rFonts w:ascii="Calibri" w:hAnsi="Calibri"/>
                <w:sz w:val="15"/>
                <w:szCs w:val="15"/>
              </w:rPr>
              <w:t>Chen 2017</w:t>
            </w:r>
          </w:p>
        </w:tc>
        <w:tc>
          <w:tcPr>
            <w:tcW w:w="447" w:type="pct"/>
          </w:tcPr>
          <w:p w14:paraId="3E8AD20D" w14:textId="4A2EBF9F" w:rsidR="008721DE" w:rsidRPr="00F1762B" w:rsidRDefault="008721DE" w:rsidP="00E05BB0">
            <w:pPr>
              <w:rPr>
                <w:sz w:val="15"/>
                <w:szCs w:val="15"/>
                <w:lang w:val="en-CA"/>
              </w:rPr>
            </w:pPr>
            <w:r w:rsidRPr="00F1762B">
              <w:rPr>
                <w:rFonts w:ascii="Calibri" w:hAnsi="Calibri"/>
                <w:sz w:val="15"/>
                <w:szCs w:val="15"/>
              </w:rPr>
              <w:t>Canada; population-based</w:t>
            </w:r>
          </w:p>
        </w:tc>
        <w:tc>
          <w:tcPr>
            <w:tcW w:w="491" w:type="pct"/>
          </w:tcPr>
          <w:p w14:paraId="6EA90FF7" w14:textId="1EA4C344" w:rsidR="008721DE" w:rsidRPr="00F1762B" w:rsidRDefault="008721DE" w:rsidP="00E05BB0">
            <w:pPr>
              <w:rPr>
                <w:sz w:val="15"/>
                <w:szCs w:val="15"/>
                <w:lang w:val="en-CA"/>
              </w:rPr>
            </w:pPr>
            <w:r w:rsidRPr="00F1762B">
              <w:rPr>
                <w:sz w:val="15"/>
                <w:szCs w:val="15"/>
                <w:lang w:val="en-CA"/>
              </w:rPr>
              <w:t>1994 to 2012; median 8.3 in exposed group; median 10.4 in unexposed group</w:t>
            </w:r>
          </w:p>
        </w:tc>
        <w:tc>
          <w:tcPr>
            <w:tcW w:w="620" w:type="pct"/>
          </w:tcPr>
          <w:p w14:paraId="0C4F94C6" w14:textId="1697E90F" w:rsidR="008721DE" w:rsidRPr="00F1762B" w:rsidRDefault="008721DE" w:rsidP="00E05BB0">
            <w:pPr>
              <w:rPr>
                <w:sz w:val="15"/>
                <w:szCs w:val="15"/>
              </w:rPr>
            </w:pPr>
            <w:r w:rsidRPr="00F1762B">
              <w:rPr>
                <w:sz w:val="15"/>
                <w:szCs w:val="15"/>
              </w:rPr>
              <w:t>50+; 65.3 (9.5) in exposed group; 62.7 (8.5) in unexposed group</w:t>
            </w:r>
          </w:p>
          <w:p w14:paraId="66D66F5D" w14:textId="77777777" w:rsidR="008721DE" w:rsidRPr="00F1762B" w:rsidRDefault="008721DE" w:rsidP="00E05BB0">
            <w:pPr>
              <w:rPr>
                <w:sz w:val="15"/>
                <w:szCs w:val="15"/>
                <w:lang w:val="en-CA"/>
              </w:rPr>
            </w:pPr>
          </w:p>
        </w:tc>
        <w:tc>
          <w:tcPr>
            <w:tcW w:w="620" w:type="pct"/>
          </w:tcPr>
          <w:p w14:paraId="4B7B2DB5" w14:textId="6E61F44E" w:rsidR="008721DE" w:rsidRPr="00F1762B" w:rsidRDefault="008721DE" w:rsidP="00E05BB0">
            <w:pPr>
              <w:rPr>
                <w:sz w:val="15"/>
                <w:szCs w:val="15"/>
                <w:lang w:val="en-CA"/>
              </w:rPr>
            </w:pPr>
            <w:r w:rsidRPr="00F1762B">
              <w:rPr>
                <w:sz w:val="15"/>
                <w:szCs w:val="15"/>
                <w:lang w:val="en-CA"/>
              </w:rPr>
              <w:t>100.0</w:t>
            </w:r>
          </w:p>
        </w:tc>
        <w:tc>
          <w:tcPr>
            <w:tcW w:w="537" w:type="pct"/>
          </w:tcPr>
          <w:p w14:paraId="4F955A4F" w14:textId="62C8C26F" w:rsidR="008721DE" w:rsidRPr="00F1762B" w:rsidRDefault="008721DE" w:rsidP="00E05BB0">
            <w:pPr>
              <w:rPr>
                <w:sz w:val="15"/>
                <w:szCs w:val="15"/>
                <w:lang w:val="en-CA"/>
              </w:rPr>
            </w:pPr>
            <w:r w:rsidRPr="00F1762B">
              <w:rPr>
                <w:sz w:val="15"/>
                <w:szCs w:val="15"/>
                <w:lang w:val="en-CA"/>
              </w:rPr>
              <w:t>Class 1, metformin vs no metformin</w:t>
            </w:r>
          </w:p>
        </w:tc>
        <w:tc>
          <w:tcPr>
            <w:tcW w:w="471" w:type="pct"/>
          </w:tcPr>
          <w:p w14:paraId="2FB67592" w14:textId="292DCC54" w:rsidR="008721DE" w:rsidRPr="00F1762B" w:rsidRDefault="00A54865" w:rsidP="00E05BB0">
            <w:pPr>
              <w:rPr>
                <w:sz w:val="15"/>
                <w:szCs w:val="15"/>
                <w:lang w:val="en-CA"/>
              </w:rPr>
            </w:pPr>
            <w:r w:rsidRPr="00F1762B">
              <w:rPr>
                <w:sz w:val="15"/>
                <w:szCs w:val="15"/>
                <w:lang w:val="en-CA"/>
              </w:rPr>
              <w:t>Prostate cancer</w:t>
            </w:r>
          </w:p>
        </w:tc>
        <w:tc>
          <w:tcPr>
            <w:tcW w:w="785" w:type="pct"/>
          </w:tcPr>
          <w:p w14:paraId="05C938F6" w14:textId="630A79DE" w:rsidR="008721DE" w:rsidRPr="00F1762B" w:rsidRDefault="008721DE" w:rsidP="00E05BB0">
            <w:pPr>
              <w:rPr>
                <w:sz w:val="15"/>
                <w:szCs w:val="15"/>
              </w:rPr>
            </w:pPr>
            <w:r w:rsidRPr="00F1762B">
              <w:rPr>
                <w:sz w:val="15"/>
                <w:szCs w:val="15"/>
              </w:rPr>
              <w:t xml:space="preserve">Adjusted for socioeconomic class, number of physician visits and use of other diabetes medications (sulfonylureas, acarbose, meglitinides, dipeptidyl peptidase IV inhibitors, glucagon-like peptide 1 </w:t>
            </w:r>
            <w:r w:rsidRPr="00F1762B">
              <w:rPr>
                <w:sz w:val="15"/>
                <w:szCs w:val="15"/>
              </w:rPr>
              <w:lastRenderedPageBreak/>
              <w:t>receptor agonists, thiazolidinediones and insulin)</w:t>
            </w:r>
          </w:p>
        </w:tc>
        <w:tc>
          <w:tcPr>
            <w:tcW w:w="307" w:type="pct"/>
          </w:tcPr>
          <w:p w14:paraId="139ADD75" w14:textId="19BFF36D" w:rsidR="008721DE" w:rsidRPr="00F1762B" w:rsidRDefault="008721DE" w:rsidP="00E05BB0">
            <w:pPr>
              <w:rPr>
                <w:sz w:val="15"/>
                <w:szCs w:val="15"/>
                <w:lang w:val="en-CA"/>
              </w:rPr>
            </w:pPr>
            <w:r w:rsidRPr="00F1762B">
              <w:rPr>
                <w:rFonts w:ascii="Calibri" w:hAnsi="Calibri"/>
                <w:sz w:val="15"/>
                <w:szCs w:val="15"/>
              </w:rPr>
              <w:lastRenderedPageBreak/>
              <w:t>Moderate</w:t>
            </w:r>
          </w:p>
        </w:tc>
        <w:tc>
          <w:tcPr>
            <w:tcW w:w="204" w:type="pct"/>
          </w:tcPr>
          <w:p w14:paraId="1514DD7E" w14:textId="33EAC74B" w:rsidR="008721DE" w:rsidRPr="00F1762B" w:rsidRDefault="008721DE" w:rsidP="00E05BB0">
            <w:pPr>
              <w:rPr>
                <w:rFonts w:ascii="Calibri" w:hAnsi="Calibri"/>
                <w:sz w:val="15"/>
                <w:szCs w:val="15"/>
              </w:rPr>
            </w:pPr>
            <w:r w:rsidRPr="00F1762B">
              <w:rPr>
                <w:rFonts w:ascii="Calibri" w:hAnsi="Calibri"/>
                <w:sz w:val="15"/>
                <w:szCs w:val="15"/>
              </w:rPr>
              <w:t>6</w:t>
            </w:r>
          </w:p>
        </w:tc>
      </w:tr>
      <w:tr w:rsidR="00B7487B" w:rsidRPr="00F1762B" w14:paraId="2269288C" w14:textId="5C81F241" w:rsidTr="00F1762B">
        <w:tc>
          <w:tcPr>
            <w:tcW w:w="517" w:type="pct"/>
          </w:tcPr>
          <w:p w14:paraId="000BA481" w14:textId="76649D31" w:rsidR="008721DE" w:rsidRPr="00F1762B" w:rsidRDefault="008721DE" w:rsidP="00E05BB0">
            <w:pPr>
              <w:rPr>
                <w:sz w:val="15"/>
                <w:szCs w:val="15"/>
                <w:lang w:val="en-CA"/>
              </w:rPr>
            </w:pPr>
            <w:r w:rsidRPr="00F1762B">
              <w:rPr>
                <w:rFonts w:ascii="Calibri" w:hAnsi="Calibri"/>
                <w:sz w:val="15"/>
                <w:szCs w:val="15"/>
              </w:rPr>
              <w:t>Tseng 2017c</w:t>
            </w:r>
          </w:p>
        </w:tc>
        <w:tc>
          <w:tcPr>
            <w:tcW w:w="447" w:type="pct"/>
          </w:tcPr>
          <w:p w14:paraId="59B296F1" w14:textId="7E7A1924" w:rsidR="008721DE" w:rsidRPr="00F1762B" w:rsidRDefault="008721DE" w:rsidP="00E05BB0">
            <w:pPr>
              <w:rPr>
                <w:sz w:val="15"/>
                <w:szCs w:val="15"/>
                <w:lang w:val="en-CA"/>
              </w:rPr>
            </w:pPr>
            <w:r w:rsidRPr="00F1762B">
              <w:rPr>
                <w:rFonts w:ascii="Calibri" w:hAnsi="Calibri"/>
                <w:sz w:val="15"/>
                <w:szCs w:val="15"/>
              </w:rPr>
              <w:t>Taiwan; population-based</w:t>
            </w:r>
          </w:p>
        </w:tc>
        <w:tc>
          <w:tcPr>
            <w:tcW w:w="491" w:type="pct"/>
          </w:tcPr>
          <w:p w14:paraId="33559097" w14:textId="07846016" w:rsidR="008721DE" w:rsidRPr="00F1762B" w:rsidRDefault="008721DE" w:rsidP="00E05BB0">
            <w:pPr>
              <w:rPr>
                <w:sz w:val="15"/>
                <w:szCs w:val="15"/>
                <w:lang w:val="en-CA"/>
              </w:rPr>
            </w:pPr>
            <w:r w:rsidRPr="00F1762B">
              <w:rPr>
                <w:sz w:val="15"/>
                <w:szCs w:val="15"/>
                <w:lang w:val="en-CA"/>
              </w:rPr>
              <w:t>1999 to 2010; NA</w:t>
            </w:r>
          </w:p>
        </w:tc>
        <w:tc>
          <w:tcPr>
            <w:tcW w:w="620" w:type="pct"/>
          </w:tcPr>
          <w:p w14:paraId="7498CDB0" w14:textId="530DFC2F" w:rsidR="008721DE" w:rsidRPr="00F1762B" w:rsidRDefault="008721DE" w:rsidP="00E05BB0">
            <w:pPr>
              <w:rPr>
                <w:sz w:val="15"/>
                <w:szCs w:val="15"/>
              </w:rPr>
            </w:pPr>
            <w:r w:rsidRPr="00F1762B">
              <w:rPr>
                <w:sz w:val="15"/>
                <w:szCs w:val="15"/>
              </w:rPr>
              <w:t>25+; 53.6 (11.3) in ever users of sitagliptin; 55.9 (13.3) in never users of sitagliptin</w:t>
            </w:r>
          </w:p>
        </w:tc>
        <w:tc>
          <w:tcPr>
            <w:tcW w:w="620" w:type="pct"/>
          </w:tcPr>
          <w:p w14:paraId="2517DB2A" w14:textId="739EA349" w:rsidR="008721DE" w:rsidRPr="00F1762B" w:rsidRDefault="008721DE" w:rsidP="00E05BB0">
            <w:pPr>
              <w:rPr>
                <w:sz w:val="15"/>
                <w:szCs w:val="15"/>
                <w:lang w:val="en-CA"/>
              </w:rPr>
            </w:pPr>
            <w:r w:rsidRPr="00F1762B">
              <w:rPr>
                <w:sz w:val="15"/>
                <w:szCs w:val="15"/>
                <w:lang w:val="en-CA"/>
              </w:rPr>
              <w:t>NA</w:t>
            </w:r>
          </w:p>
        </w:tc>
        <w:tc>
          <w:tcPr>
            <w:tcW w:w="537" w:type="pct"/>
          </w:tcPr>
          <w:p w14:paraId="1F3FA869" w14:textId="24C7851D" w:rsidR="008721DE" w:rsidRPr="00F1762B" w:rsidRDefault="008721DE" w:rsidP="00E05BB0">
            <w:pPr>
              <w:rPr>
                <w:sz w:val="15"/>
                <w:szCs w:val="15"/>
                <w:lang w:val="en-CA"/>
              </w:rPr>
            </w:pPr>
            <w:r w:rsidRPr="00F1762B">
              <w:rPr>
                <w:sz w:val="15"/>
                <w:szCs w:val="15"/>
                <w:lang w:val="en-CA"/>
              </w:rPr>
              <w:t>Class 2, sitagliptin vs no use of sitagliptin</w:t>
            </w:r>
          </w:p>
        </w:tc>
        <w:tc>
          <w:tcPr>
            <w:tcW w:w="471" w:type="pct"/>
          </w:tcPr>
          <w:p w14:paraId="682C88ED" w14:textId="5D047473" w:rsidR="008721DE" w:rsidRPr="00F1762B" w:rsidRDefault="00671494" w:rsidP="00E05BB0">
            <w:pPr>
              <w:rPr>
                <w:sz w:val="15"/>
                <w:szCs w:val="15"/>
                <w:lang w:val="en-CA"/>
              </w:rPr>
            </w:pPr>
            <w:r w:rsidRPr="00F1762B">
              <w:rPr>
                <w:sz w:val="15"/>
                <w:szCs w:val="15"/>
                <w:lang w:val="en-CA"/>
              </w:rPr>
              <w:t>Breast cancer</w:t>
            </w:r>
          </w:p>
        </w:tc>
        <w:tc>
          <w:tcPr>
            <w:tcW w:w="785" w:type="pct"/>
          </w:tcPr>
          <w:p w14:paraId="0F8DE290" w14:textId="70DA0016" w:rsidR="008721DE" w:rsidRPr="00F1762B" w:rsidRDefault="008721DE" w:rsidP="00E05BB0">
            <w:pPr>
              <w:rPr>
                <w:sz w:val="15"/>
                <w:szCs w:val="15"/>
              </w:rPr>
            </w:pPr>
            <w:r w:rsidRPr="00F1762B">
              <w:rPr>
                <w:sz w:val="15"/>
                <w:szCs w:val="15"/>
              </w:rPr>
              <w:t>Inverse probability of treatment weighting using propensity score adjusted for age, diabetes-related comorbidities, acute pancreatitis, commonly used medications, other diabetes medications, aspirin, anticoagulant medications, estrogen, and potential detection examinations</w:t>
            </w:r>
          </w:p>
        </w:tc>
        <w:tc>
          <w:tcPr>
            <w:tcW w:w="307" w:type="pct"/>
          </w:tcPr>
          <w:p w14:paraId="51396875" w14:textId="007EAA06" w:rsidR="008721DE" w:rsidRPr="00F1762B" w:rsidRDefault="008721DE" w:rsidP="00E05BB0">
            <w:pPr>
              <w:rPr>
                <w:sz w:val="15"/>
                <w:szCs w:val="15"/>
                <w:lang w:val="en-CA"/>
              </w:rPr>
            </w:pPr>
            <w:r w:rsidRPr="00F1762B">
              <w:rPr>
                <w:rFonts w:ascii="Calibri" w:hAnsi="Calibri"/>
                <w:sz w:val="15"/>
                <w:szCs w:val="15"/>
              </w:rPr>
              <w:t>Low</w:t>
            </w:r>
          </w:p>
        </w:tc>
        <w:tc>
          <w:tcPr>
            <w:tcW w:w="204" w:type="pct"/>
          </w:tcPr>
          <w:p w14:paraId="00378C65" w14:textId="50EC5D4A" w:rsidR="008721DE" w:rsidRPr="00F1762B" w:rsidRDefault="008721DE" w:rsidP="00E05BB0">
            <w:pPr>
              <w:rPr>
                <w:rFonts w:ascii="Calibri" w:hAnsi="Calibri"/>
                <w:sz w:val="15"/>
                <w:szCs w:val="15"/>
              </w:rPr>
            </w:pPr>
            <w:r w:rsidRPr="00F1762B">
              <w:rPr>
                <w:rFonts w:ascii="Calibri" w:hAnsi="Calibri"/>
                <w:sz w:val="15"/>
                <w:szCs w:val="15"/>
              </w:rPr>
              <w:t>8</w:t>
            </w:r>
          </w:p>
        </w:tc>
      </w:tr>
      <w:tr w:rsidR="00B7487B" w:rsidRPr="00F1762B" w14:paraId="0B3BD554" w14:textId="6E11BDEE" w:rsidTr="00F1762B">
        <w:tc>
          <w:tcPr>
            <w:tcW w:w="517" w:type="pct"/>
          </w:tcPr>
          <w:p w14:paraId="00975A76" w14:textId="0CEF55C4" w:rsidR="008721DE" w:rsidRPr="00F1762B" w:rsidRDefault="008721DE" w:rsidP="00E05BB0">
            <w:pPr>
              <w:rPr>
                <w:sz w:val="15"/>
                <w:szCs w:val="15"/>
                <w:lang w:val="en-CA"/>
              </w:rPr>
            </w:pPr>
            <w:r w:rsidRPr="00F1762B">
              <w:rPr>
                <w:rFonts w:ascii="Calibri" w:hAnsi="Calibri"/>
                <w:sz w:val="15"/>
                <w:szCs w:val="15"/>
              </w:rPr>
              <w:t>Tseng 2017d</w:t>
            </w:r>
          </w:p>
        </w:tc>
        <w:tc>
          <w:tcPr>
            <w:tcW w:w="447" w:type="pct"/>
          </w:tcPr>
          <w:p w14:paraId="49760043" w14:textId="2D2366E0" w:rsidR="008721DE" w:rsidRPr="00F1762B" w:rsidRDefault="008721DE" w:rsidP="00E05BB0">
            <w:pPr>
              <w:rPr>
                <w:sz w:val="15"/>
                <w:szCs w:val="15"/>
                <w:lang w:val="en-CA"/>
              </w:rPr>
            </w:pPr>
            <w:r w:rsidRPr="00F1762B">
              <w:rPr>
                <w:rFonts w:ascii="Calibri" w:hAnsi="Calibri"/>
                <w:sz w:val="15"/>
                <w:szCs w:val="15"/>
              </w:rPr>
              <w:t>Taiwan; population-based</w:t>
            </w:r>
          </w:p>
        </w:tc>
        <w:tc>
          <w:tcPr>
            <w:tcW w:w="491" w:type="pct"/>
          </w:tcPr>
          <w:p w14:paraId="4EF4E84D" w14:textId="0379BFEB" w:rsidR="008721DE" w:rsidRPr="00F1762B" w:rsidRDefault="008721DE" w:rsidP="00E05BB0">
            <w:pPr>
              <w:rPr>
                <w:sz w:val="15"/>
                <w:szCs w:val="15"/>
                <w:lang w:val="en-CA"/>
              </w:rPr>
            </w:pPr>
            <w:r w:rsidRPr="00F1762B">
              <w:rPr>
                <w:sz w:val="15"/>
                <w:szCs w:val="15"/>
                <w:lang w:val="en-CA"/>
              </w:rPr>
              <w:t>1996 to 2009; NA</w:t>
            </w:r>
          </w:p>
        </w:tc>
        <w:tc>
          <w:tcPr>
            <w:tcW w:w="620" w:type="pct"/>
          </w:tcPr>
          <w:p w14:paraId="2480AEBC" w14:textId="4792D5E5" w:rsidR="008721DE" w:rsidRPr="00F1762B" w:rsidRDefault="008721DE" w:rsidP="00E05BB0">
            <w:pPr>
              <w:rPr>
                <w:sz w:val="15"/>
                <w:szCs w:val="15"/>
              </w:rPr>
            </w:pPr>
            <w:r w:rsidRPr="00F1762B">
              <w:rPr>
                <w:sz w:val="15"/>
                <w:szCs w:val="15"/>
              </w:rPr>
              <w:t>Over 85% were aged &gt;50</w:t>
            </w:r>
          </w:p>
        </w:tc>
        <w:tc>
          <w:tcPr>
            <w:tcW w:w="620" w:type="pct"/>
          </w:tcPr>
          <w:p w14:paraId="77BC3730" w14:textId="74C1DDDB" w:rsidR="008721DE" w:rsidRPr="00F1762B" w:rsidRDefault="008721DE" w:rsidP="00E05BB0">
            <w:pPr>
              <w:rPr>
                <w:sz w:val="15"/>
                <w:szCs w:val="15"/>
                <w:lang w:val="en-CA"/>
              </w:rPr>
            </w:pPr>
            <w:r w:rsidRPr="00F1762B">
              <w:rPr>
                <w:sz w:val="15"/>
                <w:szCs w:val="15"/>
                <w:lang w:val="en-CA"/>
              </w:rPr>
              <w:t>NA</w:t>
            </w:r>
          </w:p>
        </w:tc>
        <w:tc>
          <w:tcPr>
            <w:tcW w:w="537" w:type="pct"/>
          </w:tcPr>
          <w:p w14:paraId="0A9E24ED" w14:textId="164462A2" w:rsidR="008721DE" w:rsidRPr="00F1762B" w:rsidRDefault="008721DE" w:rsidP="00E05BB0">
            <w:pPr>
              <w:rPr>
                <w:sz w:val="15"/>
                <w:szCs w:val="15"/>
                <w:lang w:val="en-CA"/>
              </w:rPr>
            </w:pPr>
            <w:r w:rsidRPr="00F1762B">
              <w:rPr>
                <w:sz w:val="15"/>
                <w:szCs w:val="15"/>
                <w:lang w:val="en-CA"/>
              </w:rPr>
              <w:t>Class 5, rosiglitazone vs no use of rosiglitazone</w:t>
            </w:r>
          </w:p>
        </w:tc>
        <w:tc>
          <w:tcPr>
            <w:tcW w:w="471" w:type="pct"/>
          </w:tcPr>
          <w:p w14:paraId="6FFB4E91" w14:textId="0EF459FD" w:rsidR="008721DE" w:rsidRPr="00F1762B" w:rsidRDefault="00671494" w:rsidP="00E05BB0">
            <w:pPr>
              <w:rPr>
                <w:sz w:val="15"/>
                <w:szCs w:val="15"/>
                <w:lang w:val="en-CA"/>
              </w:rPr>
            </w:pPr>
            <w:r w:rsidRPr="00F1762B">
              <w:rPr>
                <w:sz w:val="15"/>
                <w:szCs w:val="15"/>
                <w:lang w:val="en-CA"/>
              </w:rPr>
              <w:t>Breast cancer</w:t>
            </w:r>
          </w:p>
        </w:tc>
        <w:tc>
          <w:tcPr>
            <w:tcW w:w="785" w:type="pct"/>
          </w:tcPr>
          <w:p w14:paraId="170212E7" w14:textId="1FA0240E" w:rsidR="008721DE" w:rsidRPr="00F1762B" w:rsidRDefault="008721DE" w:rsidP="00E05BB0">
            <w:pPr>
              <w:rPr>
                <w:sz w:val="15"/>
                <w:szCs w:val="15"/>
              </w:rPr>
            </w:pPr>
            <w:r w:rsidRPr="00F1762B">
              <w:rPr>
                <w:sz w:val="15"/>
                <w:szCs w:val="15"/>
              </w:rPr>
              <w:t>Adjusted for age, diabetes duration, hypertension, COPD, cerebrovascular disease, nephropathy, ischemic heart disease, peripheral arterial disease, eye disease, obesity, dyslipidemia, benign breast conditions, other cancer prior to baseline, sulfonylurea, metformin, acarbose, insulin, estrogen, potential detection examinations</w:t>
            </w:r>
          </w:p>
        </w:tc>
        <w:tc>
          <w:tcPr>
            <w:tcW w:w="307" w:type="pct"/>
          </w:tcPr>
          <w:p w14:paraId="459BF611" w14:textId="32267DAB" w:rsidR="008721DE" w:rsidRPr="00F1762B" w:rsidRDefault="008721DE" w:rsidP="00E05BB0">
            <w:pPr>
              <w:rPr>
                <w:sz w:val="15"/>
                <w:szCs w:val="15"/>
                <w:lang w:val="en-CA"/>
              </w:rPr>
            </w:pPr>
            <w:r w:rsidRPr="00F1762B">
              <w:rPr>
                <w:rFonts w:ascii="Calibri" w:hAnsi="Calibri"/>
                <w:sz w:val="15"/>
                <w:szCs w:val="15"/>
              </w:rPr>
              <w:t>Low</w:t>
            </w:r>
          </w:p>
        </w:tc>
        <w:tc>
          <w:tcPr>
            <w:tcW w:w="204" w:type="pct"/>
          </w:tcPr>
          <w:p w14:paraId="39B038FE" w14:textId="16C3BFF2" w:rsidR="008721DE" w:rsidRPr="00F1762B" w:rsidRDefault="008721DE" w:rsidP="00E05BB0">
            <w:pPr>
              <w:rPr>
                <w:rFonts w:ascii="Calibri" w:hAnsi="Calibri"/>
                <w:sz w:val="15"/>
                <w:szCs w:val="15"/>
              </w:rPr>
            </w:pPr>
            <w:r w:rsidRPr="00F1762B">
              <w:rPr>
                <w:rFonts w:ascii="Calibri" w:hAnsi="Calibri"/>
                <w:sz w:val="15"/>
                <w:szCs w:val="15"/>
              </w:rPr>
              <w:t>8</w:t>
            </w:r>
          </w:p>
        </w:tc>
      </w:tr>
      <w:tr w:rsidR="00B7487B" w:rsidRPr="00F1762B" w14:paraId="411E033A" w14:textId="38872EEE" w:rsidTr="00F1762B">
        <w:tc>
          <w:tcPr>
            <w:tcW w:w="517" w:type="pct"/>
          </w:tcPr>
          <w:p w14:paraId="7749D486" w14:textId="54BA0882" w:rsidR="008721DE" w:rsidRPr="00F1762B" w:rsidRDefault="008721DE" w:rsidP="00E05BB0">
            <w:pPr>
              <w:rPr>
                <w:sz w:val="15"/>
                <w:szCs w:val="15"/>
                <w:lang w:val="en-CA"/>
              </w:rPr>
            </w:pPr>
            <w:r w:rsidRPr="00F1762B">
              <w:rPr>
                <w:rFonts w:ascii="Calibri" w:hAnsi="Calibri"/>
                <w:sz w:val="15"/>
                <w:szCs w:val="15"/>
              </w:rPr>
              <w:t>Bowker 2017</w:t>
            </w:r>
          </w:p>
        </w:tc>
        <w:tc>
          <w:tcPr>
            <w:tcW w:w="447" w:type="pct"/>
          </w:tcPr>
          <w:p w14:paraId="666B12A9" w14:textId="422E6F53" w:rsidR="008721DE" w:rsidRPr="00F1762B" w:rsidRDefault="008721DE" w:rsidP="00E05BB0">
            <w:pPr>
              <w:rPr>
                <w:sz w:val="15"/>
                <w:szCs w:val="15"/>
                <w:lang w:val="en-CA"/>
              </w:rPr>
            </w:pPr>
            <w:r w:rsidRPr="00F1762B">
              <w:rPr>
                <w:rFonts w:ascii="Calibri" w:hAnsi="Calibri"/>
                <w:sz w:val="15"/>
                <w:szCs w:val="15"/>
              </w:rPr>
              <w:t>United States; population-based</w:t>
            </w:r>
          </w:p>
        </w:tc>
        <w:tc>
          <w:tcPr>
            <w:tcW w:w="491" w:type="pct"/>
          </w:tcPr>
          <w:p w14:paraId="34B7D282" w14:textId="7144C098" w:rsidR="008721DE" w:rsidRPr="00F1762B" w:rsidRDefault="008721DE" w:rsidP="00E05BB0">
            <w:pPr>
              <w:rPr>
                <w:sz w:val="15"/>
                <w:szCs w:val="15"/>
                <w:lang w:val="en-CA"/>
              </w:rPr>
            </w:pPr>
            <w:r w:rsidRPr="00F1762B">
              <w:rPr>
                <w:sz w:val="15"/>
                <w:szCs w:val="15"/>
                <w:lang w:val="en-CA"/>
              </w:rPr>
              <w:t>6 years; NA</w:t>
            </w:r>
          </w:p>
        </w:tc>
        <w:tc>
          <w:tcPr>
            <w:tcW w:w="620" w:type="pct"/>
          </w:tcPr>
          <w:p w14:paraId="14D99171" w14:textId="39E878B2" w:rsidR="008721DE" w:rsidRPr="00F1762B" w:rsidRDefault="008721DE" w:rsidP="00E05BB0">
            <w:pPr>
              <w:rPr>
                <w:sz w:val="15"/>
                <w:szCs w:val="15"/>
              </w:rPr>
            </w:pPr>
            <w:r w:rsidRPr="00F1762B">
              <w:rPr>
                <w:sz w:val="15"/>
                <w:szCs w:val="15"/>
              </w:rPr>
              <w:t>30+; 53.0 (9.2)</w:t>
            </w:r>
          </w:p>
          <w:p w14:paraId="0B139B66" w14:textId="77777777" w:rsidR="008721DE" w:rsidRPr="00F1762B" w:rsidRDefault="008721DE" w:rsidP="00E05BB0">
            <w:pPr>
              <w:rPr>
                <w:sz w:val="15"/>
                <w:szCs w:val="15"/>
                <w:lang w:val="en-CA"/>
              </w:rPr>
            </w:pPr>
          </w:p>
        </w:tc>
        <w:tc>
          <w:tcPr>
            <w:tcW w:w="620" w:type="pct"/>
          </w:tcPr>
          <w:p w14:paraId="0A3D4730" w14:textId="08CEC1A8" w:rsidR="008721DE" w:rsidRPr="00F1762B" w:rsidRDefault="008721DE" w:rsidP="00E05BB0">
            <w:pPr>
              <w:rPr>
                <w:sz w:val="15"/>
                <w:szCs w:val="15"/>
                <w:lang w:val="en-CA"/>
              </w:rPr>
            </w:pPr>
            <w:r w:rsidRPr="00F1762B">
              <w:rPr>
                <w:sz w:val="15"/>
                <w:szCs w:val="15"/>
                <w:lang w:val="en-CA"/>
              </w:rPr>
              <w:t>NA</w:t>
            </w:r>
          </w:p>
        </w:tc>
        <w:tc>
          <w:tcPr>
            <w:tcW w:w="537" w:type="pct"/>
          </w:tcPr>
          <w:p w14:paraId="2D881C9C" w14:textId="77777777" w:rsidR="008721DE" w:rsidRPr="00F1762B" w:rsidRDefault="008721DE" w:rsidP="00E05BB0">
            <w:pPr>
              <w:rPr>
                <w:sz w:val="15"/>
                <w:szCs w:val="15"/>
                <w:lang w:val="en-CA"/>
              </w:rPr>
            </w:pPr>
            <w:r w:rsidRPr="00F1762B">
              <w:rPr>
                <w:sz w:val="15"/>
                <w:szCs w:val="15"/>
                <w:lang w:val="en-CA"/>
              </w:rPr>
              <w:t>Class 1, metformin vs no use of metformin;</w:t>
            </w:r>
          </w:p>
          <w:p w14:paraId="320871A9" w14:textId="77777777" w:rsidR="008721DE" w:rsidRPr="00F1762B" w:rsidRDefault="008721DE" w:rsidP="00E05BB0">
            <w:pPr>
              <w:rPr>
                <w:sz w:val="15"/>
                <w:szCs w:val="15"/>
                <w:lang w:val="en-CA"/>
              </w:rPr>
            </w:pPr>
          </w:p>
          <w:p w14:paraId="60FFA84B" w14:textId="5888A483" w:rsidR="008721DE" w:rsidRPr="00F1762B" w:rsidRDefault="008721DE" w:rsidP="00E05BB0">
            <w:pPr>
              <w:rPr>
                <w:sz w:val="15"/>
                <w:szCs w:val="15"/>
                <w:lang w:val="en-CA"/>
              </w:rPr>
            </w:pPr>
            <w:r w:rsidRPr="00F1762B">
              <w:rPr>
                <w:sz w:val="15"/>
                <w:szCs w:val="15"/>
                <w:lang w:val="en-CA"/>
              </w:rPr>
              <w:t>Class 4, sulfonylurea vs use of other diabetes medication(s);</w:t>
            </w:r>
          </w:p>
          <w:p w14:paraId="48E01F6D" w14:textId="77777777" w:rsidR="008721DE" w:rsidRPr="00F1762B" w:rsidRDefault="008721DE" w:rsidP="00E05BB0">
            <w:pPr>
              <w:rPr>
                <w:sz w:val="15"/>
                <w:szCs w:val="15"/>
                <w:lang w:val="en-CA"/>
              </w:rPr>
            </w:pPr>
          </w:p>
          <w:p w14:paraId="40CB781F" w14:textId="0D1C1042" w:rsidR="008721DE" w:rsidRPr="00F1762B" w:rsidRDefault="008721DE" w:rsidP="00E05BB0">
            <w:pPr>
              <w:rPr>
                <w:sz w:val="15"/>
                <w:szCs w:val="15"/>
                <w:lang w:val="en-CA"/>
              </w:rPr>
            </w:pPr>
            <w:r w:rsidRPr="00F1762B">
              <w:rPr>
                <w:sz w:val="15"/>
                <w:szCs w:val="15"/>
                <w:lang w:val="en-CA"/>
              </w:rPr>
              <w:t>Class 5, thiazolidinedione vs no use of thiazolidinedione;</w:t>
            </w:r>
          </w:p>
          <w:p w14:paraId="25C4F2F8" w14:textId="77777777" w:rsidR="008721DE" w:rsidRPr="00F1762B" w:rsidRDefault="008721DE" w:rsidP="00E05BB0">
            <w:pPr>
              <w:rPr>
                <w:sz w:val="15"/>
                <w:szCs w:val="15"/>
                <w:lang w:val="en-CA"/>
              </w:rPr>
            </w:pPr>
          </w:p>
          <w:p w14:paraId="6BE0B994" w14:textId="08A85F37" w:rsidR="008721DE" w:rsidRPr="00F1762B" w:rsidRDefault="008721DE" w:rsidP="00E05BB0">
            <w:pPr>
              <w:rPr>
                <w:sz w:val="15"/>
                <w:szCs w:val="15"/>
                <w:lang w:val="en-CA"/>
              </w:rPr>
            </w:pPr>
            <w:r w:rsidRPr="00F1762B">
              <w:rPr>
                <w:sz w:val="15"/>
                <w:szCs w:val="15"/>
                <w:lang w:val="en-CA"/>
              </w:rPr>
              <w:t>Class 6, insulin vs no use of insulin</w:t>
            </w:r>
          </w:p>
        </w:tc>
        <w:tc>
          <w:tcPr>
            <w:tcW w:w="471" w:type="pct"/>
          </w:tcPr>
          <w:p w14:paraId="273C4500" w14:textId="4F2CFC33" w:rsidR="008721DE" w:rsidRPr="00F1762B" w:rsidRDefault="00671494" w:rsidP="00E05BB0">
            <w:pPr>
              <w:rPr>
                <w:sz w:val="15"/>
                <w:szCs w:val="15"/>
                <w:lang w:val="en-CA"/>
              </w:rPr>
            </w:pPr>
            <w:r w:rsidRPr="00F1762B">
              <w:rPr>
                <w:sz w:val="15"/>
                <w:szCs w:val="15"/>
                <w:lang w:val="en-CA"/>
              </w:rPr>
              <w:t>Breast cancer</w:t>
            </w:r>
          </w:p>
        </w:tc>
        <w:tc>
          <w:tcPr>
            <w:tcW w:w="785" w:type="pct"/>
          </w:tcPr>
          <w:p w14:paraId="4E2FC992" w14:textId="6198B749" w:rsidR="008721DE" w:rsidRPr="00F1762B" w:rsidRDefault="008721DE" w:rsidP="00E05BB0">
            <w:pPr>
              <w:rPr>
                <w:sz w:val="15"/>
                <w:szCs w:val="15"/>
                <w:lang w:val="en-CA"/>
              </w:rPr>
            </w:pPr>
            <w:r w:rsidRPr="00F1762B">
              <w:rPr>
                <w:sz w:val="15"/>
                <w:szCs w:val="15"/>
                <w:lang w:val="en-CA"/>
              </w:rPr>
              <w:t>Adjusted for age at drug index</w:t>
            </w:r>
          </w:p>
        </w:tc>
        <w:tc>
          <w:tcPr>
            <w:tcW w:w="307" w:type="pct"/>
          </w:tcPr>
          <w:p w14:paraId="1A54C533" w14:textId="3B735B2C" w:rsidR="008721DE" w:rsidRPr="00F1762B" w:rsidRDefault="008721DE" w:rsidP="00E05BB0">
            <w:pPr>
              <w:rPr>
                <w:sz w:val="15"/>
                <w:szCs w:val="15"/>
                <w:lang w:val="en-CA"/>
              </w:rPr>
            </w:pPr>
            <w:r w:rsidRPr="00F1762B">
              <w:rPr>
                <w:rFonts w:ascii="Calibri" w:hAnsi="Calibri"/>
                <w:sz w:val="15"/>
                <w:szCs w:val="15"/>
              </w:rPr>
              <w:t>Moderate</w:t>
            </w:r>
          </w:p>
        </w:tc>
        <w:tc>
          <w:tcPr>
            <w:tcW w:w="204" w:type="pct"/>
          </w:tcPr>
          <w:p w14:paraId="35204551" w14:textId="6EA75524" w:rsidR="008721DE" w:rsidRPr="00F1762B" w:rsidRDefault="008721DE" w:rsidP="00E05BB0">
            <w:pPr>
              <w:rPr>
                <w:rFonts w:ascii="Calibri" w:hAnsi="Calibri"/>
                <w:sz w:val="15"/>
                <w:szCs w:val="15"/>
              </w:rPr>
            </w:pPr>
            <w:r w:rsidRPr="00F1762B">
              <w:rPr>
                <w:rFonts w:ascii="Calibri" w:hAnsi="Calibri"/>
                <w:sz w:val="15"/>
                <w:szCs w:val="15"/>
              </w:rPr>
              <w:t>6</w:t>
            </w:r>
          </w:p>
        </w:tc>
      </w:tr>
      <w:tr w:rsidR="00B7487B" w:rsidRPr="00F1762B" w14:paraId="6AD25BA7" w14:textId="320FFAA3" w:rsidTr="00F1762B">
        <w:tc>
          <w:tcPr>
            <w:tcW w:w="517" w:type="pct"/>
          </w:tcPr>
          <w:p w14:paraId="28BFD0F2" w14:textId="7FE547ED" w:rsidR="008721DE" w:rsidRPr="00F1762B" w:rsidRDefault="008721DE" w:rsidP="00E05BB0">
            <w:pPr>
              <w:rPr>
                <w:sz w:val="15"/>
                <w:szCs w:val="15"/>
                <w:lang w:val="en-CA"/>
              </w:rPr>
            </w:pPr>
            <w:r w:rsidRPr="00F1762B">
              <w:rPr>
                <w:rFonts w:ascii="Calibri" w:hAnsi="Calibri"/>
                <w:sz w:val="15"/>
                <w:szCs w:val="15"/>
              </w:rPr>
              <w:t>Tseng 2017e</w:t>
            </w:r>
          </w:p>
        </w:tc>
        <w:tc>
          <w:tcPr>
            <w:tcW w:w="447" w:type="pct"/>
          </w:tcPr>
          <w:p w14:paraId="61BFA775" w14:textId="0A7195BA" w:rsidR="008721DE" w:rsidRPr="00F1762B" w:rsidRDefault="008721DE" w:rsidP="00E05BB0">
            <w:pPr>
              <w:rPr>
                <w:sz w:val="15"/>
                <w:szCs w:val="15"/>
                <w:lang w:val="en-CA"/>
              </w:rPr>
            </w:pPr>
            <w:r w:rsidRPr="00F1762B">
              <w:rPr>
                <w:rFonts w:ascii="Calibri" w:hAnsi="Calibri"/>
                <w:sz w:val="15"/>
                <w:szCs w:val="15"/>
              </w:rPr>
              <w:t>Taiwan; population-based</w:t>
            </w:r>
          </w:p>
        </w:tc>
        <w:tc>
          <w:tcPr>
            <w:tcW w:w="491" w:type="pct"/>
          </w:tcPr>
          <w:p w14:paraId="108821A7" w14:textId="1B9F759E" w:rsidR="008721DE" w:rsidRPr="00F1762B" w:rsidRDefault="008721DE" w:rsidP="00E05BB0">
            <w:pPr>
              <w:rPr>
                <w:sz w:val="15"/>
                <w:szCs w:val="15"/>
                <w:lang w:val="en-CA"/>
              </w:rPr>
            </w:pPr>
            <w:r w:rsidRPr="00F1762B">
              <w:rPr>
                <w:sz w:val="15"/>
                <w:szCs w:val="15"/>
                <w:lang w:val="en-CA"/>
              </w:rPr>
              <w:t>1997 to 2012; NA</w:t>
            </w:r>
          </w:p>
        </w:tc>
        <w:tc>
          <w:tcPr>
            <w:tcW w:w="620" w:type="pct"/>
          </w:tcPr>
          <w:p w14:paraId="517FB798" w14:textId="75BE7371" w:rsidR="008721DE" w:rsidRPr="00F1762B" w:rsidRDefault="008721DE" w:rsidP="00E05BB0">
            <w:pPr>
              <w:rPr>
                <w:sz w:val="15"/>
                <w:szCs w:val="15"/>
              </w:rPr>
            </w:pPr>
            <w:r w:rsidRPr="00F1762B">
              <w:rPr>
                <w:sz w:val="15"/>
                <w:szCs w:val="15"/>
              </w:rPr>
              <w:t>18+; 64.1 (12.2) in incretin cohort; 63.6 (12.2) in non-incretin cohort</w:t>
            </w:r>
          </w:p>
        </w:tc>
        <w:tc>
          <w:tcPr>
            <w:tcW w:w="620" w:type="pct"/>
          </w:tcPr>
          <w:p w14:paraId="2BB31757" w14:textId="7349547C" w:rsidR="008721DE" w:rsidRPr="00F1762B" w:rsidRDefault="008721DE" w:rsidP="00E05BB0">
            <w:pPr>
              <w:rPr>
                <w:sz w:val="15"/>
                <w:szCs w:val="15"/>
              </w:rPr>
            </w:pPr>
            <w:r w:rsidRPr="00F1762B">
              <w:rPr>
                <w:sz w:val="15"/>
                <w:szCs w:val="15"/>
              </w:rPr>
              <w:t>50.5</w:t>
            </w:r>
          </w:p>
        </w:tc>
        <w:tc>
          <w:tcPr>
            <w:tcW w:w="537" w:type="pct"/>
          </w:tcPr>
          <w:p w14:paraId="10932546" w14:textId="27C8B149" w:rsidR="008721DE" w:rsidRPr="00F1762B" w:rsidRDefault="008721DE" w:rsidP="00E05BB0">
            <w:pPr>
              <w:rPr>
                <w:sz w:val="15"/>
                <w:szCs w:val="15"/>
                <w:lang w:val="en-CA"/>
              </w:rPr>
            </w:pPr>
            <w:r w:rsidRPr="00F1762B">
              <w:rPr>
                <w:sz w:val="15"/>
                <w:szCs w:val="15"/>
                <w:lang w:val="en-CA"/>
              </w:rPr>
              <w:t xml:space="preserve">Class 2, incretin-based medicines (including saxagliptin, vildagliptin, sitagliptin, exenatide, and </w:t>
            </w:r>
            <w:r w:rsidRPr="00F1762B">
              <w:rPr>
                <w:sz w:val="15"/>
                <w:szCs w:val="15"/>
                <w:lang w:val="en-CA"/>
              </w:rPr>
              <w:lastRenderedPageBreak/>
              <w:t>linagliptin) vs no use of incretin-based medicines</w:t>
            </w:r>
          </w:p>
        </w:tc>
        <w:tc>
          <w:tcPr>
            <w:tcW w:w="471" w:type="pct"/>
          </w:tcPr>
          <w:p w14:paraId="78099889" w14:textId="0BD420B3" w:rsidR="008721DE" w:rsidRPr="00F1762B" w:rsidRDefault="00671494" w:rsidP="00E05BB0">
            <w:pPr>
              <w:rPr>
                <w:sz w:val="15"/>
                <w:szCs w:val="15"/>
                <w:lang w:val="en-CA"/>
              </w:rPr>
            </w:pPr>
            <w:r w:rsidRPr="00F1762B">
              <w:rPr>
                <w:sz w:val="15"/>
                <w:szCs w:val="15"/>
                <w:lang w:val="en-CA"/>
              </w:rPr>
              <w:lastRenderedPageBreak/>
              <w:t>Pancreatic cancer</w:t>
            </w:r>
          </w:p>
        </w:tc>
        <w:tc>
          <w:tcPr>
            <w:tcW w:w="785" w:type="pct"/>
          </w:tcPr>
          <w:p w14:paraId="0C7B3A33" w14:textId="422CFF8E" w:rsidR="008721DE" w:rsidRPr="00F1762B" w:rsidRDefault="008721DE" w:rsidP="00E05BB0">
            <w:pPr>
              <w:rPr>
                <w:sz w:val="15"/>
                <w:szCs w:val="15"/>
              </w:rPr>
            </w:pPr>
            <w:r w:rsidRPr="00F1762B">
              <w:rPr>
                <w:sz w:val="15"/>
                <w:szCs w:val="15"/>
              </w:rPr>
              <w:t>Matched on age (±1 year), gender, Diabetes Complication Severity Index;</w:t>
            </w:r>
          </w:p>
          <w:p w14:paraId="064F54CB" w14:textId="77777777" w:rsidR="008721DE" w:rsidRPr="00F1762B" w:rsidRDefault="008721DE" w:rsidP="00E05BB0">
            <w:pPr>
              <w:rPr>
                <w:sz w:val="15"/>
                <w:szCs w:val="15"/>
              </w:rPr>
            </w:pPr>
          </w:p>
          <w:p w14:paraId="232DC31F" w14:textId="6E710D90" w:rsidR="008721DE" w:rsidRPr="00F1762B" w:rsidRDefault="008721DE" w:rsidP="00E05BB0">
            <w:pPr>
              <w:rPr>
                <w:sz w:val="15"/>
                <w:szCs w:val="15"/>
              </w:rPr>
            </w:pPr>
            <w:r w:rsidRPr="00F1762B">
              <w:rPr>
                <w:sz w:val="15"/>
                <w:szCs w:val="15"/>
              </w:rPr>
              <w:t xml:space="preserve">Adjusted for gallstone disease, alcohol-related disease, </w:t>
            </w:r>
            <w:r w:rsidRPr="00F1762B">
              <w:rPr>
                <w:sz w:val="15"/>
                <w:szCs w:val="15"/>
              </w:rPr>
              <w:lastRenderedPageBreak/>
              <w:t>hypertriglyceridemia, pancreatic disease, obesity, and tobacco use</w:t>
            </w:r>
          </w:p>
        </w:tc>
        <w:tc>
          <w:tcPr>
            <w:tcW w:w="307" w:type="pct"/>
          </w:tcPr>
          <w:p w14:paraId="2DA33FC6" w14:textId="1243AF1A" w:rsidR="008721DE" w:rsidRPr="00F1762B" w:rsidRDefault="008721DE" w:rsidP="00E05BB0">
            <w:pPr>
              <w:rPr>
                <w:sz w:val="15"/>
                <w:szCs w:val="15"/>
                <w:lang w:val="en-CA"/>
              </w:rPr>
            </w:pPr>
            <w:r w:rsidRPr="00F1762B">
              <w:rPr>
                <w:rFonts w:ascii="Calibri" w:hAnsi="Calibri"/>
                <w:sz w:val="15"/>
                <w:szCs w:val="15"/>
              </w:rPr>
              <w:lastRenderedPageBreak/>
              <w:t>Low</w:t>
            </w:r>
          </w:p>
        </w:tc>
        <w:tc>
          <w:tcPr>
            <w:tcW w:w="204" w:type="pct"/>
          </w:tcPr>
          <w:p w14:paraId="2A0EFA43" w14:textId="247A490E" w:rsidR="008721DE" w:rsidRPr="00F1762B" w:rsidRDefault="008721DE" w:rsidP="00E05BB0">
            <w:pPr>
              <w:rPr>
                <w:rFonts w:ascii="Calibri" w:hAnsi="Calibri"/>
                <w:sz w:val="15"/>
                <w:szCs w:val="15"/>
              </w:rPr>
            </w:pPr>
            <w:r w:rsidRPr="00F1762B">
              <w:rPr>
                <w:rFonts w:ascii="Calibri" w:hAnsi="Calibri"/>
                <w:sz w:val="15"/>
                <w:szCs w:val="15"/>
              </w:rPr>
              <w:t>7</w:t>
            </w:r>
          </w:p>
        </w:tc>
      </w:tr>
      <w:tr w:rsidR="00B7487B" w:rsidRPr="00F1762B" w14:paraId="7EEB6EE5" w14:textId="1BA394EA" w:rsidTr="00F1762B">
        <w:tc>
          <w:tcPr>
            <w:tcW w:w="517" w:type="pct"/>
          </w:tcPr>
          <w:p w14:paraId="76D33569" w14:textId="1A055419" w:rsidR="008721DE" w:rsidRPr="00F1762B" w:rsidRDefault="008721DE" w:rsidP="00E05BB0">
            <w:pPr>
              <w:rPr>
                <w:sz w:val="15"/>
                <w:szCs w:val="15"/>
                <w:lang w:val="en-CA"/>
              </w:rPr>
            </w:pPr>
            <w:r w:rsidRPr="00F1762B">
              <w:rPr>
                <w:rFonts w:ascii="Calibri" w:hAnsi="Calibri"/>
                <w:sz w:val="15"/>
                <w:szCs w:val="15"/>
              </w:rPr>
              <w:t>Tseng 2017f</w:t>
            </w:r>
          </w:p>
        </w:tc>
        <w:tc>
          <w:tcPr>
            <w:tcW w:w="447" w:type="pct"/>
          </w:tcPr>
          <w:p w14:paraId="1FB4FC13" w14:textId="4289BA7D" w:rsidR="008721DE" w:rsidRPr="00F1762B" w:rsidRDefault="008721DE" w:rsidP="00E05BB0">
            <w:pPr>
              <w:rPr>
                <w:sz w:val="15"/>
                <w:szCs w:val="15"/>
                <w:lang w:val="en-CA"/>
              </w:rPr>
            </w:pPr>
            <w:r w:rsidRPr="00F1762B">
              <w:rPr>
                <w:rFonts w:ascii="Calibri" w:hAnsi="Calibri"/>
                <w:sz w:val="15"/>
                <w:szCs w:val="15"/>
              </w:rPr>
              <w:t>Taiwan; population-based</w:t>
            </w:r>
          </w:p>
        </w:tc>
        <w:tc>
          <w:tcPr>
            <w:tcW w:w="491" w:type="pct"/>
          </w:tcPr>
          <w:p w14:paraId="7D373359" w14:textId="601D91C5" w:rsidR="008721DE" w:rsidRPr="00F1762B" w:rsidRDefault="008721DE" w:rsidP="00E05BB0">
            <w:pPr>
              <w:rPr>
                <w:sz w:val="15"/>
                <w:szCs w:val="15"/>
                <w:lang w:val="en-CA"/>
              </w:rPr>
            </w:pPr>
            <w:r w:rsidRPr="00F1762B">
              <w:rPr>
                <w:sz w:val="15"/>
                <w:szCs w:val="15"/>
                <w:lang w:val="en-CA"/>
              </w:rPr>
              <w:t>1999 to 2010; NA</w:t>
            </w:r>
          </w:p>
        </w:tc>
        <w:tc>
          <w:tcPr>
            <w:tcW w:w="620" w:type="pct"/>
          </w:tcPr>
          <w:p w14:paraId="4B58C471" w14:textId="62D06C5E" w:rsidR="008721DE" w:rsidRPr="00F1762B" w:rsidRDefault="008721DE" w:rsidP="00E05BB0">
            <w:pPr>
              <w:rPr>
                <w:sz w:val="15"/>
                <w:szCs w:val="15"/>
              </w:rPr>
            </w:pPr>
            <w:r w:rsidRPr="00F1762B">
              <w:rPr>
                <w:sz w:val="15"/>
                <w:szCs w:val="15"/>
              </w:rPr>
              <w:t>25+; 51.5 (11.5) in users; 54.2 (12.9) in non-users</w:t>
            </w:r>
            <w:r w:rsidRPr="00F1762B">
              <w:rPr>
                <w:sz w:val="15"/>
                <w:szCs w:val="15"/>
              </w:rPr>
              <w:br/>
            </w:r>
          </w:p>
          <w:p w14:paraId="49B9E45A" w14:textId="77777777" w:rsidR="008721DE" w:rsidRPr="00F1762B" w:rsidRDefault="008721DE" w:rsidP="00E05BB0">
            <w:pPr>
              <w:rPr>
                <w:sz w:val="15"/>
                <w:szCs w:val="15"/>
                <w:lang w:val="en-CA"/>
              </w:rPr>
            </w:pPr>
          </w:p>
        </w:tc>
        <w:tc>
          <w:tcPr>
            <w:tcW w:w="620" w:type="pct"/>
          </w:tcPr>
          <w:p w14:paraId="7B7A36D2" w14:textId="3ADBA6B9" w:rsidR="008721DE" w:rsidRPr="00F1762B" w:rsidRDefault="008721DE" w:rsidP="00E05BB0">
            <w:pPr>
              <w:rPr>
                <w:sz w:val="15"/>
                <w:szCs w:val="15"/>
                <w:lang w:val="en-CA"/>
              </w:rPr>
            </w:pPr>
            <w:r w:rsidRPr="00F1762B">
              <w:rPr>
                <w:sz w:val="15"/>
                <w:szCs w:val="15"/>
                <w:lang w:val="en-CA"/>
              </w:rPr>
              <w:t>100.0</w:t>
            </w:r>
          </w:p>
        </w:tc>
        <w:tc>
          <w:tcPr>
            <w:tcW w:w="537" w:type="pct"/>
          </w:tcPr>
          <w:p w14:paraId="1A96063C" w14:textId="118767A9" w:rsidR="008721DE" w:rsidRPr="00F1762B" w:rsidRDefault="008721DE" w:rsidP="00E05BB0">
            <w:pPr>
              <w:rPr>
                <w:sz w:val="15"/>
                <w:szCs w:val="15"/>
                <w:lang w:val="en-CA"/>
              </w:rPr>
            </w:pPr>
            <w:r w:rsidRPr="00F1762B">
              <w:rPr>
                <w:sz w:val="15"/>
                <w:szCs w:val="15"/>
                <w:lang w:val="en-CA"/>
              </w:rPr>
              <w:t>Class 2, sitagliptin vs no use of sitagliptin</w:t>
            </w:r>
          </w:p>
        </w:tc>
        <w:tc>
          <w:tcPr>
            <w:tcW w:w="471" w:type="pct"/>
          </w:tcPr>
          <w:p w14:paraId="0879EDAA" w14:textId="63F72348" w:rsidR="008721DE" w:rsidRPr="00F1762B" w:rsidRDefault="00671494" w:rsidP="00E05BB0">
            <w:pPr>
              <w:rPr>
                <w:sz w:val="15"/>
                <w:szCs w:val="15"/>
                <w:lang w:val="en-CA"/>
              </w:rPr>
            </w:pPr>
            <w:r w:rsidRPr="00F1762B">
              <w:rPr>
                <w:sz w:val="15"/>
                <w:szCs w:val="15"/>
                <w:lang w:val="en-CA"/>
              </w:rPr>
              <w:t>Prostate cancer</w:t>
            </w:r>
          </w:p>
        </w:tc>
        <w:tc>
          <w:tcPr>
            <w:tcW w:w="785" w:type="pct"/>
          </w:tcPr>
          <w:p w14:paraId="489F3945" w14:textId="5E03AF6A" w:rsidR="008721DE" w:rsidRPr="00F1762B" w:rsidRDefault="008721DE" w:rsidP="00E05BB0">
            <w:pPr>
              <w:tabs>
                <w:tab w:val="left" w:pos="477"/>
              </w:tabs>
              <w:rPr>
                <w:sz w:val="15"/>
                <w:szCs w:val="15"/>
              </w:rPr>
            </w:pPr>
            <w:r w:rsidRPr="00F1762B">
              <w:rPr>
                <w:sz w:val="15"/>
                <w:szCs w:val="15"/>
              </w:rPr>
              <w:t>Inverse probability of treatment weighting using propensity score adjusted for age, diabetes duration, hypertension, COPD, stroke, diabetes-related comorbidities, acute pancreatitis, benign prostatic hyperplasia, commonly used medications, other diabetes medications, and prostate-specific antigen</w:t>
            </w:r>
          </w:p>
        </w:tc>
        <w:tc>
          <w:tcPr>
            <w:tcW w:w="307" w:type="pct"/>
          </w:tcPr>
          <w:p w14:paraId="1F64F3D8" w14:textId="459D9FBC" w:rsidR="008721DE" w:rsidRPr="00F1762B" w:rsidRDefault="008721DE" w:rsidP="00E05BB0">
            <w:pPr>
              <w:rPr>
                <w:sz w:val="15"/>
                <w:szCs w:val="15"/>
                <w:lang w:val="en-CA"/>
              </w:rPr>
            </w:pPr>
            <w:r w:rsidRPr="00F1762B">
              <w:rPr>
                <w:rFonts w:ascii="Calibri" w:hAnsi="Calibri"/>
                <w:sz w:val="15"/>
                <w:szCs w:val="15"/>
              </w:rPr>
              <w:t>Low</w:t>
            </w:r>
          </w:p>
        </w:tc>
        <w:tc>
          <w:tcPr>
            <w:tcW w:w="204" w:type="pct"/>
          </w:tcPr>
          <w:p w14:paraId="6D948DCD" w14:textId="0251650C" w:rsidR="008721DE" w:rsidRPr="00F1762B" w:rsidRDefault="008721DE" w:rsidP="00E05BB0">
            <w:pPr>
              <w:rPr>
                <w:rFonts w:ascii="Calibri" w:hAnsi="Calibri"/>
                <w:sz w:val="15"/>
                <w:szCs w:val="15"/>
              </w:rPr>
            </w:pPr>
            <w:r w:rsidRPr="00F1762B">
              <w:rPr>
                <w:rFonts w:ascii="Calibri" w:hAnsi="Calibri"/>
                <w:sz w:val="15"/>
                <w:szCs w:val="15"/>
              </w:rPr>
              <w:t>8</w:t>
            </w:r>
          </w:p>
        </w:tc>
      </w:tr>
      <w:tr w:rsidR="00B7487B" w:rsidRPr="00F1762B" w14:paraId="334E91F4" w14:textId="7710E589" w:rsidTr="00F1762B">
        <w:tc>
          <w:tcPr>
            <w:tcW w:w="517" w:type="pct"/>
          </w:tcPr>
          <w:p w14:paraId="51E17A21" w14:textId="59780671" w:rsidR="008721DE" w:rsidRPr="00F1762B" w:rsidRDefault="008721DE" w:rsidP="00E05BB0">
            <w:pPr>
              <w:rPr>
                <w:sz w:val="15"/>
                <w:szCs w:val="15"/>
                <w:lang w:val="en-CA"/>
              </w:rPr>
            </w:pPr>
            <w:r w:rsidRPr="00F1762B">
              <w:rPr>
                <w:rFonts w:ascii="Calibri" w:hAnsi="Calibri"/>
                <w:sz w:val="15"/>
                <w:szCs w:val="15"/>
              </w:rPr>
              <w:t>Tseng 2019</w:t>
            </w:r>
          </w:p>
        </w:tc>
        <w:tc>
          <w:tcPr>
            <w:tcW w:w="447" w:type="pct"/>
          </w:tcPr>
          <w:p w14:paraId="52173521" w14:textId="38C436E9" w:rsidR="008721DE" w:rsidRPr="00F1762B" w:rsidRDefault="008721DE" w:rsidP="00E05BB0">
            <w:pPr>
              <w:rPr>
                <w:sz w:val="15"/>
                <w:szCs w:val="15"/>
                <w:lang w:val="en-CA"/>
              </w:rPr>
            </w:pPr>
            <w:r w:rsidRPr="00F1762B">
              <w:rPr>
                <w:rFonts w:ascii="Calibri" w:hAnsi="Calibri"/>
                <w:sz w:val="15"/>
                <w:szCs w:val="15"/>
              </w:rPr>
              <w:t>Taiwan; population-based</w:t>
            </w:r>
          </w:p>
        </w:tc>
        <w:tc>
          <w:tcPr>
            <w:tcW w:w="491" w:type="pct"/>
          </w:tcPr>
          <w:p w14:paraId="5F5E1777" w14:textId="6B85DFDC" w:rsidR="008721DE" w:rsidRPr="00F1762B" w:rsidRDefault="008721DE" w:rsidP="00E05BB0">
            <w:pPr>
              <w:rPr>
                <w:sz w:val="15"/>
                <w:szCs w:val="15"/>
                <w:lang w:val="en-CA"/>
              </w:rPr>
            </w:pPr>
            <w:r w:rsidRPr="00F1762B">
              <w:rPr>
                <w:sz w:val="15"/>
                <w:szCs w:val="15"/>
                <w:lang w:val="en-CA"/>
              </w:rPr>
              <w:t>1996 to 2009; NA</w:t>
            </w:r>
          </w:p>
        </w:tc>
        <w:tc>
          <w:tcPr>
            <w:tcW w:w="620" w:type="pct"/>
          </w:tcPr>
          <w:p w14:paraId="37B72053" w14:textId="5171F37E" w:rsidR="008721DE" w:rsidRPr="00F1762B" w:rsidRDefault="008721DE" w:rsidP="00E05BB0">
            <w:pPr>
              <w:rPr>
                <w:sz w:val="15"/>
                <w:szCs w:val="15"/>
              </w:rPr>
            </w:pPr>
            <w:r w:rsidRPr="00F1762B">
              <w:rPr>
                <w:sz w:val="15"/>
                <w:szCs w:val="15"/>
              </w:rPr>
              <w:t>NA; ~61% of ever users of human insulin and 55% of never users were &gt;60</w:t>
            </w:r>
          </w:p>
        </w:tc>
        <w:tc>
          <w:tcPr>
            <w:tcW w:w="620" w:type="pct"/>
          </w:tcPr>
          <w:p w14:paraId="3004B113" w14:textId="0BA24ED5" w:rsidR="008721DE" w:rsidRPr="00F1762B" w:rsidRDefault="008721DE" w:rsidP="00E05BB0">
            <w:pPr>
              <w:rPr>
                <w:sz w:val="15"/>
                <w:szCs w:val="15"/>
              </w:rPr>
            </w:pPr>
            <w:r w:rsidRPr="00F1762B">
              <w:rPr>
                <w:sz w:val="15"/>
                <w:szCs w:val="15"/>
              </w:rPr>
              <w:t>46.1 in ever users of human insulin; 50.0 in never users of human insulin</w:t>
            </w:r>
          </w:p>
          <w:p w14:paraId="075FDFCE" w14:textId="77777777" w:rsidR="008721DE" w:rsidRPr="00F1762B" w:rsidRDefault="008721DE" w:rsidP="00E05BB0">
            <w:pPr>
              <w:rPr>
                <w:sz w:val="15"/>
                <w:szCs w:val="15"/>
                <w:lang w:val="en-CA"/>
              </w:rPr>
            </w:pPr>
          </w:p>
        </w:tc>
        <w:tc>
          <w:tcPr>
            <w:tcW w:w="537" w:type="pct"/>
          </w:tcPr>
          <w:p w14:paraId="0419988A" w14:textId="3E596D0A" w:rsidR="008721DE" w:rsidRPr="00F1762B" w:rsidRDefault="008721DE" w:rsidP="00E05BB0">
            <w:pPr>
              <w:rPr>
                <w:sz w:val="15"/>
                <w:szCs w:val="15"/>
                <w:lang w:val="en-CA"/>
              </w:rPr>
            </w:pPr>
            <w:r w:rsidRPr="00F1762B">
              <w:rPr>
                <w:sz w:val="15"/>
                <w:szCs w:val="15"/>
                <w:lang w:val="en-CA"/>
              </w:rPr>
              <w:t>Class 6, human insulin vs no use of human insulin</w:t>
            </w:r>
          </w:p>
        </w:tc>
        <w:tc>
          <w:tcPr>
            <w:tcW w:w="471" w:type="pct"/>
          </w:tcPr>
          <w:p w14:paraId="64FD8A2C" w14:textId="1B115A19" w:rsidR="008721DE" w:rsidRPr="00F1762B" w:rsidRDefault="00671494" w:rsidP="00E05BB0">
            <w:pPr>
              <w:rPr>
                <w:sz w:val="15"/>
                <w:szCs w:val="15"/>
                <w:lang w:val="en-CA"/>
              </w:rPr>
            </w:pPr>
            <w:r w:rsidRPr="00F1762B">
              <w:rPr>
                <w:sz w:val="15"/>
                <w:szCs w:val="15"/>
                <w:lang w:val="en-CA"/>
              </w:rPr>
              <w:t>Lung cancer</w:t>
            </w:r>
          </w:p>
        </w:tc>
        <w:tc>
          <w:tcPr>
            <w:tcW w:w="785" w:type="pct"/>
          </w:tcPr>
          <w:p w14:paraId="6DAAA1FB" w14:textId="3581E44F" w:rsidR="008721DE" w:rsidRPr="00F1762B" w:rsidRDefault="008721DE" w:rsidP="00E05BB0">
            <w:pPr>
              <w:rPr>
                <w:sz w:val="15"/>
                <w:szCs w:val="15"/>
              </w:rPr>
            </w:pPr>
            <w:r w:rsidRPr="00F1762B">
              <w:rPr>
                <w:sz w:val="15"/>
                <w:szCs w:val="15"/>
              </w:rPr>
              <w:t>Adjusted for age category, sex, diabetes duration, comorbidities, other cancer prior to baseline, other diabetic medications, other commonly used medications, number of outpatient visits per year</w:t>
            </w:r>
          </w:p>
        </w:tc>
        <w:tc>
          <w:tcPr>
            <w:tcW w:w="307" w:type="pct"/>
          </w:tcPr>
          <w:p w14:paraId="46151EE2" w14:textId="3A357C0A" w:rsidR="008721DE" w:rsidRPr="00F1762B" w:rsidRDefault="008721DE" w:rsidP="00E05BB0">
            <w:pPr>
              <w:rPr>
                <w:sz w:val="15"/>
                <w:szCs w:val="15"/>
                <w:lang w:val="en-CA"/>
              </w:rPr>
            </w:pPr>
            <w:r w:rsidRPr="00F1762B">
              <w:rPr>
                <w:rFonts w:ascii="Calibri" w:hAnsi="Calibri"/>
                <w:sz w:val="15"/>
                <w:szCs w:val="15"/>
              </w:rPr>
              <w:t>Low</w:t>
            </w:r>
          </w:p>
        </w:tc>
        <w:tc>
          <w:tcPr>
            <w:tcW w:w="204" w:type="pct"/>
          </w:tcPr>
          <w:p w14:paraId="5E42A08B" w14:textId="079E315D" w:rsidR="008721DE" w:rsidRPr="00F1762B" w:rsidRDefault="008721DE" w:rsidP="00E05BB0">
            <w:pPr>
              <w:rPr>
                <w:rFonts w:ascii="Calibri" w:hAnsi="Calibri"/>
                <w:sz w:val="15"/>
                <w:szCs w:val="15"/>
              </w:rPr>
            </w:pPr>
            <w:r w:rsidRPr="00F1762B">
              <w:rPr>
                <w:rFonts w:ascii="Calibri" w:hAnsi="Calibri"/>
                <w:sz w:val="15"/>
                <w:szCs w:val="15"/>
              </w:rPr>
              <w:t>8</w:t>
            </w:r>
          </w:p>
        </w:tc>
      </w:tr>
      <w:tr w:rsidR="00B7487B" w:rsidRPr="00F1762B" w14:paraId="02EEE55D" w14:textId="3D15E45D" w:rsidTr="00F1762B">
        <w:tc>
          <w:tcPr>
            <w:tcW w:w="517" w:type="pct"/>
          </w:tcPr>
          <w:p w14:paraId="7187B3B5" w14:textId="380D66F9" w:rsidR="008721DE" w:rsidRPr="00F1762B" w:rsidRDefault="008721DE" w:rsidP="00E05BB0">
            <w:pPr>
              <w:rPr>
                <w:sz w:val="15"/>
                <w:szCs w:val="15"/>
                <w:lang w:val="en-CA"/>
              </w:rPr>
            </w:pPr>
            <w:r w:rsidRPr="00F1762B">
              <w:rPr>
                <w:rFonts w:ascii="Calibri" w:hAnsi="Calibri"/>
                <w:sz w:val="15"/>
                <w:szCs w:val="15"/>
              </w:rPr>
              <w:t>Erkinantti 2020</w:t>
            </w:r>
          </w:p>
        </w:tc>
        <w:tc>
          <w:tcPr>
            <w:tcW w:w="447" w:type="pct"/>
          </w:tcPr>
          <w:p w14:paraId="7E061066" w14:textId="490E1146" w:rsidR="008721DE" w:rsidRPr="00F1762B" w:rsidRDefault="008721DE" w:rsidP="00E05BB0">
            <w:pPr>
              <w:rPr>
                <w:sz w:val="15"/>
                <w:szCs w:val="15"/>
                <w:lang w:val="en-CA"/>
              </w:rPr>
            </w:pPr>
            <w:r w:rsidRPr="00F1762B">
              <w:rPr>
                <w:rFonts w:ascii="Calibri" w:hAnsi="Calibri"/>
                <w:sz w:val="15"/>
                <w:szCs w:val="15"/>
              </w:rPr>
              <w:t>Finland; population-based</w:t>
            </w:r>
          </w:p>
        </w:tc>
        <w:tc>
          <w:tcPr>
            <w:tcW w:w="491" w:type="pct"/>
          </w:tcPr>
          <w:p w14:paraId="49B01DC1" w14:textId="4AF5D17A" w:rsidR="008721DE" w:rsidRPr="00F1762B" w:rsidRDefault="008721DE" w:rsidP="00E05BB0">
            <w:pPr>
              <w:rPr>
                <w:sz w:val="15"/>
                <w:szCs w:val="15"/>
                <w:lang w:val="en-CA"/>
              </w:rPr>
            </w:pPr>
            <w:r w:rsidRPr="00F1762B">
              <w:rPr>
                <w:sz w:val="15"/>
                <w:szCs w:val="15"/>
                <w:lang w:val="en-CA"/>
              </w:rPr>
              <w:t>1996 to 2011; NA</w:t>
            </w:r>
          </w:p>
        </w:tc>
        <w:tc>
          <w:tcPr>
            <w:tcW w:w="620" w:type="pct"/>
          </w:tcPr>
          <w:p w14:paraId="5FE6639E" w14:textId="3FA7D3AD" w:rsidR="008721DE" w:rsidRPr="00F1762B" w:rsidRDefault="008721DE" w:rsidP="00E05BB0">
            <w:pPr>
              <w:rPr>
                <w:sz w:val="15"/>
                <w:szCs w:val="15"/>
              </w:rPr>
            </w:pPr>
            <w:r w:rsidRPr="00F1762B">
              <w:rPr>
                <w:sz w:val="15"/>
                <w:szCs w:val="15"/>
              </w:rPr>
              <w:t>40+; over 50% were &gt;70</w:t>
            </w:r>
          </w:p>
          <w:p w14:paraId="047242F8" w14:textId="77777777" w:rsidR="008721DE" w:rsidRPr="00F1762B" w:rsidRDefault="008721DE" w:rsidP="00E05BB0">
            <w:pPr>
              <w:rPr>
                <w:sz w:val="15"/>
                <w:szCs w:val="15"/>
                <w:lang w:val="en-CA"/>
              </w:rPr>
            </w:pPr>
          </w:p>
        </w:tc>
        <w:tc>
          <w:tcPr>
            <w:tcW w:w="620" w:type="pct"/>
          </w:tcPr>
          <w:p w14:paraId="2E7FCD02" w14:textId="6E52B5EF" w:rsidR="008721DE" w:rsidRPr="00F1762B" w:rsidRDefault="008721DE" w:rsidP="00E05BB0">
            <w:pPr>
              <w:rPr>
                <w:sz w:val="15"/>
                <w:szCs w:val="15"/>
                <w:lang w:val="en-CA"/>
              </w:rPr>
            </w:pPr>
            <w:r w:rsidRPr="00F1762B">
              <w:rPr>
                <w:sz w:val="15"/>
                <w:szCs w:val="15"/>
                <w:lang w:val="en-CA"/>
              </w:rPr>
              <w:t>52.3</w:t>
            </w:r>
          </w:p>
        </w:tc>
        <w:tc>
          <w:tcPr>
            <w:tcW w:w="537" w:type="pct"/>
          </w:tcPr>
          <w:p w14:paraId="4326D45A" w14:textId="77777777" w:rsidR="008721DE" w:rsidRPr="00F1762B" w:rsidRDefault="008721DE" w:rsidP="00E05BB0">
            <w:pPr>
              <w:rPr>
                <w:sz w:val="15"/>
                <w:szCs w:val="15"/>
                <w:lang w:val="en-CA"/>
              </w:rPr>
            </w:pPr>
            <w:r w:rsidRPr="00F1762B">
              <w:rPr>
                <w:sz w:val="15"/>
                <w:szCs w:val="15"/>
                <w:lang w:val="en-CA"/>
              </w:rPr>
              <w:t>Class 1, metformin vs no use of metformin;</w:t>
            </w:r>
          </w:p>
          <w:p w14:paraId="699FCC29" w14:textId="77777777" w:rsidR="008721DE" w:rsidRPr="00F1762B" w:rsidRDefault="008721DE" w:rsidP="00E05BB0">
            <w:pPr>
              <w:rPr>
                <w:sz w:val="15"/>
                <w:szCs w:val="15"/>
                <w:lang w:val="en-CA"/>
              </w:rPr>
            </w:pPr>
          </w:p>
          <w:p w14:paraId="77E87FF1" w14:textId="07B8EAFC" w:rsidR="008721DE" w:rsidRPr="00F1762B" w:rsidRDefault="008721DE" w:rsidP="00E05BB0">
            <w:pPr>
              <w:rPr>
                <w:sz w:val="15"/>
                <w:szCs w:val="15"/>
                <w:lang w:val="en-CA"/>
              </w:rPr>
            </w:pPr>
            <w:r w:rsidRPr="00F1762B">
              <w:rPr>
                <w:sz w:val="15"/>
                <w:szCs w:val="15"/>
                <w:lang w:val="en-CA"/>
              </w:rPr>
              <w:t>Class 6, insulin vs no use of insulin</w:t>
            </w:r>
          </w:p>
        </w:tc>
        <w:tc>
          <w:tcPr>
            <w:tcW w:w="471" w:type="pct"/>
          </w:tcPr>
          <w:p w14:paraId="2D8145ED" w14:textId="39347826" w:rsidR="008721DE" w:rsidRPr="00F1762B" w:rsidRDefault="00671494" w:rsidP="00E05BB0">
            <w:pPr>
              <w:rPr>
                <w:sz w:val="15"/>
                <w:szCs w:val="15"/>
                <w:lang w:val="en-CA"/>
              </w:rPr>
            </w:pPr>
            <w:r w:rsidRPr="00F1762B">
              <w:rPr>
                <w:sz w:val="15"/>
                <w:szCs w:val="15"/>
                <w:lang w:val="en-CA"/>
              </w:rPr>
              <w:t>C</w:t>
            </w:r>
            <w:r w:rsidR="008721DE" w:rsidRPr="00F1762B">
              <w:rPr>
                <w:sz w:val="15"/>
                <w:szCs w:val="15"/>
                <w:lang w:val="en-CA"/>
              </w:rPr>
              <w:t>olon cancer</w:t>
            </w:r>
          </w:p>
        </w:tc>
        <w:tc>
          <w:tcPr>
            <w:tcW w:w="785" w:type="pct"/>
          </w:tcPr>
          <w:p w14:paraId="536454DC" w14:textId="5EC0A2ED" w:rsidR="008721DE" w:rsidRPr="00F1762B" w:rsidRDefault="008721DE" w:rsidP="00E05BB0">
            <w:pPr>
              <w:rPr>
                <w:sz w:val="15"/>
                <w:szCs w:val="15"/>
              </w:rPr>
            </w:pPr>
            <w:r w:rsidRPr="00F1762B">
              <w:rPr>
                <w:sz w:val="15"/>
                <w:szCs w:val="15"/>
              </w:rPr>
              <w:t>Adjusted for age, sex, and the duration of diabetes</w:t>
            </w:r>
          </w:p>
        </w:tc>
        <w:tc>
          <w:tcPr>
            <w:tcW w:w="307" w:type="pct"/>
          </w:tcPr>
          <w:p w14:paraId="4B186BDD" w14:textId="18821812" w:rsidR="008721DE" w:rsidRPr="00F1762B" w:rsidRDefault="008721DE" w:rsidP="00E05BB0">
            <w:pPr>
              <w:rPr>
                <w:sz w:val="15"/>
                <w:szCs w:val="15"/>
                <w:lang w:val="en-CA"/>
              </w:rPr>
            </w:pPr>
            <w:r w:rsidRPr="00F1762B">
              <w:rPr>
                <w:rFonts w:ascii="Calibri" w:hAnsi="Calibri"/>
                <w:sz w:val="15"/>
                <w:szCs w:val="15"/>
              </w:rPr>
              <w:t>Low</w:t>
            </w:r>
          </w:p>
        </w:tc>
        <w:tc>
          <w:tcPr>
            <w:tcW w:w="204" w:type="pct"/>
          </w:tcPr>
          <w:p w14:paraId="0BE6A4E5" w14:textId="5AD87283" w:rsidR="008721DE" w:rsidRPr="00F1762B" w:rsidRDefault="008721DE" w:rsidP="00E05BB0">
            <w:pPr>
              <w:rPr>
                <w:rFonts w:ascii="Calibri" w:hAnsi="Calibri"/>
                <w:sz w:val="15"/>
                <w:szCs w:val="15"/>
              </w:rPr>
            </w:pPr>
            <w:r w:rsidRPr="00F1762B">
              <w:rPr>
                <w:rFonts w:ascii="Calibri" w:hAnsi="Calibri"/>
                <w:sz w:val="15"/>
                <w:szCs w:val="15"/>
              </w:rPr>
              <w:t>7</w:t>
            </w:r>
          </w:p>
        </w:tc>
      </w:tr>
      <w:tr w:rsidR="00B7487B" w:rsidRPr="00F1762B" w14:paraId="73749EF3" w14:textId="2A50A841" w:rsidTr="00F1762B">
        <w:tc>
          <w:tcPr>
            <w:tcW w:w="517" w:type="pct"/>
          </w:tcPr>
          <w:p w14:paraId="71CF1D91" w14:textId="75342F74" w:rsidR="008721DE" w:rsidRPr="00F1762B" w:rsidRDefault="008721DE" w:rsidP="00E05BB0">
            <w:pPr>
              <w:rPr>
                <w:sz w:val="15"/>
                <w:szCs w:val="15"/>
                <w:lang w:val="en-CA"/>
              </w:rPr>
            </w:pPr>
            <w:r w:rsidRPr="00F1762B">
              <w:rPr>
                <w:rFonts w:ascii="Calibri" w:hAnsi="Calibri"/>
                <w:sz w:val="15"/>
                <w:szCs w:val="15"/>
              </w:rPr>
              <w:t>Lee 2019a</w:t>
            </w:r>
          </w:p>
        </w:tc>
        <w:tc>
          <w:tcPr>
            <w:tcW w:w="447" w:type="pct"/>
          </w:tcPr>
          <w:p w14:paraId="31AE3C16" w14:textId="3BB97A3B" w:rsidR="008721DE" w:rsidRPr="00F1762B" w:rsidRDefault="008721DE" w:rsidP="00E05BB0">
            <w:pPr>
              <w:rPr>
                <w:sz w:val="15"/>
                <w:szCs w:val="15"/>
                <w:lang w:val="en-CA"/>
              </w:rPr>
            </w:pPr>
            <w:r w:rsidRPr="00F1762B">
              <w:rPr>
                <w:rFonts w:ascii="Calibri" w:hAnsi="Calibri"/>
                <w:sz w:val="15"/>
                <w:szCs w:val="15"/>
              </w:rPr>
              <w:t>South Korea; population-based</w:t>
            </w:r>
          </w:p>
        </w:tc>
        <w:tc>
          <w:tcPr>
            <w:tcW w:w="491" w:type="pct"/>
          </w:tcPr>
          <w:p w14:paraId="0443EDF0" w14:textId="262FEF6E" w:rsidR="008721DE" w:rsidRPr="00F1762B" w:rsidRDefault="008721DE" w:rsidP="00E05BB0">
            <w:pPr>
              <w:rPr>
                <w:sz w:val="15"/>
                <w:szCs w:val="15"/>
                <w:lang w:val="en-CA"/>
              </w:rPr>
            </w:pPr>
            <w:r w:rsidRPr="00F1762B">
              <w:rPr>
                <w:sz w:val="15"/>
                <w:szCs w:val="15"/>
                <w:lang w:val="en-CA"/>
              </w:rPr>
              <w:t>2007 to 2013; mean 3.6 in DPP-4i users; 3.4 in nonusers</w:t>
            </w:r>
          </w:p>
        </w:tc>
        <w:tc>
          <w:tcPr>
            <w:tcW w:w="620" w:type="pct"/>
          </w:tcPr>
          <w:p w14:paraId="3D0BD0C7" w14:textId="02B8AB35" w:rsidR="008721DE" w:rsidRPr="00F1762B" w:rsidRDefault="008721DE" w:rsidP="00E05BB0">
            <w:pPr>
              <w:rPr>
                <w:sz w:val="15"/>
                <w:szCs w:val="15"/>
              </w:rPr>
            </w:pPr>
            <w:r w:rsidRPr="00F1762B">
              <w:rPr>
                <w:sz w:val="15"/>
                <w:szCs w:val="15"/>
              </w:rPr>
              <w:t>40 to 79; 62.1; 9.2</w:t>
            </w:r>
          </w:p>
        </w:tc>
        <w:tc>
          <w:tcPr>
            <w:tcW w:w="620" w:type="pct"/>
          </w:tcPr>
          <w:p w14:paraId="09552BCD" w14:textId="3593C003" w:rsidR="008721DE" w:rsidRPr="00F1762B" w:rsidRDefault="008721DE" w:rsidP="00E05BB0">
            <w:pPr>
              <w:rPr>
                <w:sz w:val="15"/>
                <w:szCs w:val="15"/>
                <w:lang w:val="en-CA"/>
              </w:rPr>
            </w:pPr>
            <w:r w:rsidRPr="00F1762B">
              <w:rPr>
                <w:sz w:val="15"/>
                <w:szCs w:val="15"/>
                <w:lang w:val="en-CA"/>
              </w:rPr>
              <w:t>57.8</w:t>
            </w:r>
          </w:p>
        </w:tc>
        <w:tc>
          <w:tcPr>
            <w:tcW w:w="537" w:type="pct"/>
          </w:tcPr>
          <w:p w14:paraId="237E1238" w14:textId="0138D60D" w:rsidR="008721DE" w:rsidRPr="00F1762B" w:rsidRDefault="008721DE" w:rsidP="00E05BB0">
            <w:pPr>
              <w:rPr>
                <w:sz w:val="15"/>
                <w:szCs w:val="15"/>
                <w:lang w:val="en-CA"/>
              </w:rPr>
            </w:pPr>
            <w:r w:rsidRPr="00F1762B">
              <w:rPr>
                <w:sz w:val="15"/>
                <w:szCs w:val="15"/>
                <w:lang w:val="en-CA"/>
              </w:rPr>
              <w:t>Class 2, dipeptidyl peptidase 4 inhibitors (including sitagliptin, vildagliptin, linagliptin, saxagliptin, and gemigliptin) vs no use of dipeptidyl peptidase 4 inhibitors</w:t>
            </w:r>
          </w:p>
        </w:tc>
        <w:tc>
          <w:tcPr>
            <w:tcW w:w="471" w:type="pct"/>
          </w:tcPr>
          <w:p w14:paraId="368DB168" w14:textId="2CF21974" w:rsidR="008721DE" w:rsidRPr="00F1762B" w:rsidRDefault="00671494" w:rsidP="00E05BB0">
            <w:pPr>
              <w:rPr>
                <w:sz w:val="15"/>
                <w:szCs w:val="15"/>
                <w:lang w:val="en-CA"/>
              </w:rPr>
            </w:pPr>
            <w:r w:rsidRPr="00F1762B">
              <w:rPr>
                <w:sz w:val="15"/>
                <w:szCs w:val="15"/>
                <w:lang w:val="en-CA"/>
              </w:rPr>
              <w:t>Pancreatic cancer</w:t>
            </w:r>
          </w:p>
        </w:tc>
        <w:tc>
          <w:tcPr>
            <w:tcW w:w="785" w:type="pct"/>
          </w:tcPr>
          <w:p w14:paraId="74DBAC0F" w14:textId="1DA435B9" w:rsidR="008721DE" w:rsidRPr="00F1762B" w:rsidRDefault="008721DE" w:rsidP="00E05BB0">
            <w:pPr>
              <w:rPr>
                <w:sz w:val="15"/>
                <w:szCs w:val="15"/>
              </w:rPr>
            </w:pPr>
            <w:r w:rsidRPr="00F1762B">
              <w:rPr>
                <w:sz w:val="15"/>
                <w:szCs w:val="15"/>
                <w:lang w:val="en-CA"/>
              </w:rPr>
              <w:t>Adjusted for age</w:t>
            </w:r>
            <w:r w:rsidRPr="00F1762B">
              <w:rPr>
                <w:sz w:val="15"/>
                <w:szCs w:val="15"/>
              </w:rPr>
              <w:t xml:space="preserve">, sex, </w:t>
            </w:r>
            <w:r w:rsidR="00B35CC0">
              <w:rPr>
                <w:sz w:val="15"/>
                <w:szCs w:val="15"/>
              </w:rPr>
              <w:t>body mass index</w:t>
            </w:r>
            <w:r w:rsidRPr="00F1762B">
              <w:rPr>
                <w:sz w:val="15"/>
                <w:szCs w:val="15"/>
              </w:rPr>
              <w:t>, smoking status, alcohol intake, Charlson comorbidity index, residential region, use of antidiabetic drug (biguanides, sulfonylureas, TZDs, and insulin), histories of cholecystectomy, and gastrectomy</w:t>
            </w:r>
          </w:p>
        </w:tc>
        <w:tc>
          <w:tcPr>
            <w:tcW w:w="307" w:type="pct"/>
          </w:tcPr>
          <w:p w14:paraId="2A64AE04" w14:textId="6EFBDF34" w:rsidR="008721DE" w:rsidRPr="00F1762B" w:rsidRDefault="008721DE" w:rsidP="00E05BB0">
            <w:pPr>
              <w:rPr>
                <w:sz w:val="15"/>
                <w:szCs w:val="15"/>
                <w:lang w:val="en-CA"/>
              </w:rPr>
            </w:pPr>
            <w:r w:rsidRPr="00F1762B">
              <w:rPr>
                <w:rFonts w:ascii="Calibri" w:hAnsi="Calibri"/>
                <w:sz w:val="15"/>
                <w:szCs w:val="15"/>
              </w:rPr>
              <w:t>Low</w:t>
            </w:r>
          </w:p>
        </w:tc>
        <w:tc>
          <w:tcPr>
            <w:tcW w:w="204" w:type="pct"/>
          </w:tcPr>
          <w:p w14:paraId="73538EE4" w14:textId="3CADDF20" w:rsidR="008721DE" w:rsidRPr="00F1762B" w:rsidRDefault="008721DE" w:rsidP="00E05BB0">
            <w:pPr>
              <w:rPr>
                <w:rFonts w:ascii="Calibri" w:hAnsi="Calibri"/>
                <w:sz w:val="15"/>
                <w:szCs w:val="15"/>
              </w:rPr>
            </w:pPr>
            <w:r w:rsidRPr="00F1762B">
              <w:rPr>
                <w:rFonts w:ascii="Calibri" w:hAnsi="Calibri"/>
                <w:sz w:val="15"/>
                <w:szCs w:val="15"/>
              </w:rPr>
              <w:t>8</w:t>
            </w:r>
          </w:p>
        </w:tc>
      </w:tr>
      <w:tr w:rsidR="00B7487B" w:rsidRPr="00F1762B" w14:paraId="14AA6550" w14:textId="679DB364" w:rsidTr="00F1762B">
        <w:tc>
          <w:tcPr>
            <w:tcW w:w="517" w:type="pct"/>
          </w:tcPr>
          <w:p w14:paraId="530D7576" w14:textId="6E0D5C8A" w:rsidR="008721DE" w:rsidRPr="00F1762B" w:rsidRDefault="008721DE" w:rsidP="00E05BB0">
            <w:pPr>
              <w:rPr>
                <w:sz w:val="15"/>
                <w:szCs w:val="15"/>
                <w:lang w:val="en-CA"/>
              </w:rPr>
            </w:pPr>
            <w:r w:rsidRPr="00F1762B">
              <w:rPr>
                <w:rFonts w:ascii="Calibri" w:hAnsi="Calibri"/>
                <w:sz w:val="15"/>
                <w:szCs w:val="15"/>
              </w:rPr>
              <w:t>Liang 2019</w:t>
            </w:r>
          </w:p>
        </w:tc>
        <w:tc>
          <w:tcPr>
            <w:tcW w:w="447" w:type="pct"/>
          </w:tcPr>
          <w:p w14:paraId="46600B81" w14:textId="5592EE11" w:rsidR="008721DE" w:rsidRPr="00F1762B" w:rsidRDefault="008721DE" w:rsidP="00E05BB0">
            <w:pPr>
              <w:rPr>
                <w:sz w:val="15"/>
                <w:szCs w:val="15"/>
                <w:lang w:val="en-CA"/>
              </w:rPr>
            </w:pPr>
            <w:r w:rsidRPr="00F1762B">
              <w:rPr>
                <w:rFonts w:ascii="Calibri" w:hAnsi="Calibri"/>
                <w:sz w:val="15"/>
                <w:szCs w:val="15"/>
              </w:rPr>
              <w:t>United States; population-based</w:t>
            </w:r>
          </w:p>
        </w:tc>
        <w:tc>
          <w:tcPr>
            <w:tcW w:w="491" w:type="pct"/>
          </w:tcPr>
          <w:p w14:paraId="6DA63352" w14:textId="2AA423F3" w:rsidR="008721DE" w:rsidRPr="00F1762B" w:rsidRDefault="008721DE" w:rsidP="00E05BB0">
            <w:pPr>
              <w:rPr>
                <w:sz w:val="15"/>
                <w:szCs w:val="15"/>
                <w:lang w:val="en-CA"/>
              </w:rPr>
            </w:pPr>
            <w:r w:rsidRPr="00F1762B">
              <w:rPr>
                <w:sz w:val="15"/>
                <w:szCs w:val="15"/>
                <w:lang w:val="en-CA"/>
              </w:rPr>
              <w:t>2005 to 2015; median 0.9 in exposed group; median 1.3 in unexposed group</w:t>
            </w:r>
          </w:p>
        </w:tc>
        <w:tc>
          <w:tcPr>
            <w:tcW w:w="620" w:type="pct"/>
          </w:tcPr>
          <w:p w14:paraId="1C0BBA5E" w14:textId="0F65EDD2" w:rsidR="008721DE" w:rsidRPr="00F1762B" w:rsidRDefault="008721DE" w:rsidP="00E05BB0">
            <w:pPr>
              <w:rPr>
                <w:sz w:val="15"/>
                <w:szCs w:val="15"/>
              </w:rPr>
            </w:pPr>
            <w:r w:rsidRPr="00F1762B">
              <w:rPr>
                <w:sz w:val="15"/>
                <w:szCs w:val="15"/>
              </w:rPr>
              <w:t>NA; more than 60% were aged &gt;50</w:t>
            </w:r>
          </w:p>
        </w:tc>
        <w:tc>
          <w:tcPr>
            <w:tcW w:w="620" w:type="pct"/>
          </w:tcPr>
          <w:p w14:paraId="08F95915" w14:textId="6B2294A4" w:rsidR="008721DE" w:rsidRPr="00F1762B" w:rsidRDefault="008721DE" w:rsidP="00E05BB0">
            <w:pPr>
              <w:rPr>
                <w:sz w:val="15"/>
                <w:szCs w:val="15"/>
              </w:rPr>
            </w:pPr>
            <w:r w:rsidRPr="00F1762B">
              <w:rPr>
                <w:sz w:val="15"/>
                <w:szCs w:val="15"/>
              </w:rPr>
              <w:t>50.0</w:t>
            </w:r>
          </w:p>
        </w:tc>
        <w:tc>
          <w:tcPr>
            <w:tcW w:w="537" w:type="pct"/>
          </w:tcPr>
          <w:p w14:paraId="60DB1F31" w14:textId="34775BD3" w:rsidR="008721DE" w:rsidRPr="00F1762B" w:rsidRDefault="008721DE" w:rsidP="00E05BB0">
            <w:pPr>
              <w:rPr>
                <w:sz w:val="15"/>
                <w:szCs w:val="15"/>
                <w:lang w:val="en-CA"/>
              </w:rPr>
            </w:pPr>
            <w:r w:rsidRPr="00F1762B">
              <w:rPr>
                <w:sz w:val="15"/>
                <w:szCs w:val="15"/>
                <w:lang w:val="en-CA"/>
              </w:rPr>
              <w:t>Class 2, exenatide vs no use of exenatide</w:t>
            </w:r>
          </w:p>
        </w:tc>
        <w:tc>
          <w:tcPr>
            <w:tcW w:w="471" w:type="pct"/>
          </w:tcPr>
          <w:p w14:paraId="51488D37" w14:textId="5EC75433" w:rsidR="008721DE" w:rsidRPr="00F1762B" w:rsidRDefault="00671494" w:rsidP="00E05BB0">
            <w:pPr>
              <w:rPr>
                <w:sz w:val="15"/>
                <w:szCs w:val="15"/>
                <w:lang w:val="en-CA"/>
              </w:rPr>
            </w:pPr>
            <w:r w:rsidRPr="00F1762B">
              <w:rPr>
                <w:sz w:val="15"/>
                <w:szCs w:val="15"/>
                <w:lang w:val="en-CA"/>
              </w:rPr>
              <w:t>Pancreatic cancer</w:t>
            </w:r>
          </w:p>
        </w:tc>
        <w:tc>
          <w:tcPr>
            <w:tcW w:w="785" w:type="pct"/>
          </w:tcPr>
          <w:p w14:paraId="675E5ED4" w14:textId="152EBA22" w:rsidR="008721DE" w:rsidRPr="00F1762B" w:rsidRDefault="008721DE" w:rsidP="00E05BB0">
            <w:pPr>
              <w:rPr>
                <w:rFonts w:ascii="Calibri" w:hAnsi="Calibri"/>
                <w:sz w:val="15"/>
                <w:szCs w:val="15"/>
              </w:rPr>
            </w:pPr>
            <w:r w:rsidRPr="00F1762B">
              <w:rPr>
                <w:rFonts w:ascii="Calibri" w:hAnsi="Calibri"/>
                <w:sz w:val="15"/>
                <w:szCs w:val="15"/>
              </w:rPr>
              <w:t>Adjusted for unbalanced propensity score model variables that were identified from a separate database, including number of antidiabetic drugs, metformin, pharmacy cost, and number of unique drugs dispensed at baseline</w:t>
            </w:r>
          </w:p>
        </w:tc>
        <w:tc>
          <w:tcPr>
            <w:tcW w:w="307" w:type="pct"/>
          </w:tcPr>
          <w:p w14:paraId="2A68E1C7" w14:textId="7D67E005" w:rsidR="008721DE" w:rsidRPr="00F1762B" w:rsidRDefault="008721DE" w:rsidP="00E05BB0">
            <w:pPr>
              <w:rPr>
                <w:sz w:val="15"/>
                <w:szCs w:val="15"/>
                <w:lang w:val="en-CA"/>
              </w:rPr>
            </w:pPr>
            <w:r w:rsidRPr="00F1762B">
              <w:rPr>
                <w:rFonts w:ascii="Calibri" w:hAnsi="Calibri"/>
                <w:sz w:val="15"/>
                <w:szCs w:val="15"/>
              </w:rPr>
              <w:t>Low</w:t>
            </w:r>
          </w:p>
        </w:tc>
        <w:tc>
          <w:tcPr>
            <w:tcW w:w="204" w:type="pct"/>
          </w:tcPr>
          <w:p w14:paraId="27F7F931" w14:textId="7555AD7B" w:rsidR="008721DE" w:rsidRPr="00F1762B" w:rsidRDefault="008721DE" w:rsidP="00E05BB0">
            <w:pPr>
              <w:rPr>
                <w:rFonts w:ascii="Calibri" w:hAnsi="Calibri"/>
                <w:sz w:val="15"/>
                <w:szCs w:val="15"/>
              </w:rPr>
            </w:pPr>
            <w:r w:rsidRPr="00F1762B">
              <w:rPr>
                <w:rFonts w:ascii="Calibri" w:hAnsi="Calibri"/>
                <w:sz w:val="15"/>
                <w:szCs w:val="15"/>
              </w:rPr>
              <w:t>7</w:t>
            </w:r>
          </w:p>
        </w:tc>
      </w:tr>
      <w:tr w:rsidR="00B7487B" w:rsidRPr="00F1762B" w14:paraId="36A5C9A2" w14:textId="6F1F9BEC" w:rsidTr="00F1762B">
        <w:tc>
          <w:tcPr>
            <w:tcW w:w="517" w:type="pct"/>
          </w:tcPr>
          <w:p w14:paraId="7FF0C7E7" w14:textId="11A40D73" w:rsidR="008721DE" w:rsidRPr="00F1762B" w:rsidRDefault="008721DE" w:rsidP="00E05BB0">
            <w:pPr>
              <w:rPr>
                <w:sz w:val="15"/>
                <w:szCs w:val="15"/>
                <w:lang w:val="en-CA"/>
              </w:rPr>
            </w:pPr>
            <w:r w:rsidRPr="00F1762B">
              <w:rPr>
                <w:rFonts w:ascii="Calibri" w:hAnsi="Calibri"/>
                <w:sz w:val="15"/>
                <w:szCs w:val="15"/>
              </w:rPr>
              <w:lastRenderedPageBreak/>
              <w:t>Chang 2018</w:t>
            </w:r>
          </w:p>
        </w:tc>
        <w:tc>
          <w:tcPr>
            <w:tcW w:w="447" w:type="pct"/>
          </w:tcPr>
          <w:p w14:paraId="5331D796" w14:textId="00C3EAB4" w:rsidR="008721DE" w:rsidRPr="00F1762B" w:rsidRDefault="008721DE" w:rsidP="00E05BB0">
            <w:pPr>
              <w:rPr>
                <w:sz w:val="15"/>
                <w:szCs w:val="15"/>
                <w:lang w:val="en-CA"/>
              </w:rPr>
            </w:pPr>
            <w:r w:rsidRPr="00F1762B">
              <w:rPr>
                <w:rFonts w:ascii="Calibri" w:hAnsi="Calibri"/>
                <w:sz w:val="15"/>
                <w:szCs w:val="15"/>
              </w:rPr>
              <w:t>Taiwan; population-based</w:t>
            </w:r>
          </w:p>
        </w:tc>
        <w:tc>
          <w:tcPr>
            <w:tcW w:w="491" w:type="pct"/>
          </w:tcPr>
          <w:p w14:paraId="3A287A45" w14:textId="659AD58A" w:rsidR="008721DE" w:rsidRPr="00F1762B" w:rsidRDefault="008721DE" w:rsidP="00E05BB0">
            <w:pPr>
              <w:rPr>
                <w:sz w:val="15"/>
                <w:szCs w:val="15"/>
                <w:lang w:val="en-CA"/>
              </w:rPr>
            </w:pPr>
            <w:r w:rsidRPr="00F1762B">
              <w:rPr>
                <w:sz w:val="15"/>
                <w:szCs w:val="15"/>
                <w:lang w:val="en-CA"/>
              </w:rPr>
              <w:t>1996 to 2008; mean 7.2</w:t>
            </w:r>
          </w:p>
        </w:tc>
        <w:tc>
          <w:tcPr>
            <w:tcW w:w="620" w:type="pct"/>
          </w:tcPr>
          <w:p w14:paraId="3DE78EAB" w14:textId="60BC5151" w:rsidR="008721DE" w:rsidRPr="00F1762B" w:rsidRDefault="008721DE" w:rsidP="00E05BB0">
            <w:pPr>
              <w:rPr>
                <w:sz w:val="15"/>
                <w:szCs w:val="15"/>
              </w:rPr>
            </w:pPr>
            <w:r w:rsidRPr="00F1762B">
              <w:rPr>
                <w:sz w:val="15"/>
                <w:szCs w:val="15"/>
              </w:rPr>
              <w:t>15+; 54.4 (14.2)</w:t>
            </w:r>
          </w:p>
        </w:tc>
        <w:tc>
          <w:tcPr>
            <w:tcW w:w="620" w:type="pct"/>
          </w:tcPr>
          <w:p w14:paraId="77591BA5" w14:textId="3C0DCF5A" w:rsidR="008721DE" w:rsidRPr="00F1762B" w:rsidRDefault="008721DE" w:rsidP="00E05BB0">
            <w:pPr>
              <w:rPr>
                <w:sz w:val="15"/>
                <w:szCs w:val="15"/>
                <w:lang w:val="en-CA"/>
              </w:rPr>
            </w:pPr>
            <w:r w:rsidRPr="00F1762B">
              <w:rPr>
                <w:sz w:val="15"/>
                <w:szCs w:val="15"/>
                <w:lang w:val="en-CA"/>
              </w:rPr>
              <w:t>53.1</w:t>
            </w:r>
          </w:p>
        </w:tc>
        <w:tc>
          <w:tcPr>
            <w:tcW w:w="537" w:type="pct"/>
          </w:tcPr>
          <w:p w14:paraId="30868DDE" w14:textId="3DF17791" w:rsidR="008721DE" w:rsidRPr="00F1762B" w:rsidRDefault="008721DE" w:rsidP="00E05BB0">
            <w:pPr>
              <w:rPr>
                <w:sz w:val="15"/>
                <w:szCs w:val="15"/>
                <w:lang w:val="en-CA"/>
              </w:rPr>
            </w:pPr>
            <w:r w:rsidRPr="00F1762B">
              <w:rPr>
                <w:sz w:val="15"/>
                <w:szCs w:val="15"/>
                <w:lang w:val="en-CA"/>
              </w:rPr>
              <w:t>Class 1, metformin vs no use of metformin</w:t>
            </w:r>
          </w:p>
        </w:tc>
        <w:tc>
          <w:tcPr>
            <w:tcW w:w="471" w:type="pct"/>
          </w:tcPr>
          <w:p w14:paraId="34FD3A1E" w14:textId="1FF6194C" w:rsidR="008721DE" w:rsidRPr="00F1762B" w:rsidRDefault="0044138B" w:rsidP="00E05BB0">
            <w:pPr>
              <w:rPr>
                <w:sz w:val="15"/>
                <w:szCs w:val="15"/>
                <w:lang w:val="en-CA"/>
              </w:rPr>
            </w:pPr>
            <w:r w:rsidRPr="00F1762B">
              <w:rPr>
                <w:sz w:val="15"/>
                <w:szCs w:val="15"/>
                <w:lang w:val="en-CA"/>
              </w:rPr>
              <w:t>Colorectal cancer</w:t>
            </w:r>
          </w:p>
        </w:tc>
        <w:tc>
          <w:tcPr>
            <w:tcW w:w="785" w:type="pct"/>
          </w:tcPr>
          <w:p w14:paraId="71AB5AC6" w14:textId="1A764A27" w:rsidR="008721DE" w:rsidRPr="00F1762B" w:rsidRDefault="008721DE" w:rsidP="00E05BB0">
            <w:pPr>
              <w:rPr>
                <w:sz w:val="15"/>
                <w:szCs w:val="15"/>
              </w:rPr>
            </w:pPr>
            <w:r w:rsidRPr="00F1762B">
              <w:rPr>
                <w:sz w:val="15"/>
                <w:szCs w:val="15"/>
                <w:lang w:val="en-CA"/>
              </w:rPr>
              <w:t xml:space="preserve">Adjusted for </w:t>
            </w:r>
            <w:r w:rsidRPr="00F1762B">
              <w:rPr>
                <w:sz w:val="15"/>
                <w:szCs w:val="15"/>
              </w:rPr>
              <w:t>age, gender, modified Charlson comorbidity index score (subtracting two diabetic conditions from the original Charlson Comorbidity Index score)</w:t>
            </w:r>
          </w:p>
        </w:tc>
        <w:tc>
          <w:tcPr>
            <w:tcW w:w="307" w:type="pct"/>
          </w:tcPr>
          <w:p w14:paraId="55C661E1" w14:textId="3CEBFAA3" w:rsidR="008721DE" w:rsidRPr="00F1762B" w:rsidRDefault="008721DE" w:rsidP="00E05BB0">
            <w:pPr>
              <w:rPr>
                <w:sz w:val="15"/>
                <w:szCs w:val="15"/>
                <w:lang w:val="en-CA"/>
              </w:rPr>
            </w:pPr>
            <w:r w:rsidRPr="00F1762B">
              <w:rPr>
                <w:rFonts w:ascii="Calibri" w:hAnsi="Calibri"/>
                <w:sz w:val="15"/>
                <w:szCs w:val="15"/>
              </w:rPr>
              <w:t>Low</w:t>
            </w:r>
          </w:p>
        </w:tc>
        <w:tc>
          <w:tcPr>
            <w:tcW w:w="204" w:type="pct"/>
          </w:tcPr>
          <w:p w14:paraId="2AADA5BF" w14:textId="72ED463C" w:rsidR="008721DE" w:rsidRPr="00F1762B" w:rsidRDefault="008721DE" w:rsidP="00E05BB0">
            <w:pPr>
              <w:rPr>
                <w:rFonts w:ascii="Calibri" w:hAnsi="Calibri"/>
                <w:sz w:val="15"/>
                <w:szCs w:val="15"/>
              </w:rPr>
            </w:pPr>
            <w:r w:rsidRPr="00F1762B">
              <w:rPr>
                <w:rFonts w:ascii="Calibri" w:hAnsi="Calibri"/>
                <w:sz w:val="15"/>
                <w:szCs w:val="15"/>
              </w:rPr>
              <w:t>7</w:t>
            </w:r>
          </w:p>
        </w:tc>
      </w:tr>
      <w:tr w:rsidR="00B7487B" w:rsidRPr="00F1762B" w14:paraId="3A690F6F" w14:textId="62BC5159" w:rsidTr="00F1762B">
        <w:tc>
          <w:tcPr>
            <w:tcW w:w="517" w:type="pct"/>
          </w:tcPr>
          <w:p w14:paraId="00A5F3CE" w14:textId="5DA4BD3B" w:rsidR="008721DE" w:rsidRPr="00F1762B" w:rsidRDefault="008721DE" w:rsidP="00E05BB0">
            <w:pPr>
              <w:rPr>
                <w:sz w:val="15"/>
                <w:szCs w:val="15"/>
                <w:lang w:val="en-CA"/>
              </w:rPr>
            </w:pPr>
            <w:r w:rsidRPr="00F1762B">
              <w:rPr>
                <w:rFonts w:ascii="Calibri" w:hAnsi="Calibri"/>
                <w:sz w:val="15"/>
                <w:szCs w:val="15"/>
              </w:rPr>
              <w:t>Albai 2020</w:t>
            </w:r>
          </w:p>
        </w:tc>
        <w:tc>
          <w:tcPr>
            <w:tcW w:w="447" w:type="pct"/>
          </w:tcPr>
          <w:p w14:paraId="7986E141" w14:textId="28A5DB9B" w:rsidR="008721DE" w:rsidRPr="00F1762B" w:rsidRDefault="008721DE" w:rsidP="00E05BB0">
            <w:pPr>
              <w:rPr>
                <w:sz w:val="15"/>
                <w:szCs w:val="15"/>
                <w:lang w:val="en-CA"/>
              </w:rPr>
            </w:pPr>
            <w:r w:rsidRPr="00F1762B">
              <w:rPr>
                <w:rFonts w:ascii="Calibri" w:hAnsi="Calibri"/>
                <w:sz w:val="15"/>
                <w:szCs w:val="15"/>
              </w:rPr>
              <w:t>Romania</w:t>
            </w:r>
            <w:r w:rsidRPr="00F1762B">
              <w:rPr>
                <w:sz w:val="15"/>
                <w:szCs w:val="15"/>
                <w:lang w:val="en-CA"/>
              </w:rPr>
              <w:t>; hospital-based</w:t>
            </w:r>
          </w:p>
        </w:tc>
        <w:tc>
          <w:tcPr>
            <w:tcW w:w="491" w:type="pct"/>
          </w:tcPr>
          <w:p w14:paraId="467C6D06" w14:textId="3D45CE81" w:rsidR="008721DE" w:rsidRPr="00F1762B" w:rsidRDefault="008721DE" w:rsidP="00E05BB0">
            <w:pPr>
              <w:rPr>
                <w:sz w:val="15"/>
                <w:szCs w:val="15"/>
                <w:lang w:val="en-CA"/>
              </w:rPr>
            </w:pPr>
            <w:r w:rsidRPr="00F1762B">
              <w:rPr>
                <w:sz w:val="15"/>
                <w:szCs w:val="15"/>
                <w:lang w:val="en-CA"/>
              </w:rPr>
              <w:t>2015 to 2018; NA</w:t>
            </w:r>
          </w:p>
        </w:tc>
        <w:tc>
          <w:tcPr>
            <w:tcW w:w="620" w:type="pct"/>
          </w:tcPr>
          <w:p w14:paraId="2E6F53ED" w14:textId="1D495C5F" w:rsidR="008721DE" w:rsidRPr="00F1762B" w:rsidRDefault="008721DE" w:rsidP="00E05BB0">
            <w:pPr>
              <w:rPr>
                <w:sz w:val="15"/>
                <w:szCs w:val="15"/>
              </w:rPr>
            </w:pPr>
            <w:r w:rsidRPr="00F1762B">
              <w:rPr>
                <w:sz w:val="15"/>
                <w:szCs w:val="15"/>
              </w:rPr>
              <w:t>41 to 88; 66.3 (10.0)</w:t>
            </w:r>
          </w:p>
        </w:tc>
        <w:tc>
          <w:tcPr>
            <w:tcW w:w="620" w:type="pct"/>
          </w:tcPr>
          <w:p w14:paraId="7FF36F47" w14:textId="44F52F80" w:rsidR="008721DE" w:rsidRPr="00F1762B" w:rsidRDefault="008721DE" w:rsidP="00E05BB0">
            <w:pPr>
              <w:rPr>
                <w:sz w:val="15"/>
                <w:szCs w:val="15"/>
                <w:lang w:val="en-CA"/>
              </w:rPr>
            </w:pPr>
            <w:r w:rsidRPr="00F1762B">
              <w:rPr>
                <w:sz w:val="15"/>
                <w:szCs w:val="15"/>
                <w:lang w:val="en-CA"/>
              </w:rPr>
              <w:t>43.4</w:t>
            </w:r>
          </w:p>
        </w:tc>
        <w:tc>
          <w:tcPr>
            <w:tcW w:w="537" w:type="pct"/>
          </w:tcPr>
          <w:p w14:paraId="65C97B27" w14:textId="77777777" w:rsidR="008721DE" w:rsidRPr="00F1762B" w:rsidRDefault="008721DE" w:rsidP="00E05BB0">
            <w:pPr>
              <w:rPr>
                <w:sz w:val="15"/>
                <w:szCs w:val="15"/>
                <w:lang w:val="en-CA"/>
              </w:rPr>
            </w:pPr>
            <w:r w:rsidRPr="00F1762B">
              <w:rPr>
                <w:sz w:val="15"/>
                <w:szCs w:val="15"/>
                <w:lang w:val="en-CA"/>
              </w:rPr>
              <w:t>Class 1, metformin vs no use of metformin;</w:t>
            </w:r>
          </w:p>
          <w:p w14:paraId="2B29CE86" w14:textId="77777777" w:rsidR="008721DE" w:rsidRPr="00F1762B" w:rsidRDefault="008721DE" w:rsidP="00E05BB0">
            <w:pPr>
              <w:rPr>
                <w:sz w:val="15"/>
                <w:szCs w:val="15"/>
                <w:lang w:val="en-CA"/>
              </w:rPr>
            </w:pPr>
          </w:p>
          <w:p w14:paraId="040EE7E8" w14:textId="77777777" w:rsidR="008721DE" w:rsidRPr="00F1762B" w:rsidRDefault="008721DE" w:rsidP="00E05BB0">
            <w:pPr>
              <w:rPr>
                <w:sz w:val="15"/>
                <w:szCs w:val="15"/>
                <w:lang w:val="en-CA"/>
              </w:rPr>
            </w:pPr>
            <w:r w:rsidRPr="00F1762B">
              <w:rPr>
                <w:sz w:val="15"/>
                <w:szCs w:val="15"/>
                <w:lang w:val="en-CA"/>
              </w:rPr>
              <w:t>Class 2, incretins vs no incretins;</w:t>
            </w:r>
          </w:p>
          <w:p w14:paraId="0D53E08D" w14:textId="77777777" w:rsidR="008721DE" w:rsidRPr="00F1762B" w:rsidRDefault="008721DE" w:rsidP="00E05BB0">
            <w:pPr>
              <w:rPr>
                <w:sz w:val="15"/>
                <w:szCs w:val="15"/>
                <w:lang w:val="en-CA"/>
              </w:rPr>
            </w:pPr>
          </w:p>
          <w:p w14:paraId="7FFC3D2E" w14:textId="5C1B6A8F" w:rsidR="008721DE" w:rsidRPr="00F1762B" w:rsidRDefault="008721DE" w:rsidP="00E05BB0">
            <w:pPr>
              <w:rPr>
                <w:sz w:val="15"/>
                <w:szCs w:val="15"/>
                <w:lang w:val="en-CA"/>
              </w:rPr>
            </w:pPr>
            <w:r w:rsidRPr="00F1762B">
              <w:rPr>
                <w:sz w:val="15"/>
                <w:szCs w:val="15"/>
                <w:lang w:val="en-CA"/>
              </w:rPr>
              <w:t>Class 4, sulfonylureas vs no sulfonylureas;</w:t>
            </w:r>
          </w:p>
          <w:p w14:paraId="1B4B9EBB" w14:textId="77777777" w:rsidR="008721DE" w:rsidRPr="00F1762B" w:rsidRDefault="008721DE" w:rsidP="00E05BB0">
            <w:pPr>
              <w:rPr>
                <w:sz w:val="15"/>
                <w:szCs w:val="15"/>
                <w:lang w:val="en-CA"/>
              </w:rPr>
            </w:pPr>
          </w:p>
          <w:p w14:paraId="3901023C" w14:textId="22D3E5D0" w:rsidR="008721DE" w:rsidRPr="00F1762B" w:rsidRDefault="008721DE" w:rsidP="00E05BB0">
            <w:pPr>
              <w:rPr>
                <w:sz w:val="15"/>
                <w:szCs w:val="15"/>
                <w:lang w:val="en-CA"/>
              </w:rPr>
            </w:pPr>
            <w:r w:rsidRPr="00F1762B">
              <w:rPr>
                <w:sz w:val="15"/>
                <w:szCs w:val="15"/>
                <w:lang w:val="en-CA"/>
              </w:rPr>
              <w:t>Class 6, insulin vs no insulin</w:t>
            </w:r>
          </w:p>
        </w:tc>
        <w:tc>
          <w:tcPr>
            <w:tcW w:w="471" w:type="pct"/>
          </w:tcPr>
          <w:p w14:paraId="76BF92FB" w14:textId="3F353A3F" w:rsidR="008721DE" w:rsidRPr="00F1762B" w:rsidRDefault="0044138B" w:rsidP="00E05BB0">
            <w:pPr>
              <w:rPr>
                <w:sz w:val="15"/>
                <w:szCs w:val="15"/>
                <w:lang w:val="en-CA"/>
              </w:rPr>
            </w:pPr>
            <w:r w:rsidRPr="00F1762B">
              <w:rPr>
                <w:sz w:val="15"/>
                <w:szCs w:val="15"/>
                <w:lang w:val="en-CA"/>
              </w:rPr>
              <w:t>Colorectal cancer</w:t>
            </w:r>
          </w:p>
        </w:tc>
        <w:tc>
          <w:tcPr>
            <w:tcW w:w="785" w:type="pct"/>
          </w:tcPr>
          <w:p w14:paraId="2E76A98F" w14:textId="3FADB3E7" w:rsidR="008721DE" w:rsidRPr="00F1762B" w:rsidRDefault="008721DE" w:rsidP="00E05BB0">
            <w:pPr>
              <w:rPr>
                <w:sz w:val="15"/>
                <w:szCs w:val="15"/>
              </w:rPr>
            </w:pPr>
            <w:r w:rsidRPr="00F1762B">
              <w:rPr>
                <w:sz w:val="15"/>
                <w:szCs w:val="15"/>
                <w:lang w:val="en-CA"/>
              </w:rPr>
              <w:t xml:space="preserve">Adjusted for </w:t>
            </w:r>
            <w:r w:rsidRPr="00F1762B">
              <w:rPr>
                <w:sz w:val="15"/>
                <w:szCs w:val="15"/>
              </w:rPr>
              <w:t xml:space="preserve">age, gender, </w:t>
            </w:r>
            <w:r w:rsidR="00B35CC0">
              <w:rPr>
                <w:sz w:val="15"/>
                <w:szCs w:val="15"/>
              </w:rPr>
              <w:t>body mass index</w:t>
            </w:r>
            <w:r w:rsidRPr="00F1762B">
              <w:rPr>
                <w:sz w:val="15"/>
                <w:szCs w:val="15"/>
              </w:rPr>
              <w:t>, abdominal circumference, smoking, alcohol, diabetes mellitus duration, HbA1, triglycerides, total cholesterol, HDLc, LDLc, hypertension</w:t>
            </w:r>
          </w:p>
        </w:tc>
        <w:tc>
          <w:tcPr>
            <w:tcW w:w="307" w:type="pct"/>
          </w:tcPr>
          <w:p w14:paraId="1953AEE4" w14:textId="0F904735" w:rsidR="008721DE" w:rsidRPr="00F1762B" w:rsidRDefault="008721DE" w:rsidP="00E05BB0">
            <w:pPr>
              <w:rPr>
                <w:sz w:val="15"/>
                <w:szCs w:val="15"/>
                <w:lang w:val="en-CA"/>
              </w:rPr>
            </w:pPr>
            <w:r w:rsidRPr="00F1762B">
              <w:rPr>
                <w:rFonts w:ascii="Calibri" w:hAnsi="Calibri"/>
                <w:sz w:val="15"/>
                <w:szCs w:val="15"/>
              </w:rPr>
              <w:t>Moderate</w:t>
            </w:r>
          </w:p>
        </w:tc>
        <w:tc>
          <w:tcPr>
            <w:tcW w:w="204" w:type="pct"/>
          </w:tcPr>
          <w:p w14:paraId="6D89AFAD" w14:textId="13AC640F" w:rsidR="008721DE" w:rsidRPr="00F1762B" w:rsidRDefault="008721DE" w:rsidP="00E05BB0">
            <w:pPr>
              <w:rPr>
                <w:rFonts w:ascii="Calibri" w:hAnsi="Calibri"/>
                <w:sz w:val="15"/>
                <w:szCs w:val="15"/>
              </w:rPr>
            </w:pPr>
            <w:r w:rsidRPr="00F1762B">
              <w:rPr>
                <w:rFonts w:ascii="Calibri" w:hAnsi="Calibri"/>
                <w:sz w:val="15"/>
                <w:szCs w:val="15"/>
              </w:rPr>
              <w:t>5</w:t>
            </w:r>
          </w:p>
        </w:tc>
      </w:tr>
      <w:tr w:rsidR="00B7487B" w:rsidRPr="00F1762B" w14:paraId="22FEB5C7" w14:textId="562572B6" w:rsidTr="00F1762B">
        <w:tc>
          <w:tcPr>
            <w:tcW w:w="517" w:type="pct"/>
          </w:tcPr>
          <w:p w14:paraId="14F173EE" w14:textId="13FC7314" w:rsidR="008721DE" w:rsidRPr="00F1762B" w:rsidRDefault="008721DE" w:rsidP="00E05BB0">
            <w:pPr>
              <w:rPr>
                <w:sz w:val="15"/>
                <w:szCs w:val="15"/>
                <w:lang w:val="en-CA"/>
              </w:rPr>
            </w:pPr>
            <w:r w:rsidRPr="00F1762B">
              <w:rPr>
                <w:rFonts w:ascii="Calibri" w:hAnsi="Calibri"/>
                <w:sz w:val="15"/>
                <w:szCs w:val="15"/>
              </w:rPr>
              <w:t>Yen 2020</w:t>
            </w:r>
          </w:p>
        </w:tc>
        <w:tc>
          <w:tcPr>
            <w:tcW w:w="447" w:type="pct"/>
          </w:tcPr>
          <w:p w14:paraId="0DF91B0D" w14:textId="770FBDC6" w:rsidR="008721DE" w:rsidRPr="00F1762B" w:rsidRDefault="008721DE" w:rsidP="00E05BB0">
            <w:pPr>
              <w:rPr>
                <w:sz w:val="15"/>
                <w:szCs w:val="15"/>
                <w:lang w:val="en-CA"/>
              </w:rPr>
            </w:pPr>
            <w:r w:rsidRPr="00F1762B">
              <w:rPr>
                <w:rFonts w:ascii="Calibri" w:hAnsi="Calibri"/>
                <w:sz w:val="15"/>
                <w:szCs w:val="15"/>
              </w:rPr>
              <w:t>Taiwan; population-based</w:t>
            </w:r>
          </w:p>
        </w:tc>
        <w:tc>
          <w:tcPr>
            <w:tcW w:w="491" w:type="pct"/>
          </w:tcPr>
          <w:p w14:paraId="288F6DEF" w14:textId="20819C0D" w:rsidR="008721DE" w:rsidRPr="00F1762B" w:rsidRDefault="008721DE" w:rsidP="00E05BB0">
            <w:pPr>
              <w:rPr>
                <w:sz w:val="15"/>
                <w:szCs w:val="15"/>
                <w:lang w:val="en-CA"/>
              </w:rPr>
            </w:pPr>
            <w:r w:rsidRPr="00F1762B">
              <w:rPr>
                <w:sz w:val="15"/>
                <w:szCs w:val="15"/>
                <w:lang w:val="en-CA"/>
              </w:rPr>
              <w:t>2000 to 2012; mean 5.0 in metformin users; 5.2 in nonusers</w:t>
            </w:r>
          </w:p>
        </w:tc>
        <w:tc>
          <w:tcPr>
            <w:tcW w:w="620" w:type="pct"/>
          </w:tcPr>
          <w:p w14:paraId="217923BF" w14:textId="6CB2E5E4" w:rsidR="008721DE" w:rsidRPr="00F1762B" w:rsidRDefault="008721DE" w:rsidP="00E05BB0">
            <w:pPr>
              <w:rPr>
                <w:sz w:val="15"/>
                <w:szCs w:val="15"/>
              </w:rPr>
            </w:pPr>
            <w:r w:rsidRPr="00F1762B">
              <w:rPr>
                <w:sz w:val="15"/>
                <w:szCs w:val="15"/>
              </w:rPr>
              <w:t>40 to 100; 65.6 (12.5) in users of metformin; 61.8 (10.7) in non-users</w:t>
            </w:r>
          </w:p>
        </w:tc>
        <w:tc>
          <w:tcPr>
            <w:tcW w:w="620" w:type="pct"/>
          </w:tcPr>
          <w:p w14:paraId="3F5D1986" w14:textId="489470D6" w:rsidR="008721DE" w:rsidRPr="00F1762B" w:rsidRDefault="008721DE" w:rsidP="00E05BB0">
            <w:pPr>
              <w:rPr>
                <w:sz w:val="15"/>
                <w:szCs w:val="15"/>
                <w:lang w:val="en-CA"/>
              </w:rPr>
            </w:pPr>
            <w:r w:rsidRPr="00F1762B">
              <w:rPr>
                <w:sz w:val="15"/>
                <w:szCs w:val="15"/>
                <w:lang w:val="en-CA"/>
              </w:rPr>
              <w:t>54.9</w:t>
            </w:r>
          </w:p>
        </w:tc>
        <w:tc>
          <w:tcPr>
            <w:tcW w:w="537" w:type="pct"/>
          </w:tcPr>
          <w:p w14:paraId="71A8F9ED" w14:textId="426D496D" w:rsidR="008721DE" w:rsidRPr="00F1762B" w:rsidRDefault="008721DE" w:rsidP="00E05BB0">
            <w:pPr>
              <w:rPr>
                <w:sz w:val="15"/>
                <w:szCs w:val="15"/>
                <w:lang w:val="en-CA"/>
              </w:rPr>
            </w:pPr>
            <w:r w:rsidRPr="00F1762B">
              <w:rPr>
                <w:sz w:val="15"/>
                <w:szCs w:val="15"/>
                <w:lang w:val="en-CA"/>
              </w:rPr>
              <w:t>Class 1, metformin vs no use of metformin</w:t>
            </w:r>
          </w:p>
        </w:tc>
        <w:tc>
          <w:tcPr>
            <w:tcW w:w="471" w:type="pct"/>
          </w:tcPr>
          <w:p w14:paraId="7A88E78A" w14:textId="78086138" w:rsidR="008721DE" w:rsidRPr="00F1762B" w:rsidRDefault="0044138B" w:rsidP="00E05BB0">
            <w:pPr>
              <w:rPr>
                <w:sz w:val="15"/>
                <w:szCs w:val="15"/>
                <w:lang w:val="en-CA"/>
              </w:rPr>
            </w:pPr>
            <w:r w:rsidRPr="00F1762B">
              <w:rPr>
                <w:sz w:val="15"/>
                <w:szCs w:val="15"/>
                <w:lang w:val="en-CA"/>
              </w:rPr>
              <w:t>Lung cancer</w:t>
            </w:r>
          </w:p>
        </w:tc>
        <w:tc>
          <w:tcPr>
            <w:tcW w:w="785" w:type="pct"/>
          </w:tcPr>
          <w:p w14:paraId="71278F71" w14:textId="10AA4E59" w:rsidR="008721DE" w:rsidRPr="00F1762B" w:rsidRDefault="008721DE" w:rsidP="00E05BB0">
            <w:pPr>
              <w:rPr>
                <w:sz w:val="15"/>
                <w:szCs w:val="15"/>
              </w:rPr>
            </w:pPr>
            <w:r w:rsidRPr="00F1762B">
              <w:rPr>
                <w:sz w:val="15"/>
                <w:szCs w:val="15"/>
              </w:rPr>
              <w:t>Propensity score matching adjusted for gender, age category, Charlson Comorbidity Index, moderate and severe exacerbation of COPD, bacterial pneumonia, Diabetes Complications Severity Index score, antihypertensive drugs, other antidiabetic drugs, respiratory drugs, and other drugs</w:t>
            </w:r>
          </w:p>
        </w:tc>
        <w:tc>
          <w:tcPr>
            <w:tcW w:w="307" w:type="pct"/>
          </w:tcPr>
          <w:p w14:paraId="15B6DB10" w14:textId="36461B08" w:rsidR="008721DE" w:rsidRPr="00F1762B" w:rsidRDefault="008721DE" w:rsidP="00E05BB0">
            <w:pPr>
              <w:rPr>
                <w:sz w:val="15"/>
                <w:szCs w:val="15"/>
                <w:lang w:val="en-CA"/>
              </w:rPr>
            </w:pPr>
            <w:r w:rsidRPr="00F1762B">
              <w:rPr>
                <w:rFonts w:ascii="Calibri" w:hAnsi="Calibri"/>
                <w:sz w:val="15"/>
                <w:szCs w:val="15"/>
              </w:rPr>
              <w:t>Low</w:t>
            </w:r>
          </w:p>
        </w:tc>
        <w:tc>
          <w:tcPr>
            <w:tcW w:w="204" w:type="pct"/>
          </w:tcPr>
          <w:p w14:paraId="75AE9B7D" w14:textId="57875B74" w:rsidR="008721DE" w:rsidRPr="00F1762B" w:rsidRDefault="008721DE" w:rsidP="00E05BB0">
            <w:pPr>
              <w:rPr>
                <w:rFonts w:ascii="Calibri" w:hAnsi="Calibri"/>
                <w:sz w:val="15"/>
                <w:szCs w:val="15"/>
              </w:rPr>
            </w:pPr>
            <w:r w:rsidRPr="00F1762B">
              <w:rPr>
                <w:rFonts w:ascii="Calibri" w:hAnsi="Calibri"/>
                <w:sz w:val="15"/>
                <w:szCs w:val="15"/>
              </w:rPr>
              <w:t>8</w:t>
            </w:r>
          </w:p>
        </w:tc>
      </w:tr>
      <w:tr w:rsidR="00B7487B" w:rsidRPr="00F1762B" w14:paraId="121A3593" w14:textId="468FEF6A" w:rsidTr="00F1762B">
        <w:tc>
          <w:tcPr>
            <w:tcW w:w="517" w:type="pct"/>
          </w:tcPr>
          <w:p w14:paraId="23064CEB" w14:textId="56D7764B" w:rsidR="008721DE" w:rsidRPr="00F1762B" w:rsidRDefault="008721DE" w:rsidP="00E05BB0">
            <w:pPr>
              <w:rPr>
                <w:sz w:val="15"/>
                <w:szCs w:val="15"/>
                <w:lang w:val="en-CA"/>
              </w:rPr>
            </w:pPr>
            <w:r w:rsidRPr="00F1762B">
              <w:rPr>
                <w:rFonts w:ascii="Calibri" w:hAnsi="Calibri"/>
                <w:sz w:val="15"/>
                <w:szCs w:val="15"/>
              </w:rPr>
              <w:t>Bradley 2020</w:t>
            </w:r>
          </w:p>
        </w:tc>
        <w:tc>
          <w:tcPr>
            <w:tcW w:w="447" w:type="pct"/>
          </w:tcPr>
          <w:p w14:paraId="43C1AA83" w14:textId="31F05296" w:rsidR="008721DE" w:rsidRPr="00F1762B" w:rsidRDefault="008721DE" w:rsidP="00E05BB0">
            <w:pPr>
              <w:rPr>
                <w:sz w:val="15"/>
                <w:szCs w:val="15"/>
                <w:lang w:val="en-CA"/>
              </w:rPr>
            </w:pPr>
            <w:r w:rsidRPr="00F1762B">
              <w:rPr>
                <w:rFonts w:ascii="Calibri" w:hAnsi="Calibri"/>
                <w:sz w:val="15"/>
                <w:szCs w:val="15"/>
              </w:rPr>
              <w:t>United States; population-based</w:t>
            </w:r>
          </w:p>
        </w:tc>
        <w:tc>
          <w:tcPr>
            <w:tcW w:w="491" w:type="pct"/>
          </w:tcPr>
          <w:p w14:paraId="77B746F1" w14:textId="3534A07D" w:rsidR="008721DE" w:rsidRPr="00F1762B" w:rsidRDefault="008721DE" w:rsidP="00E05BB0">
            <w:pPr>
              <w:rPr>
                <w:sz w:val="15"/>
                <w:szCs w:val="15"/>
                <w:lang w:val="en-CA"/>
              </w:rPr>
            </w:pPr>
            <w:r w:rsidRPr="00F1762B">
              <w:rPr>
                <w:sz w:val="15"/>
                <w:szCs w:val="15"/>
                <w:lang w:val="en-CA"/>
              </w:rPr>
              <w:t>2006 to 2017; median 2.9 in glargine users, median 2.5 in detemir users, and 2.3 in NPH users</w:t>
            </w:r>
          </w:p>
        </w:tc>
        <w:tc>
          <w:tcPr>
            <w:tcW w:w="620" w:type="pct"/>
          </w:tcPr>
          <w:p w14:paraId="4D298635" w14:textId="0ADF54F2" w:rsidR="008721DE" w:rsidRPr="00F1762B" w:rsidRDefault="008721DE" w:rsidP="00E05BB0">
            <w:pPr>
              <w:rPr>
                <w:sz w:val="15"/>
                <w:szCs w:val="15"/>
              </w:rPr>
            </w:pPr>
            <w:r w:rsidRPr="00F1762B">
              <w:rPr>
                <w:sz w:val="15"/>
                <w:szCs w:val="15"/>
              </w:rPr>
              <w:t>65+; ~50% were aged between 65 and 74</w:t>
            </w:r>
          </w:p>
        </w:tc>
        <w:tc>
          <w:tcPr>
            <w:tcW w:w="620" w:type="pct"/>
          </w:tcPr>
          <w:p w14:paraId="4D0E866E" w14:textId="582E6E84" w:rsidR="008721DE" w:rsidRPr="00F1762B" w:rsidRDefault="008721DE" w:rsidP="00E05BB0">
            <w:pPr>
              <w:rPr>
                <w:sz w:val="15"/>
                <w:szCs w:val="15"/>
                <w:lang w:val="en-CA"/>
              </w:rPr>
            </w:pPr>
            <w:r w:rsidRPr="00F1762B">
              <w:rPr>
                <w:sz w:val="15"/>
                <w:szCs w:val="15"/>
                <w:lang w:val="en-CA"/>
              </w:rPr>
              <w:t>NA</w:t>
            </w:r>
          </w:p>
        </w:tc>
        <w:tc>
          <w:tcPr>
            <w:tcW w:w="537" w:type="pct"/>
          </w:tcPr>
          <w:p w14:paraId="4148085F" w14:textId="36242BB0" w:rsidR="008721DE" w:rsidRPr="00F1762B" w:rsidRDefault="008721DE" w:rsidP="00E05BB0">
            <w:pPr>
              <w:rPr>
                <w:sz w:val="15"/>
                <w:szCs w:val="15"/>
              </w:rPr>
            </w:pPr>
            <w:r w:rsidRPr="00F1762B">
              <w:rPr>
                <w:sz w:val="15"/>
                <w:szCs w:val="15"/>
                <w:lang w:val="en-CA"/>
              </w:rPr>
              <w:t>Class 6, glargine vs neutral protamine hagedorn insulin or detemir insulin</w:t>
            </w:r>
          </w:p>
        </w:tc>
        <w:tc>
          <w:tcPr>
            <w:tcW w:w="471" w:type="pct"/>
          </w:tcPr>
          <w:p w14:paraId="0375F942" w14:textId="7486957B" w:rsidR="008721DE" w:rsidRPr="00F1762B" w:rsidRDefault="0044138B" w:rsidP="00E05BB0">
            <w:pPr>
              <w:rPr>
                <w:sz w:val="15"/>
                <w:szCs w:val="15"/>
                <w:lang w:val="en-CA"/>
              </w:rPr>
            </w:pPr>
            <w:r w:rsidRPr="00F1762B">
              <w:rPr>
                <w:sz w:val="15"/>
                <w:szCs w:val="15"/>
                <w:lang w:val="en-CA"/>
              </w:rPr>
              <w:t>Breast cancer</w:t>
            </w:r>
          </w:p>
        </w:tc>
        <w:tc>
          <w:tcPr>
            <w:tcW w:w="785" w:type="pct"/>
          </w:tcPr>
          <w:p w14:paraId="5FE81D29" w14:textId="2C6776B9" w:rsidR="008721DE" w:rsidRPr="00F1762B" w:rsidRDefault="008721DE" w:rsidP="00E05BB0">
            <w:pPr>
              <w:rPr>
                <w:sz w:val="15"/>
                <w:szCs w:val="15"/>
              </w:rPr>
            </w:pPr>
            <w:r w:rsidRPr="00F1762B">
              <w:rPr>
                <w:sz w:val="15"/>
                <w:szCs w:val="15"/>
              </w:rPr>
              <w:t>Inverse probability of treatment weighting using propensity score adjusted for age, race, low-income status, zip code-level income, metropolitan statistical area, medication use, medical conditions, alcohol abuse, smoking, and health care utilization</w:t>
            </w:r>
          </w:p>
        </w:tc>
        <w:tc>
          <w:tcPr>
            <w:tcW w:w="307" w:type="pct"/>
          </w:tcPr>
          <w:p w14:paraId="66B392F9" w14:textId="06E6B881" w:rsidR="008721DE" w:rsidRPr="00F1762B" w:rsidRDefault="008721DE" w:rsidP="00E05BB0">
            <w:pPr>
              <w:rPr>
                <w:sz w:val="15"/>
                <w:szCs w:val="15"/>
                <w:lang w:val="en-CA"/>
              </w:rPr>
            </w:pPr>
            <w:r w:rsidRPr="00F1762B">
              <w:rPr>
                <w:rFonts w:ascii="Calibri" w:hAnsi="Calibri"/>
                <w:sz w:val="15"/>
                <w:szCs w:val="15"/>
              </w:rPr>
              <w:t>Low</w:t>
            </w:r>
          </w:p>
        </w:tc>
        <w:tc>
          <w:tcPr>
            <w:tcW w:w="204" w:type="pct"/>
          </w:tcPr>
          <w:p w14:paraId="1AE089A8" w14:textId="7ECC6055" w:rsidR="008721DE" w:rsidRPr="00F1762B" w:rsidRDefault="008721DE" w:rsidP="00E05BB0">
            <w:pPr>
              <w:rPr>
                <w:rFonts w:ascii="Calibri" w:hAnsi="Calibri"/>
                <w:sz w:val="15"/>
                <w:szCs w:val="15"/>
              </w:rPr>
            </w:pPr>
            <w:r w:rsidRPr="00F1762B">
              <w:rPr>
                <w:rFonts w:ascii="Calibri" w:hAnsi="Calibri"/>
                <w:sz w:val="15"/>
                <w:szCs w:val="15"/>
              </w:rPr>
              <w:t>7</w:t>
            </w:r>
          </w:p>
        </w:tc>
      </w:tr>
      <w:tr w:rsidR="00B7487B" w:rsidRPr="00F1762B" w14:paraId="20DCB0E1" w14:textId="330DA4D5" w:rsidTr="00F1762B">
        <w:tc>
          <w:tcPr>
            <w:tcW w:w="517" w:type="pct"/>
          </w:tcPr>
          <w:p w14:paraId="3B72CC9A" w14:textId="22E205A5" w:rsidR="008721DE" w:rsidRPr="00F1762B" w:rsidRDefault="008721DE" w:rsidP="00E05BB0">
            <w:pPr>
              <w:rPr>
                <w:sz w:val="15"/>
                <w:szCs w:val="15"/>
                <w:lang w:val="en-CA"/>
              </w:rPr>
            </w:pPr>
            <w:r w:rsidRPr="00F1762B">
              <w:rPr>
                <w:rFonts w:ascii="Calibri" w:hAnsi="Calibri"/>
                <w:sz w:val="15"/>
                <w:szCs w:val="15"/>
              </w:rPr>
              <w:t>Chen 2020</w:t>
            </w:r>
          </w:p>
        </w:tc>
        <w:tc>
          <w:tcPr>
            <w:tcW w:w="447" w:type="pct"/>
          </w:tcPr>
          <w:p w14:paraId="3E1FF375" w14:textId="6B9D1B08" w:rsidR="008721DE" w:rsidRPr="00F1762B" w:rsidRDefault="008721DE" w:rsidP="00E05BB0">
            <w:pPr>
              <w:rPr>
                <w:sz w:val="15"/>
                <w:szCs w:val="15"/>
                <w:lang w:val="en-CA"/>
              </w:rPr>
            </w:pPr>
            <w:r w:rsidRPr="00F1762B">
              <w:rPr>
                <w:rFonts w:ascii="Calibri" w:hAnsi="Calibri"/>
                <w:sz w:val="15"/>
                <w:szCs w:val="15"/>
              </w:rPr>
              <w:t>Taiwan; population-based</w:t>
            </w:r>
          </w:p>
        </w:tc>
        <w:tc>
          <w:tcPr>
            <w:tcW w:w="491" w:type="pct"/>
          </w:tcPr>
          <w:p w14:paraId="6ACB9C3A" w14:textId="045EFF58" w:rsidR="008721DE" w:rsidRPr="00F1762B" w:rsidRDefault="008721DE" w:rsidP="00E05BB0">
            <w:pPr>
              <w:rPr>
                <w:sz w:val="15"/>
                <w:szCs w:val="15"/>
                <w:lang w:val="en-CA"/>
              </w:rPr>
            </w:pPr>
            <w:r w:rsidRPr="00F1762B">
              <w:rPr>
                <w:sz w:val="15"/>
                <w:szCs w:val="15"/>
                <w:lang w:val="en-CA"/>
              </w:rPr>
              <w:t>1998 to 2010; mean 6.8</w:t>
            </w:r>
          </w:p>
        </w:tc>
        <w:tc>
          <w:tcPr>
            <w:tcW w:w="620" w:type="pct"/>
          </w:tcPr>
          <w:p w14:paraId="20355D46" w14:textId="25E9DD2C" w:rsidR="008721DE" w:rsidRPr="00F1762B" w:rsidRDefault="008721DE" w:rsidP="00E05BB0">
            <w:pPr>
              <w:rPr>
                <w:sz w:val="15"/>
                <w:szCs w:val="15"/>
                <w:lang w:val="en-CA"/>
              </w:rPr>
            </w:pPr>
            <w:r w:rsidRPr="00F1762B">
              <w:rPr>
                <w:sz w:val="15"/>
                <w:szCs w:val="15"/>
                <w:lang w:val="en-CA"/>
              </w:rPr>
              <w:t>20+; 57.6 (13.2)</w:t>
            </w:r>
          </w:p>
        </w:tc>
        <w:tc>
          <w:tcPr>
            <w:tcW w:w="620" w:type="pct"/>
          </w:tcPr>
          <w:p w14:paraId="3A48182D" w14:textId="0C3FF2FF" w:rsidR="008721DE" w:rsidRPr="00F1762B" w:rsidRDefault="008721DE" w:rsidP="00E05BB0">
            <w:pPr>
              <w:rPr>
                <w:sz w:val="15"/>
                <w:szCs w:val="15"/>
                <w:lang w:val="en-CA"/>
              </w:rPr>
            </w:pPr>
            <w:r w:rsidRPr="00F1762B">
              <w:rPr>
                <w:sz w:val="15"/>
                <w:szCs w:val="15"/>
                <w:lang w:val="en-CA"/>
              </w:rPr>
              <w:t>53.5</w:t>
            </w:r>
          </w:p>
        </w:tc>
        <w:tc>
          <w:tcPr>
            <w:tcW w:w="537" w:type="pct"/>
          </w:tcPr>
          <w:p w14:paraId="7AD456B4" w14:textId="24ACD196" w:rsidR="008721DE" w:rsidRPr="00F1762B" w:rsidRDefault="008721DE" w:rsidP="00E05BB0">
            <w:pPr>
              <w:rPr>
                <w:sz w:val="15"/>
                <w:szCs w:val="15"/>
                <w:lang w:val="en-CA"/>
              </w:rPr>
            </w:pPr>
            <w:r w:rsidRPr="00F1762B">
              <w:rPr>
                <w:sz w:val="15"/>
                <w:szCs w:val="15"/>
                <w:lang w:val="en-CA"/>
              </w:rPr>
              <w:t>Class 6, insulin vs no use of insulin</w:t>
            </w:r>
          </w:p>
        </w:tc>
        <w:tc>
          <w:tcPr>
            <w:tcW w:w="471" w:type="pct"/>
          </w:tcPr>
          <w:p w14:paraId="3F0F27DC" w14:textId="21FEE738" w:rsidR="008721DE" w:rsidRPr="00F1762B" w:rsidRDefault="002427B6" w:rsidP="00E05BB0">
            <w:pPr>
              <w:rPr>
                <w:sz w:val="15"/>
                <w:szCs w:val="15"/>
                <w:lang w:val="en-CA"/>
              </w:rPr>
            </w:pPr>
            <w:r w:rsidRPr="00F1762B">
              <w:rPr>
                <w:sz w:val="15"/>
                <w:szCs w:val="15"/>
                <w:lang w:val="en-CA"/>
              </w:rPr>
              <w:t>Colorectal cancer</w:t>
            </w:r>
          </w:p>
        </w:tc>
        <w:tc>
          <w:tcPr>
            <w:tcW w:w="785" w:type="pct"/>
          </w:tcPr>
          <w:p w14:paraId="4378EF20" w14:textId="274AE92C" w:rsidR="008721DE" w:rsidRPr="00F1762B" w:rsidRDefault="008721DE" w:rsidP="00E05BB0">
            <w:pPr>
              <w:rPr>
                <w:sz w:val="15"/>
                <w:szCs w:val="15"/>
                <w:lang w:val="en-CA"/>
              </w:rPr>
            </w:pPr>
            <w:r w:rsidRPr="00F1762B">
              <w:rPr>
                <w:sz w:val="15"/>
                <w:szCs w:val="15"/>
                <w:lang w:val="en-CA"/>
              </w:rPr>
              <w:t>Adjusted for age</w:t>
            </w:r>
            <w:r w:rsidRPr="00F1762B">
              <w:rPr>
                <w:sz w:val="15"/>
                <w:szCs w:val="15"/>
              </w:rPr>
              <w:t>, sex, urbanization level, comorbidities, insulin usage and examinations</w:t>
            </w:r>
          </w:p>
        </w:tc>
        <w:tc>
          <w:tcPr>
            <w:tcW w:w="307" w:type="pct"/>
          </w:tcPr>
          <w:p w14:paraId="117A6E0D" w14:textId="41978802" w:rsidR="008721DE" w:rsidRPr="00F1762B" w:rsidRDefault="008721DE" w:rsidP="00E05BB0">
            <w:pPr>
              <w:rPr>
                <w:sz w:val="15"/>
                <w:szCs w:val="15"/>
                <w:lang w:val="en-CA"/>
              </w:rPr>
            </w:pPr>
            <w:r w:rsidRPr="00F1762B">
              <w:rPr>
                <w:rFonts w:ascii="Calibri" w:hAnsi="Calibri"/>
                <w:sz w:val="15"/>
                <w:szCs w:val="15"/>
              </w:rPr>
              <w:t>Low</w:t>
            </w:r>
          </w:p>
        </w:tc>
        <w:tc>
          <w:tcPr>
            <w:tcW w:w="204" w:type="pct"/>
          </w:tcPr>
          <w:p w14:paraId="2D795F10" w14:textId="01988C00" w:rsidR="008721DE" w:rsidRPr="00F1762B" w:rsidRDefault="008721DE" w:rsidP="00E05BB0">
            <w:pPr>
              <w:rPr>
                <w:rFonts w:ascii="Calibri" w:hAnsi="Calibri"/>
                <w:sz w:val="15"/>
                <w:szCs w:val="15"/>
              </w:rPr>
            </w:pPr>
            <w:r w:rsidRPr="00F1762B">
              <w:rPr>
                <w:rFonts w:ascii="Calibri" w:hAnsi="Calibri"/>
                <w:sz w:val="15"/>
                <w:szCs w:val="15"/>
              </w:rPr>
              <w:t>7</w:t>
            </w:r>
          </w:p>
        </w:tc>
      </w:tr>
      <w:tr w:rsidR="00B7487B" w:rsidRPr="00F1762B" w14:paraId="02655E70" w14:textId="2440C0EE" w:rsidTr="00F1762B">
        <w:tc>
          <w:tcPr>
            <w:tcW w:w="517" w:type="pct"/>
          </w:tcPr>
          <w:p w14:paraId="682C6287" w14:textId="41C977B7" w:rsidR="008721DE" w:rsidRPr="00F1762B" w:rsidRDefault="008721DE" w:rsidP="00E05BB0">
            <w:pPr>
              <w:rPr>
                <w:sz w:val="15"/>
                <w:szCs w:val="15"/>
                <w:lang w:val="en-CA"/>
              </w:rPr>
            </w:pPr>
            <w:r w:rsidRPr="00F1762B">
              <w:rPr>
                <w:rFonts w:ascii="Calibri" w:hAnsi="Calibri"/>
                <w:sz w:val="15"/>
                <w:szCs w:val="15"/>
              </w:rPr>
              <w:t>Wang 2019</w:t>
            </w:r>
          </w:p>
        </w:tc>
        <w:tc>
          <w:tcPr>
            <w:tcW w:w="447" w:type="pct"/>
          </w:tcPr>
          <w:p w14:paraId="09CCB089" w14:textId="0522FA3F" w:rsidR="008721DE" w:rsidRPr="00F1762B" w:rsidRDefault="008721DE" w:rsidP="00E05BB0">
            <w:pPr>
              <w:rPr>
                <w:sz w:val="15"/>
                <w:szCs w:val="15"/>
                <w:lang w:val="en-CA"/>
              </w:rPr>
            </w:pPr>
            <w:r w:rsidRPr="00F1762B">
              <w:rPr>
                <w:rFonts w:ascii="Calibri" w:hAnsi="Calibri"/>
                <w:sz w:val="15"/>
                <w:szCs w:val="15"/>
              </w:rPr>
              <w:t>United States; population-based</w:t>
            </w:r>
          </w:p>
        </w:tc>
        <w:tc>
          <w:tcPr>
            <w:tcW w:w="491" w:type="pct"/>
          </w:tcPr>
          <w:p w14:paraId="0C9D22EF" w14:textId="1CF8FBB7" w:rsidR="008721DE" w:rsidRPr="00F1762B" w:rsidRDefault="008721DE" w:rsidP="00E05BB0">
            <w:pPr>
              <w:rPr>
                <w:sz w:val="15"/>
                <w:szCs w:val="15"/>
                <w:lang w:val="en-CA"/>
              </w:rPr>
            </w:pPr>
            <w:r w:rsidRPr="00F1762B">
              <w:rPr>
                <w:sz w:val="15"/>
                <w:szCs w:val="15"/>
                <w:lang w:val="en-CA"/>
              </w:rPr>
              <w:t>2001 to 2012; NA</w:t>
            </w:r>
          </w:p>
        </w:tc>
        <w:tc>
          <w:tcPr>
            <w:tcW w:w="620" w:type="pct"/>
          </w:tcPr>
          <w:p w14:paraId="220734AB" w14:textId="4C19CD87" w:rsidR="008721DE" w:rsidRPr="00F1762B" w:rsidRDefault="008721DE" w:rsidP="00E05BB0">
            <w:pPr>
              <w:rPr>
                <w:sz w:val="15"/>
                <w:szCs w:val="15"/>
              </w:rPr>
            </w:pPr>
            <w:r w:rsidRPr="00F1762B">
              <w:rPr>
                <w:sz w:val="15"/>
                <w:szCs w:val="15"/>
              </w:rPr>
              <w:t>40 to 89; 65.4 (9.6) in users of metformin; 71.2 (10.2) in non-users</w:t>
            </w:r>
          </w:p>
          <w:p w14:paraId="0351CFEB" w14:textId="77777777" w:rsidR="008721DE" w:rsidRPr="00F1762B" w:rsidRDefault="008721DE" w:rsidP="00E05BB0">
            <w:pPr>
              <w:rPr>
                <w:sz w:val="15"/>
                <w:szCs w:val="15"/>
                <w:lang w:val="en-CA"/>
              </w:rPr>
            </w:pPr>
          </w:p>
        </w:tc>
        <w:tc>
          <w:tcPr>
            <w:tcW w:w="620" w:type="pct"/>
          </w:tcPr>
          <w:p w14:paraId="74A21A79" w14:textId="0A6A736D" w:rsidR="008721DE" w:rsidRPr="00F1762B" w:rsidRDefault="008721DE" w:rsidP="00E05BB0">
            <w:pPr>
              <w:rPr>
                <w:sz w:val="15"/>
                <w:szCs w:val="15"/>
                <w:lang w:val="en-CA"/>
              </w:rPr>
            </w:pPr>
            <w:r w:rsidRPr="00F1762B">
              <w:rPr>
                <w:sz w:val="15"/>
                <w:szCs w:val="15"/>
                <w:lang w:val="en-CA"/>
              </w:rPr>
              <w:lastRenderedPageBreak/>
              <w:t>100.0</w:t>
            </w:r>
          </w:p>
        </w:tc>
        <w:tc>
          <w:tcPr>
            <w:tcW w:w="537" w:type="pct"/>
          </w:tcPr>
          <w:p w14:paraId="09DE8554" w14:textId="50CE886B" w:rsidR="008721DE" w:rsidRPr="00F1762B" w:rsidRDefault="008721DE" w:rsidP="00E05BB0">
            <w:pPr>
              <w:rPr>
                <w:sz w:val="15"/>
                <w:szCs w:val="15"/>
                <w:lang w:val="en-CA"/>
              </w:rPr>
            </w:pPr>
            <w:r w:rsidRPr="00F1762B">
              <w:rPr>
                <w:sz w:val="15"/>
                <w:szCs w:val="15"/>
                <w:lang w:val="en-CA"/>
              </w:rPr>
              <w:t>C</w:t>
            </w:r>
            <w:r w:rsidRPr="00F1762B">
              <w:rPr>
                <w:rFonts w:hint="eastAsia"/>
                <w:sz w:val="15"/>
                <w:szCs w:val="15"/>
                <w:lang w:val="en-CA"/>
              </w:rPr>
              <w:t>lass</w:t>
            </w:r>
            <w:r w:rsidRPr="00F1762B">
              <w:rPr>
                <w:sz w:val="15"/>
                <w:szCs w:val="15"/>
                <w:lang w:val="en-CA"/>
              </w:rPr>
              <w:t xml:space="preserve"> 1, metformin vs no use of metformin</w:t>
            </w:r>
          </w:p>
        </w:tc>
        <w:tc>
          <w:tcPr>
            <w:tcW w:w="471" w:type="pct"/>
          </w:tcPr>
          <w:p w14:paraId="38ADAB2D" w14:textId="4AF90657" w:rsidR="008721DE" w:rsidRPr="00F1762B" w:rsidRDefault="002427B6" w:rsidP="00E05BB0">
            <w:pPr>
              <w:rPr>
                <w:sz w:val="15"/>
                <w:szCs w:val="15"/>
                <w:lang w:val="en-CA"/>
              </w:rPr>
            </w:pPr>
            <w:r w:rsidRPr="00F1762B">
              <w:rPr>
                <w:sz w:val="15"/>
                <w:szCs w:val="15"/>
                <w:lang w:val="en-CA"/>
              </w:rPr>
              <w:t>Liver cancer</w:t>
            </w:r>
          </w:p>
        </w:tc>
        <w:tc>
          <w:tcPr>
            <w:tcW w:w="785" w:type="pct"/>
          </w:tcPr>
          <w:p w14:paraId="798CB802" w14:textId="5624F7D9" w:rsidR="008721DE" w:rsidRPr="00F1762B" w:rsidRDefault="008721DE" w:rsidP="00E05BB0">
            <w:pPr>
              <w:rPr>
                <w:sz w:val="15"/>
                <w:szCs w:val="15"/>
              </w:rPr>
            </w:pPr>
            <w:r w:rsidRPr="00F1762B">
              <w:rPr>
                <w:sz w:val="15"/>
                <w:szCs w:val="15"/>
              </w:rPr>
              <w:t>Adjusted for age</w:t>
            </w:r>
            <w:r w:rsidR="006522AA">
              <w:rPr>
                <w:sz w:val="15"/>
                <w:szCs w:val="15"/>
              </w:rPr>
              <w:t>,</w:t>
            </w:r>
            <w:r w:rsidRPr="00F1762B">
              <w:rPr>
                <w:sz w:val="15"/>
                <w:szCs w:val="15"/>
              </w:rPr>
              <w:t xml:space="preserve"> age-adjusted Charlson comorbidity score</w:t>
            </w:r>
            <w:r w:rsidR="006522AA">
              <w:rPr>
                <w:sz w:val="15"/>
                <w:szCs w:val="15"/>
              </w:rPr>
              <w:t>,</w:t>
            </w:r>
            <w:r w:rsidRPr="00F1762B">
              <w:rPr>
                <w:sz w:val="15"/>
                <w:szCs w:val="15"/>
              </w:rPr>
              <w:t xml:space="preserve"> statin use</w:t>
            </w:r>
            <w:r w:rsidR="006522AA">
              <w:rPr>
                <w:sz w:val="15"/>
                <w:szCs w:val="15"/>
              </w:rPr>
              <w:t>,</w:t>
            </w:r>
            <w:r w:rsidRPr="00F1762B">
              <w:rPr>
                <w:sz w:val="15"/>
                <w:szCs w:val="15"/>
              </w:rPr>
              <w:t xml:space="preserve"> beta-blocker use</w:t>
            </w:r>
            <w:r w:rsidR="006522AA">
              <w:rPr>
                <w:sz w:val="15"/>
                <w:szCs w:val="15"/>
              </w:rPr>
              <w:t>,</w:t>
            </w:r>
            <w:r w:rsidRPr="00F1762B">
              <w:rPr>
                <w:sz w:val="15"/>
                <w:szCs w:val="15"/>
              </w:rPr>
              <w:t xml:space="preserve"> baseline </w:t>
            </w:r>
            <w:r w:rsidRPr="00F1762B">
              <w:rPr>
                <w:sz w:val="15"/>
                <w:szCs w:val="15"/>
              </w:rPr>
              <w:lastRenderedPageBreak/>
              <w:t>and temporal change of body mass index</w:t>
            </w:r>
            <w:r w:rsidR="006522AA">
              <w:rPr>
                <w:sz w:val="15"/>
                <w:szCs w:val="15"/>
              </w:rPr>
              <w:t>,</w:t>
            </w:r>
            <w:r w:rsidRPr="00F1762B">
              <w:rPr>
                <w:sz w:val="15"/>
                <w:szCs w:val="15"/>
              </w:rPr>
              <w:t xml:space="preserve"> low-density lipoprotein (LDL) and hemoglobin A1c (HbA1c)</w:t>
            </w:r>
            <w:r w:rsidR="006522AA">
              <w:rPr>
                <w:sz w:val="15"/>
                <w:szCs w:val="15"/>
              </w:rPr>
              <w:t>,</w:t>
            </w:r>
            <w:r w:rsidRPr="00F1762B">
              <w:rPr>
                <w:sz w:val="15"/>
                <w:szCs w:val="15"/>
              </w:rPr>
              <w:t xml:space="preserve"> having had diagnosed for alcohol related mental health disorders</w:t>
            </w:r>
            <w:r w:rsidR="006522AA">
              <w:rPr>
                <w:sz w:val="15"/>
                <w:szCs w:val="15"/>
              </w:rPr>
              <w:t>,</w:t>
            </w:r>
            <w:r w:rsidRPr="00F1762B">
              <w:rPr>
                <w:sz w:val="15"/>
                <w:szCs w:val="15"/>
              </w:rPr>
              <w:t xml:space="preserve"> nonspecific abnormal liver functions during the study period</w:t>
            </w:r>
            <w:r w:rsidR="006522AA">
              <w:rPr>
                <w:sz w:val="15"/>
                <w:szCs w:val="15"/>
              </w:rPr>
              <w:t>,</w:t>
            </w:r>
            <w:r w:rsidRPr="00F1762B">
              <w:rPr>
                <w:sz w:val="15"/>
                <w:szCs w:val="15"/>
              </w:rPr>
              <w:t xml:space="preserve"> and patient's residential neighborhood SES</w:t>
            </w:r>
          </w:p>
        </w:tc>
        <w:tc>
          <w:tcPr>
            <w:tcW w:w="307" w:type="pct"/>
          </w:tcPr>
          <w:p w14:paraId="267C1CB0" w14:textId="39D54383" w:rsidR="008721DE" w:rsidRPr="00F1762B" w:rsidRDefault="008721DE" w:rsidP="00E05BB0">
            <w:pPr>
              <w:rPr>
                <w:sz w:val="15"/>
                <w:szCs w:val="15"/>
                <w:lang w:val="en-CA"/>
              </w:rPr>
            </w:pPr>
            <w:r w:rsidRPr="00F1762B">
              <w:rPr>
                <w:rFonts w:ascii="Calibri" w:hAnsi="Calibri"/>
                <w:sz w:val="15"/>
                <w:szCs w:val="15"/>
              </w:rPr>
              <w:lastRenderedPageBreak/>
              <w:t>Low</w:t>
            </w:r>
          </w:p>
        </w:tc>
        <w:tc>
          <w:tcPr>
            <w:tcW w:w="204" w:type="pct"/>
          </w:tcPr>
          <w:p w14:paraId="63363550" w14:textId="543F9DDC" w:rsidR="008721DE" w:rsidRPr="00F1762B" w:rsidRDefault="008721DE" w:rsidP="00E05BB0">
            <w:pPr>
              <w:rPr>
                <w:rFonts w:ascii="Calibri" w:hAnsi="Calibri"/>
                <w:sz w:val="15"/>
                <w:szCs w:val="15"/>
              </w:rPr>
            </w:pPr>
            <w:r w:rsidRPr="00F1762B">
              <w:rPr>
                <w:rFonts w:ascii="Calibri" w:hAnsi="Calibri"/>
                <w:sz w:val="15"/>
                <w:szCs w:val="15"/>
              </w:rPr>
              <w:t>8</w:t>
            </w:r>
          </w:p>
        </w:tc>
      </w:tr>
      <w:tr w:rsidR="00B7487B" w:rsidRPr="00F1762B" w14:paraId="1EA19545" w14:textId="31A82983" w:rsidTr="00F1762B">
        <w:tc>
          <w:tcPr>
            <w:tcW w:w="517" w:type="pct"/>
          </w:tcPr>
          <w:p w14:paraId="4AEDEA24" w14:textId="701675AF" w:rsidR="008721DE" w:rsidRPr="00F1762B" w:rsidRDefault="008721DE" w:rsidP="00E05BB0">
            <w:pPr>
              <w:rPr>
                <w:sz w:val="15"/>
                <w:szCs w:val="15"/>
                <w:lang w:val="en-CA"/>
              </w:rPr>
            </w:pPr>
            <w:r w:rsidRPr="00F1762B">
              <w:rPr>
                <w:rFonts w:ascii="Calibri" w:hAnsi="Calibri"/>
                <w:sz w:val="15"/>
                <w:szCs w:val="15"/>
              </w:rPr>
              <w:t>Kincius 2020</w:t>
            </w:r>
          </w:p>
        </w:tc>
        <w:tc>
          <w:tcPr>
            <w:tcW w:w="447" w:type="pct"/>
          </w:tcPr>
          <w:p w14:paraId="243C33F5" w14:textId="29E6EB93" w:rsidR="008721DE" w:rsidRPr="00F1762B" w:rsidRDefault="008721DE" w:rsidP="00E05BB0">
            <w:pPr>
              <w:rPr>
                <w:sz w:val="15"/>
                <w:szCs w:val="15"/>
                <w:lang w:val="en-CA"/>
              </w:rPr>
            </w:pPr>
            <w:r w:rsidRPr="00F1762B">
              <w:rPr>
                <w:rFonts w:ascii="Calibri" w:hAnsi="Calibri"/>
                <w:sz w:val="15"/>
                <w:szCs w:val="15"/>
              </w:rPr>
              <w:t>Lithuania; population-based</w:t>
            </w:r>
          </w:p>
        </w:tc>
        <w:tc>
          <w:tcPr>
            <w:tcW w:w="491" w:type="pct"/>
          </w:tcPr>
          <w:p w14:paraId="34A1FF6B" w14:textId="46123973" w:rsidR="008721DE" w:rsidRPr="00F1762B" w:rsidRDefault="008721DE" w:rsidP="00E05BB0">
            <w:pPr>
              <w:rPr>
                <w:sz w:val="15"/>
                <w:szCs w:val="15"/>
                <w:lang w:val="en-CA"/>
              </w:rPr>
            </w:pPr>
            <w:r w:rsidRPr="00F1762B">
              <w:rPr>
                <w:sz w:val="15"/>
                <w:szCs w:val="15"/>
                <w:lang w:val="en-CA"/>
              </w:rPr>
              <w:t xml:space="preserve">2000 to </w:t>
            </w:r>
            <w:r w:rsidRPr="00F1762B">
              <w:rPr>
                <w:rFonts w:hint="eastAsia"/>
                <w:sz w:val="15"/>
                <w:szCs w:val="15"/>
                <w:lang w:val="en-CA"/>
              </w:rPr>
              <w:t>2</w:t>
            </w:r>
            <w:r w:rsidRPr="00F1762B">
              <w:rPr>
                <w:sz w:val="15"/>
                <w:szCs w:val="15"/>
                <w:lang w:val="en-CA"/>
              </w:rPr>
              <w:t>016; ~45% were followed up for &gt;5 years</w:t>
            </w:r>
          </w:p>
        </w:tc>
        <w:tc>
          <w:tcPr>
            <w:tcW w:w="620" w:type="pct"/>
          </w:tcPr>
          <w:p w14:paraId="45D0754D" w14:textId="4D395173" w:rsidR="008721DE" w:rsidRPr="00F1762B" w:rsidRDefault="008721DE" w:rsidP="00E05BB0">
            <w:pPr>
              <w:rPr>
                <w:sz w:val="15"/>
                <w:szCs w:val="15"/>
              </w:rPr>
            </w:pPr>
            <w:r w:rsidRPr="00F1762B">
              <w:rPr>
                <w:sz w:val="15"/>
                <w:szCs w:val="15"/>
              </w:rPr>
              <w:t>40+; ~66% were &gt; 60</w:t>
            </w:r>
          </w:p>
        </w:tc>
        <w:tc>
          <w:tcPr>
            <w:tcW w:w="620" w:type="pct"/>
          </w:tcPr>
          <w:p w14:paraId="6930E51C" w14:textId="108A1617" w:rsidR="008721DE" w:rsidRPr="00F1762B" w:rsidRDefault="008721DE" w:rsidP="00E05BB0">
            <w:pPr>
              <w:rPr>
                <w:sz w:val="15"/>
                <w:szCs w:val="15"/>
                <w:lang w:val="en-CA"/>
              </w:rPr>
            </w:pPr>
            <w:r w:rsidRPr="00F1762B">
              <w:rPr>
                <w:sz w:val="15"/>
                <w:szCs w:val="15"/>
                <w:lang w:val="en-CA"/>
              </w:rPr>
              <w:t>100.0</w:t>
            </w:r>
          </w:p>
        </w:tc>
        <w:tc>
          <w:tcPr>
            <w:tcW w:w="537" w:type="pct"/>
          </w:tcPr>
          <w:p w14:paraId="13D250B8" w14:textId="45CE49B8" w:rsidR="008721DE" w:rsidRPr="00F1762B" w:rsidRDefault="008721DE" w:rsidP="00E05BB0">
            <w:pPr>
              <w:rPr>
                <w:sz w:val="15"/>
                <w:szCs w:val="15"/>
                <w:lang w:val="en-CA"/>
              </w:rPr>
            </w:pPr>
            <w:r w:rsidRPr="00F1762B">
              <w:rPr>
                <w:sz w:val="15"/>
                <w:szCs w:val="15"/>
                <w:lang w:val="en-CA"/>
              </w:rPr>
              <w:t>Class 1, metformin vs no use of metformin</w:t>
            </w:r>
          </w:p>
        </w:tc>
        <w:tc>
          <w:tcPr>
            <w:tcW w:w="471" w:type="pct"/>
          </w:tcPr>
          <w:p w14:paraId="066F6BC1" w14:textId="4E751DE2" w:rsidR="008721DE" w:rsidRPr="00F1762B" w:rsidRDefault="002427B6" w:rsidP="00E05BB0">
            <w:pPr>
              <w:rPr>
                <w:sz w:val="15"/>
                <w:szCs w:val="15"/>
                <w:lang w:val="en-CA"/>
              </w:rPr>
            </w:pPr>
            <w:r w:rsidRPr="00F1762B">
              <w:rPr>
                <w:sz w:val="15"/>
                <w:szCs w:val="15"/>
                <w:lang w:val="en-CA"/>
              </w:rPr>
              <w:t>Prostate cancer</w:t>
            </w:r>
          </w:p>
        </w:tc>
        <w:tc>
          <w:tcPr>
            <w:tcW w:w="785" w:type="pct"/>
          </w:tcPr>
          <w:p w14:paraId="7B857478" w14:textId="5A8AAA35" w:rsidR="008721DE" w:rsidRPr="00F1762B" w:rsidRDefault="008721DE" w:rsidP="00E05BB0">
            <w:pPr>
              <w:rPr>
                <w:sz w:val="15"/>
                <w:szCs w:val="15"/>
                <w:lang w:val="en-CA"/>
              </w:rPr>
            </w:pPr>
            <w:r w:rsidRPr="00F1762B">
              <w:rPr>
                <w:sz w:val="15"/>
                <w:szCs w:val="15"/>
                <w:lang w:val="en-CA"/>
              </w:rPr>
              <w:t>Adjusted for age</w:t>
            </w:r>
          </w:p>
        </w:tc>
        <w:tc>
          <w:tcPr>
            <w:tcW w:w="307" w:type="pct"/>
          </w:tcPr>
          <w:p w14:paraId="49D229FC" w14:textId="1FD55A7B" w:rsidR="008721DE" w:rsidRPr="00F1762B" w:rsidRDefault="008721DE" w:rsidP="00E05BB0">
            <w:pPr>
              <w:rPr>
                <w:sz w:val="15"/>
                <w:szCs w:val="15"/>
                <w:lang w:val="en-CA"/>
              </w:rPr>
            </w:pPr>
            <w:r w:rsidRPr="00F1762B">
              <w:rPr>
                <w:rFonts w:ascii="Calibri" w:hAnsi="Calibri"/>
                <w:sz w:val="15"/>
                <w:szCs w:val="15"/>
              </w:rPr>
              <w:t>Low</w:t>
            </w:r>
          </w:p>
        </w:tc>
        <w:tc>
          <w:tcPr>
            <w:tcW w:w="204" w:type="pct"/>
          </w:tcPr>
          <w:p w14:paraId="1B4D4C33" w14:textId="2797F42A" w:rsidR="008721DE" w:rsidRPr="00F1762B" w:rsidRDefault="008721DE" w:rsidP="00E05BB0">
            <w:pPr>
              <w:rPr>
                <w:rFonts w:ascii="Calibri" w:hAnsi="Calibri"/>
                <w:sz w:val="15"/>
                <w:szCs w:val="15"/>
              </w:rPr>
            </w:pPr>
            <w:r w:rsidRPr="00F1762B">
              <w:rPr>
                <w:rFonts w:ascii="Calibri" w:hAnsi="Calibri"/>
                <w:sz w:val="15"/>
                <w:szCs w:val="15"/>
              </w:rPr>
              <w:t>7</w:t>
            </w:r>
          </w:p>
        </w:tc>
      </w:tr>
      <w:tr w:rsidR="00B7487B" w:rsidRPr="00F1762B" w14:paraId="5B906129" w14:textId="7F71108C" w:rsidTr="00F1762B">
        <w:tc>
          <w:tcPr>
            <w:tcW w:w="517" w:type="pct"/>
          </w:tcPr>
          <w:p w14:paraId="515FA0C4" w14:textId="2B47FD06" w:rsidR="008721DE" w:rsidRPr="00F1762B" w:rsidRDefault="008721DE" w:rsidP="00E05BB0">
            <w:pPr>
              <w:rPr>
                <w:sz w:val="15"/>
                <w:szCs w:val="15"/>
                <w:lang w:val="en-CA"/>
              </w:rPr>
            </w:pPr>
            <w:r w:rsidRPr="00F1762B">
              <w:rPr>
                <w:rFonts w:ascii="Calibri" w:hAnsi="Calibri"/>
                <w:sz w:val="15"/>
                <w:szCs w:val="15"/>
              </w:rPr>
              <w:t>Yen 2021</w:t>
            </w:r>
          </w:p>
        </w:tc>
        <w:tc>
          <w:tcPr>
            <w:tcW w:w="447" w:type="pct"/>
          </w:tcPr>
          <w:p w14:paraId="5CA7566B" w14:textId="1AE83215" w:rsidR="008721DE" w:rsidRPr="00F1762B" w:rsidRDefault="008721DE" w:rsidP="00E05BB0">
            <w:pPr>
              <w:rPr>
                <w:sz w:val="15"/>
                <w:szCs w:val="15"/>
                <w:lang w:val="en-CA"/>
              </w:rPr>
            </w:pPr>
            <w:r w:rsidRPr="00F1762B">
              <w:rPr>
                <w:rFonts w:ascii="Calibri" w:hAnsi="Calibri"/>
                <w:sz w:val="15"/>
                <w:szCs w:val="15"/>
              </w:rPr>
              <w:t>Taiwan; population-based</w:t>
            </w:r>
          </w:p>
        </w:tc>
        <w:tc>
          <w:tcPr>
            <w:tcW w:w="491" w:type="pct"/>
          </w:tcPr>
          <w:p w14:paraId="1AAB3132" w14:textId="49C0F9F8" w:rsidR="008721DE" w:rsidRPr="00F1762B" w:rsidRDefault="008721DE" w:rsidP="00E05BB0">
            <w:pPr>
              <w:rPr>
                <w:sz w:val="15"/>
                <w:szCs w:val="15"/>
                <w:lang w:val="en-CA"/>
              </w:rPr>
            </w:pPr>
            <w:r w:rsidRPr="00F1762B">
              <w:rPr>
                <w:sz w:val="15"/>
                <w:szCs w:val="15"/>
                <w:lang w:val="en-CA"/>
              </w:rPr>
              <w:t>2007 to 2012; NA</w:t>
            </w:r>
          </w:p>
        </w:tc>
        <w:tc>
          <w:tcPr>
            <w:tcW w:w="620" w:type="pct"/>
          </w:tcPr>
          <w:p w14:paraId="3BAE6E12" w14:textId="4D3F031D" w:rsidR="008721DE" w:rsidRPr="00F1762B" w:rsidRDefault="008721DE" w:rsidP="00E05BB0">
            <w:pPr>
              <w:rPr>
                <w:sz w:val="15"/>
                <w:szCs w:val="15"/>
              </w:rPr>
            </w:pPr>
            <w:r w:rsidRPr="00F1762B">
              <w:rPr>
                <w:sz w:val="15"/>
                <w:szCs w:val="15"/>
              </w:rPr>
              <w:t>18 to 80; 35 and 41% of DPP-4 inhibitor users and nonusers were &gt; 65 years old</w:t>
            </w:r>
          </w:p>
          <w:p w14:paraId="348B1B57" w14:textId="77777777" w:rsidR="008721DE" w:rsidRPr="00F1762B" w:rsidRDefault="008721DE" w:rsidP="00E05BB0">
            <w:pPr>
              <w:rPr>
                <w:sz w:val="15"/>
                <w:szCs w:val="15"/>
              </w:rPr>
            </w:pPr>
          </w:p>
        </w:tc>
        <w:tc>
          <w:tcPr>
            <w:tcW w:w="620" w:type="pct"/>
          </w:tcPr>
          <w:p w14:paraId="57A499B8" w14:textId="24A8F35D" w:rsidR="008721DE" w:rsidRPr="00F1762B" w:rsidRDefault="008721DE" w:rsidP="00E05BB0">
            <w:pPr>
              <w:rPr>
                <w:sz w:val="15"/>
                <w:szCs w:val="15"/>
                <w:lang w:val="en-CA"/>
              </w:rPr>
            </w:pPr>
            <w:r w:rsidRPr="00F1762B">
              <w:rPr>
                <w:sz w:val="15"/>
                <w:szCs w:val="15"/>
                <w:lang w:val="en-CA"/>
              </w:rPr>
              <w:t>67.0</w:t>
            </w:r>
          </w:p>
        </w:tc>
        <w:tc>
          <w:tcPr>
            <w:tcW w:w="537" w:type="pct"/>
          </w:tcPr>
          <w:p w14:paraId="60A9FBC3" w14:textId="4350CF20" w:rsidR="008721DE" w:rsidRPr="00F1762B" w:rsidRDefault="008721DE" w:rsidP="00E05BB0">
            <w:pPr>
              <w:rPr>
                <w:sz w:val="15"/>
                <w:szCs w:val="15"/>
                <w:lang w:val="en-CA"/>
              </w:rPr>
            </w:pPr>
            <w:r w:rsidRPr="00F1762B">
              <w:rPr>
                <w:sz w:val="15"/>
                <w:szCs w:val="15"/>
                <w:lang w:val="en-CA"/>
              </w:rPr>
              <w:t>Class 2, dipeptidyl Peptidase-4 (DPP-4) inhibitor vs no use of DPP-4 inhibitor</w:t>
            </w:r>
          </w:p>
        </w:tc>
        <w:tc>
          <w:tcPr>
            <w:tcW w:w="471" w:type="pct"/>
          </w:tcPr>
          <w:p w14:paraId="742C5276" w14:textId="7E083E9D" w:rsidR="008721DE" w:rsidRPr="00F1762B" w:rsidRDefault="002427B6" w:rsidP="00E05BB0">
            <w:pPr>
              <w:rPr>
                <w:sz w:val="15"/>
                <w:szCs w:val="15"/>
                <w:lang w:val="en-CA"/>
              </w:rPr>
            </w:pPr>
            <w:r w:rsidRPr="00F1762B">
              <w:rPr>
                <w:sz w:val="15"/>
                <w:szCs w:val="15"/>
                <w:lang w:val="en-CA"/>
              </w:rPr>
              <w:t>Liver cancer</w:t>
            </w:r>
          </w:p>
        </w:tc>
        <w:tc>
          <w:tcPr>
            <w:tcW w:w="785" w:type="pct"/>
          </w:tcPr>
          <w:p w14:paraId="636464E9" w14:textId="4535DDA5" w:rsidR="008721DE" w:rsidRPr="00F1762B" w:rsidRDefault="008721DE" w:rsidP="00E05BB0">
            <w:pPr>
              <w:rPr>
                <w:sz w:val="15"/>
                <w:szCs w:val="15"/>
                <w:lang w:val="en-CA"/>
              </w:rPr>
            </w:pPr>
            <w:r w:rsidRPr="00F1762B">
              <w:rPr>
                <w:sz w:val="15"/>
                <w:szCs w:val="15"/>
                <w:lang w:val="en-CA"/>
              </w:rPr>
              <w:t xml:space="preserve">Adjusted for </w:t>
            </w:r>
            <w:r w:rsidRPr="00F1762B">
              <w:rPr>
                <w:sz w:val="15"/>
                <w:szCs w:val="15"/>
              </w:rPr>
              <w:t>sex, age, age of diabetes mellitus diagnosis, Charlson comorbidity index, Diabetes Complications Severity Index score, angiotensin-converting enzyme inhibitors/angiotensin receptor blockers, beta-blockers, calcium-channel blockers, diuretics, other antihypertensive, metformin, sulfonylureas, meglitinides, alpha-glucosidase inhibitors, thiazolidinedione, insulin, statins, aspirin, hepatitis B virus and hepatitis C virus infection</w:t>
            </w:r>
          </w:p>
        </w:tc>
        <w:tc>
          <w:tcPr>
            <w:tcW w:w="307" w:type="pct"/>
          </w:tcPr>
          <w:p w14:paraId="1D803C27" w14:textId="3E69634A" w:rsidR="008721DE" w:rsidRPr="00F1762B" w:rsidRDefault="008721DE" w:rsidP="00E05BB0">
            <w:pPr>
              <w:rPr>
                <w:sz w:val="15"/>
                <w:szCs w:val="15"/>
                <w:lang w:val="en-CA"/>
              </w:rPr>
            </w:pPr>
            <w:r w:rsidRPr="00F1762B">
              <w:rPr>
                <w:rFonts w:ascii="Calibri" w:hAnsi="Calibri"/>
                <w:sz w:val="15"/>
                <w:szCs w:val="15"/>
              </w:rPr>
              <w:t>Low</w:t>
            </w:r>
          </w:p>
        </w:tc>
        <w:tc>
          <w:tcPr>
            <w:tcW w:w="204" w:type="pct"/>
          </w:tcPr>
          <w:p w14:paraId="2F94CAC3" w14:textId="0B7EBC23" w:rsidR="008721DE" w:rsidRPr="00F1762B" w:rsidRDefault="008721DE" w:rsidP="00E05BB0">
            <w:pPr>
              <w:rPr>
                <w:rFonts w:ascii="Calibri" w:hAnsi="Calibri"/>
                <w:sz w:val="15"/>
                <w:szCs w:val="15"/>
              </w:rPr>
            </w:pPr>
            <w:r w:rsidRPr="00F1762B">
              <w:rPr>
                <w:rFonts w:ascii="Calibri" w:hAnsi="Calibri"/>
                <w:sz w:val="15"/>
                <w:szCs w:val="15"/>
              </w:rPr>
              <w:t>7</w:t>
            </w:r>
          </w:p>
        </w:tc>
      </w:tr>
      <w:tr w:rsidR="00B7487B" w:rsidRPr="00F1762B" w14:paraId="2AD26D23" w14:textId="7A337713" w:rsidTr="00F1762B">
        <w:tc>
          <w:tcPr>
            <w:tcW w:w="517" w:type="pct"/>
          </w:tcPr>
          <w:p w14:paraId="4221B52D" w14:textId="03C2A7E6" w:rsidR="008721DE" w:rsidRPr="00F1762B" w:rsidRDefault="008721DE" w:rsidP="00E05BB0">
            <w:pPr>
              <w:rPr>
                <w:sz w:val="15"/>
                <w:szCs w:val="15"/>
                <w:lang w:val="en-CA"/>
              </w:rPr>
            </w:pPr>
            <w:r w:rsidRPr="00F1762B">
              <w:rPr>
                <w:rFonts w:ascii="Calibri" w:hAnsi="Calibri"/>
                <w:sz w:val="15"/>
                <w:szCs w:val="15"/>
              </w:rPr>
              <w:t>Tseng 2018b</w:t>
            </w:r>
          </w:p>
        </w:tc>
        <w:tc>
          <w:tcPr>
            <w:tcW w:w="447" w:type="pct"/>
          </w:tcPr>
          <w:p w14:paraId="223059A3" w14:textId="58D614A3" w:rsidR="008721DE" w:rsidRPr="00F1762B" w:rsidRDefault="008721DE" w:rsidP="00E05BB0">
            <w:pPr>
              <w:rPr>
                <w:sz w:val="15"/>
                <w:szCs w:val="15"/>
                <w:lang w:val="en-CA"/>
              </w:rPr>
            </w:pPr>
            <w:r w:rsidRPr="00F1762B">
              <w:rPr>
                <w:rFonts w:ascii="Calibri" w:hAnsi="Calibri"/>
                <w:sz w:val="15"/>
                <w:szCs w:val="15"/>
              </w:rPr>
              <w:t>Taiwan; population-based</w:t>
            </w:r>
          </w:p>
        </w:tc>
        <w:tc>
          <w:tcPr>
            <w:tcW w:w="491" w:type="pct"/>
          </w:tcPr>
          <w:p w14:paraId="33EB9756" w14:textId="5238E773" w:rsidR="008721DE" w:rsidRPr="00F1762B" w:rsidRDefault="008721DE" w:rsidP="00E05BB0">
            <w:pPr>
              <w:rPr>
                <w:sz w:val="15"/>
                <w:szCs w:val="15"/>
                <w:lang w:val="en-CA"/>
              </w:rPr>
            </w:pPr>
            <w:r w:rsidRPr="00F1762B">
              <w:rPr>
                <w:sz w:val="15"/>
                <w:szCs w:val="15"/>
                <w:lang w:val="en-CA"/>
              </w:rPr>
              <w:t>1999 to 2005; median 5.3</w:t>
            </w:r>
          </w:p>
        </w:tc>
        <w:tc>
          <w:tcPr>
            <w:tcW w:w="620" w:type="pct"/>
          </w:tcPr>
          <w:p w14:paraId="70197EE7" w14:textId="08202C2E" w:rsidR="008721DE" w:rsidRPr="00F1762B" w:rsidRDefault="008721DE" w:rsidP="00E05BB0">
            <w:pPr>
              <w:rPr>
                <w:sz w:val="15"/>
                <w:szCs w:val="15"/>
              </w:rPr>
            </w:pPr>
            <w:r w:rsidRPr="00F1762B">
              <w:rPr>
                <w:sz w:val="15"/>
                <w:szCs w:val="15"/>
              </w:rPr>
              <w:t>25 to 74; 59.6 (12.2) in ever users of metformin; 64.5 (13.5) never users</w:t>
            </w:r>
          </w:p>
        </w:tc>
        <w:tc>
          <w:tcPr>
            <w:tcW w:w="620" w:type="pct"/>
          </w:tcPr>
          <w:p w14:paraId="1D265AC2" w14:textId="554B84AD" w:rsidR="008721DE" w:rsidRPr="00F1762B" w:rsidRDefault="008721DE" w:rsidP="00E05BB0">
            <w:pPr>
              <w:rPr>
                <w:sz w:val="15"/>
                <w:szCs w:val="15"/>
              </w:rPr>
            </w:pPr>
            <w:r w:rsidRPr="00F1762B">
              <w:rPr>
                <w:sz w:val="15"/>
                <w:szCs w:val="15"/>
              </w:rPr>
              <w:t>47.2 in ever users; 45.6 in never users</w:t>
            </w:r>
          </w:p>
        </w:tc>
        <w:tc>
          <w:tcPr>
            <w:tcW w:w="537" w:type="pct"/>
          </w:tcPr>
          <w:p w14:paraId="63747B3F" w14:textId="5C31D296" w:rsidR="008721DE" w:rsidRPr="00F1762B" w:rsidRDefault="008721DE" w:rsidP="00E05BB0">
            <w:pPr>
              <w:rPr>
                <w:sz w:val="15"/>
                <w:szCs w:val="15"/>
                <w:lang w:val="en-CA"/>
              </w:rPr>
            </w:pPr>
            <w:r w:rsidRPr="00F1762B">
              <w:rPr>
                <w:sz w:val="15"/>
                <w:szCs w:val="15"/>
                <w:lang w:val="en-CA"/>
              </w:rPr>
              <w:t>C</w:t>
            </w:r>
            <w:r w:rsidRPr="00F1762B">
              <w:rPr>
                <w:rFonts w:hint="eastAsia"/>
                <w:sz w:val="15"/>
                <w:szCs w:val="15"/>
                <w:lang w:val="en-CA"/>
              </w:rPr>
              <w:t>lass</w:t>
            </w:r>
            <w:r w:rsidRPr="00F1762B">
              <w:rPr>
                <w:sz w:val="15"/>
                <w:szCs w:val="15"/>
                <w:lang w:val="en-CA"/>
              </w:rPr>
              <w:t xml:space="preserve"> 1, metformin vs no use of metformin</w:t>
            </w:r>
          </w:p>
        </w:tc>
        <w:tc>
          <w:tcPr>
            <w:tcW w:w="471" w:type="pct"/>
          </w:tcPr>
          <w:p w14:paraId="06A917A0" w14:textId="1D57133C" w:rsidR="008721DE" w:rsidRPr="00F1762B" w:rsidRDefault="002427B6" w:rsidP="00E05BB0">
            <w:pPr>
              <w:rPr>
                <w:sz w:val="15"/>
                <w:szCs w:val="15"/>
                <w:lang w:val="en-CA"/>
              </w:rPr>
            </w:pPr>
            <w:r w:rsidRPr="00F1762B">
              <w:rPr>
                <w:sz w:val="15"/>
                <w:szCs w:val="15"/>
                <w:lang w:val="en-CA"/>
              </w:rPr>
              <w:t>Liver cancer</w:t>
            </w:r>
          </w:p>
        </w:tc>
        <w:tc>
          <w:tcPr>
            <w:tcW w:w="785" w:type="pct"/>
          </w:tcPr>
          <w:p w14:paraId="1FFC12A5" w14:textId="254B82E9" w:rsidR="008721DE" w:rsidRPr="00F1762B" w:rsidRDefault="008721DE" w:rsidP="00E05BB0">
            <w:pPr>
              <w:rPr>
                <w:sz w:val="15"/>
                <w:szCs w:val="15"/>
              </w:rPr>
            </w:pPr>
            <w:r w:rsidRPr="00F1762B">
              <w:rPr>
                <w:sz w:val="15"/>
                <w:szCs w:val="15"/>
              </w:rPr>
              <w:t>Inverse probability of treatment weighting using propensity score adjusted for age, sex, occupation, residential area, major comorbidities, diabetes-related complications, antidiabetic drugs, potential risk factors for cancer, medications that are commonly used among diabetes patients or that may affect cancer risk</w:t>
            </w:r>
          </w:p>
        </w:tc>
        <w:tc>
          <w:tcPr>
            <w:tcW w:w="307" w:type="pct"/>
          </w:tcPr>
          <w:p w14:paraId="2463FC4A" w14:textId="2A50CCE7" w:rsidR="008721DE" w:rsidRPr="00F1762B" w:rsidRDefault="008721DE" w:rsidP="00E05BB0">
            <w:pPr>
              <w:rPr>
                <w:sz w:val="15"/>
                <w:szCs w:val="15"/>
                <w:lang w:val="en-CA"/>
              </w:rPr>
            </w:pPr>
            <w:r w:rsidRPr="00F1762B">
              <w:rPr>
                <w:rFonts w:ascii="Calibri" w:hAnsi="Calibri"/>
                <w:sz w:val="15"/>
                <w:szCs w:val="15"/>
              </w:rPr>
              <w:t>Low</w:t>
            </w:r>
          </w:p>
        </w:tc>
        <w:tc>
          <w:tcPr>
            <w:tcW w:w="204" w:type="pct"/>
          </w:tcPr>
          <w:p w14:paraId="236C04BF" w14:textId="18044C21" w:rsidR="008721DE" w:rsidRPr="00F1762B" w:rsidRDefault="008721DE" w:rsidP="00E05BB0">
            <w:pPr>
              <w:rPr>
                <w:rFonts w:ascii="Calibri" w:hAnsi="Calibri"/>
                <w:sz w:val="15"/>
                <w:szCs w:val="15"/>
              </w:rPr>
            </w:pPr>
            <w:r w:rsidRPr="00F1762B">
              <w:rPr>
                <w:rFonts w:ascii="Calibri" w:hAnsi="Calibri"/>
                <w:sz w:val="15"/>
                <w:szCs w:val="15"/>
              </w:rPr>
              <w:t>7</w:t>
            </w:r>
          </w:p>
        </w:tc>
      </w:tr>
      <w:tr w:rsidR="00B7487B" w:rsidRPr="00F1762B" w14:paraId="48109529" w14:textId="01FEDC25" w:rsidTr="00F1762B">
        <w:tc>
          <w:tcPr>
            <w:tcW w:w="517" w:type="pct"/>
          </w:tcPr>
          <w:p w14:paraId="1363FEE9" w14:textId="5DAFD86D" w:rsidR="008721DE" w:rsidRPr="00F1762B" w:rsidRDefault="008721DE" w:rsidP="00E05BB0">
            <w:pPr>
              <w:rPr>
                <w:sz w:val="15"/>
                <w:szCs w:val="15"/>
                <w:lang w:val="en-CA"/>
              </w:rPr>
            </w:pPr>
            <w:r w:rsidRPr="00F1762B">
              <w:rPr>
                <w:rFonts w:ascii="Calibri" w:hAnsi="Calibri"/>
                <w:sz w:val="15"/>
                <w:szCs w:val="15"/>
              </w:rPr>
              <w:t>Lee 2018</w:t>
            </w:r>
          </w:p>
        </w:tc>
        <w:tc>
          <w:tcPr>
            <w:tcW w:w="447" w:type="pct"/>
          </w:tcPr>
          <w:p w14:paraId="7E36F9D9" w14:textId="27E29638" w:rsidR="008721DE" w:rsidRPr="00F1762B" w:rsidRDefault="008721DE" w:rsidP="00E05BB0">
            <w:pPr>
              <w:rPr>
                <w:sz w:val="15"/>
                <w:szCs w:val="15"/>
                <w:lang w:val="en-CA"/>
              </w:rPr>
            </w:pPr>
            <w:r w:rsidRPr="00F1762B">
              <w:rPr>
                <w:rFonts w:ascii="Calibri" w:hAnsi="Calibri"/>
                <w:sz w:val="15"/>
                <w:szCs w:val="15"/>
              </w:rPr>
              <w:t>South Korea; population-based</w:t>
            </w:r>
          </w:p>
        </w:tc>
        <w:tc>
          <w:tcPr>
            <w:tcW w:w="491" w:type="pct"/>
          </w:tcPr>
          <w:p w14:paraId="1E1BE56E" w14:textId="2B5C6A69" w:rsidR="008721DE" w:rsidRPr="00F1762B" w:rsidRDefault="008721DE" w:rsidP="00E05BB0">
            <w:pPr>
              <w:rPr>
                <w:sz w:val="15"/>
                <w:szCs w:val="15"/>
                <w:lang w:val="en-CA"/>
              </w:rPr>
            </w:pPr>
            <w:r w:rsidRPr="00F1762B">
              <w:rPr>
                <w:sz w:val="15"/>
                <w:szCs w:val="15"/>
                <w:lang w:val="en-CA"/>
              </w:rPr>
              <w:t>2009 to 2015; median 4.9</w:t>
            </w:r>
          </w:p>
        </w:tc>
        <w:tc>
          <w:tcPr>
            <w:tcW w:w="620" w:type="pct"/>
          </w:tcPr>
          <w:p w14:paraId="2F3D8082" w14:textId="5933211A" w:rsidR="008721DE" w:rsidRPr="00F1762B" w:rsidRDefault="008721DE" w:rsidP="00E05BB0">
            <w:pPr>
              <w:rPr>
                <w:sz w:val="15"/>
                <w:szCs w:val="15"/>
              </w:rPr>
            </w:pPr>
            <w:r w:rsidRPr="00F1762B">
              <w:rPr>
                <w:sz w:val="15"/>
                <w:szCs w:val="15"/>
              </w:rPr>
              <w:t>30+; 57.2 (12.5)</w:t>
            </w:r>
          </w:p>
        </w:tc>
        <w:tc>
          <w:tcPr>
            <w:tcW w:w="620" w:type="pct"/>
          </w:tcPr>
          <w:p w14:paraId="6577C302" w14:textId="4DAC8C9A" w:rsidR="008721DE" w:rsidRPr="00F1762B" w:rsidRDefault="008721DE" w:rsidP="00E05BB0">
            <w:pPr>
              <w:rPr>
                <w:sz w:val="15"/>
                <w:szCs w:val="15"/>
                <w:lang w:val="en-CA"/>
              </w:rPr>
            </w:pPr>
            <w:r w:rsidRPr="00F1762B">
              <w:rPr>
                <w:sz w:val="15"/>
                <w:szCs w:val="15"/>
                <w:lang w:val="en-CA"/>
              </w:rPr>
              <w:t>55.6</w:t>
            </w:r>
          </w:p>
        </w:tc>
        <w:tc>
          <w:tcPr>
            <w:tcW w:w="537" w:type="pct"/>
          </w:tcPr>
          <w:p w14:paraId="77FF2B15" w14:textId="77777777" w:rsidR="008721DE" w:rsidRPr="00F1762B" w:rsidRDefault="008721DE" w:rsidP="00E05BB0">
            <w:pPr>
              <w:rPr>
                <w:sz w:val="15"/>
                <w:szCs w:val="15"/>
                <w:lang w:val="en-CA"/>
              </w:rPr>
            </w:pPr>
            <w:r w:rsidRPr="00F1762B">
              <w:rPr>
                <w:sz w:val="15"/>
                <w:szCs w:val="15"/>
                <w:lang w:val="en-CA"/>
              </w:rPr>
              <w:t>Class 1, metformin vs no use of metformin;</w:t>
            </w:r>
          </w:p>
          <w:p w14:paraId="05CDC37A" w14:textId="77777777" w:rsidR="008721DE" w:rsidRPr="00F1762B" w:rsidRDefault="008721DE" w:rsidP="00E05BB0">
            <w:pPr>
              <w:rPr>
                <w:sz w:val="15"/>
                <w:szCs w:val="15"/>
                <w:lang w:val="en-CA"/>
              </w:rPr>
            </w:pPr>
          </w:p>
          <w:p w14:paraId="6D31A7CE" w14:textId="5354C39A" w:rsidR="008721DE" w:rsidRPr="00F1762B" w:rsidRDefault="008721DE" w:rsidP="00E05BB0">
            <w:pPr>
              <w:rPr>
                <w:sz w:val="15"/>
                <w:szCs w:val="15"/>
                <w:lang w:val="en-CA"/>
              </w:rPr>
            </w:pPr>
            <w:r w:rsidRPr="00F1762B">
              <w:rPr>
                <w:sz w:val="15"/>
                <w:szCs w:val="15"/>
                <w:lang w:val="en-CA"/>
              </w:rPr>
              <w:lastRenderedPageBreak/>
              <w:t>Class 2,</w:t>
            </w:r>
          </w:p>
          <w:p w14:paraId="241AF784" w14:textId="57FD3708" w:rsidR="008721DE" w:rsidRPr="00F1762B" w:rsidRDefault="008721DE" w:rsidP="00E05BB0">
            <w:pPr>
              <w:rPr>
                <w:sz w:val="15"/>
                <w:szCs w:val="15"/>
              </w:rPr>
            </w:pPr>
            <w:r w:rsidRPr="00F1762B">
              <w:rPr>
                <w:sz w:val="15"/>
                <w:szCs w:val="15"/>
              </w:rPr>
              <w:t>dipeptidyl peptidase-4 inhibitor vs no use of dipeptidyl peptidase-4 inhibitor;</w:t>
            </w:r>
          </w:p>
          <w:p w14:paraId="28351010" w14:textId="16B60DB5" w:rsidR="008721DE" w:rsidRPr="00F1762B" w:rsidRDefault="008721DE" w:rsidP="00E05BB0">
            <w:pPr>
              <w:rPr>
                <w:sz w:val="15"/>
                <w:szCs w:val="15"/>
              </w:rPr>
            </w:pPr>
          </w:p>
          <w:p w14:paraId="10181A24" w14:textId="14F12862" w:rsidR="008721DE" w:rsidRPr="00F1762B" w:rsidRDefault="008721DE" w:rsidP="00E05BB0">
            <w:pPr>
              <w:rPr>
                <w:sz w:val="15"/>
                <w:szCs w:val="15"/>
              </w:rPr>
            </w:pPr>
            <w:r w:rsidRPr="00F1762B">
              <w:rPr>
                <w:sz w:val="15"/>
                <w:szCs w:val="15"/>
              </w:rPr>
              <w:t>Class 3, alpha-glucosidase inhibitor vs no use of alpha-glucosidase inhibitor;</w:t>
            </w:r>
          </w:p>
          <w:p w14:paraId="729FEF8F" w14:textId="77777777" w:rsidR="008721DE" w:rsidRPr="00F1762B" w:rsidRDefault="008721DE" w:rsidP="00E05BB0">
            <w:pPr>
              <w:rPr>
                <w:sz w:val="15"/>
                <w:szCs w:val="15"/>
              </w:rPr>
            </w:pPr>
          </w:p>
          <w:p w14:paraId="633CE8FB" w14:textId="02A6F69F" w:rsidR="008721DE" w:rsidRPr="00F1762B" w:rsidRDefault="008721DE" w:rsidP="00E05BB0">
            <w:pPr>
              <w:rPr>
                <w:sz w:val="15"/>
                <w:szCs w:val="15"/>
              </w:rPr>
            </w:pPr>
            <w:r w:rsidRPr="00F1762B">
              <w:rPr>
                <w:sz w:val="15"/>
                <w:szCs w:val="15"/>
              </w:rPr>
              <w:t>Class 4, sulfonylurea or meglitinide vs no sulfonylurea and no meglitinide;</w:t>
            </w:r>
          </w:p>
          <w:p w14:paraId="0370BFA1" w14:textId="1774419B" w:rsidR="008721DE" w:rsidRPr="00F1762B" w:rsidRDefault="008721DE" w:rsidP="00E05BB0">
            <w:pPr>
              <w:rPr>
                <w:sz w:val="15"/>
                <w:szCs w:val="15"/>
              </w:rPr>
            </w:pPr>
          </w:p>
          <w:p w14:paraId="3AEAF9A6" w14:textId="75E0BCB0" w:rsidR="008721DE" w:rsidRPr="00F1762B" w:rsidRDefault="008721DE" w:rsidP="00E05BB0">
            <w:pPr>
              <w:rPr>
                <w:sz w:val="15"/>
                <w:szCs w:val="15"/>
              </w:rPr>
            </w:pPr>
            <w:r w:rsidRPr="00F1762B">
              <w:rPr>
                <w:sz w:val="15"/>
                <w:szCs w:val="15"/>
              </w:rPr>
              <w:t>Class 5,</w:t>
            </w:r>
          </w:p>
          <w:p w14:paraId="6205A109" w14:textId="63D8FE03" w:rsidR="008721DE" w:rsidRPr="00F1762B" w:rsidRDefault="008721DE" w:rsidP="00E05BB0">
            <w:pPr>
              <w:rPr>
                <w:sz w:val="15"/>
                <w:szCs w:val="15"/>
              </w:rPr>
            </w:pPr>
            <w:r w:rsidRPr="00F1762B">
              <w:rPr>
                <w:sz w:val="15"/>
                <w:szCs w:val="15"/>
              </w:rPr>
              <w:t>thiazolidinedione vs no use of thiazolidinedione;</w:t>
            </w:r>
          </w:p>
          <w:p w14:paraId="0440B9FB" w14:textId="77777777" w:rsidR="008721DE" w:rsidRPr="00F1762B" w:rsidRDefault="008721DE" w:rsidP="00E05BB0">
            <w:pPr>
              <w:rPr>
                <w:sz w:val="15"/>
                <w:szCs w:val="15"/>
              </w:rPr>
            </w:pPr>
          </w:p>
          <w:p w14:paraId="3E80FE04" w14:textId="44B896BE" w:rsidR="008721DE" w:rsidRPr="00F1762B" w:rsidRDefault="008721DE" w:rsidP="00E05BB0">
            <w:pPr>
              <w:rPr>
                <w:sz w:val="15"/>
                <w:szCs w:val="15"/>
              </w:rPr>
            </w:pPr>
            <w:r w:rsidRPr="00F1762B">
              <w:rPr>
                <w:sz w:val="15"/>
                <w:szCs w:val="15"/>
              </w:rPr>
              <w:t>Class 6, insulin vs no use of insulin</w:t>
            </w:r>
          </w:p>
        </w:tc>
        <w:tc>
          <w:tcPr>
            <w:tcW w:w="471" w:type="pct"/>
          </w:tcPr>
          <w:p w14:paraId="759DB492" w14:textId="3089A490" w:rsidR="008721DE" w:rsidRPr="00F1762B" w:rsidRDefault="002427B6" w:rsidP="00E05BB0">
            <w:pPr>
              <w:rPr>
                <w:sz w:val="15"/>
                <w:szCs w:val="15"/>
                <w:lang w:val="en-CA"/>
              </w:rPr>
            </w:pPr>
            <w:r w:rsidRPr="00F1762B">
              <w:rPr>
                <w:sz w:val="15"/>
                <w:szCs w:val="15"/>
                <w:lang w:val="en-CA"/>
              </w:rPr>
              <w:lastRenderedPageBreak/>
              <w:t>Pancreatic cancer</w:t>
            </w:r>
          </w:p>
        </w:tc>
        <w:tc>
          <w:tcPr>
            <w:tcW w:w="785" w:type="pct"/>
          </w:tcPr>
          <w:p w14:paraId="3E252C11" w14:textId="507F596B" w:rsidR="008721DE" w:rsidRPr="00F1762B" w:rsidRDefault="008721DE" w:rsidP="00E05BB0">
            <w:pPr>
              <w:rPr>
                <w:sz w:val="15"/>
                <w:szCs w:val="15"/>
              </w:rPr>
            </w:pPr>
            <w:r w:rsidRPr="00F1762B">
              <w:rPr>
                <w:sz w:val="15"/>
                <w:szCs w:val="15"/>
                <w:lang w:val="en-CA"/>
              </w:rPr>
              <w:t xml:space="preserve">Adjusted for </w:t>
            </w:r>
            <w:r w:rsidRPr="00F1762B">
              <w:rPr>
                <w:sz w:val="15"/>
                <w:szCs w:val="15"/>
              </w:rPr>
              <w:t xml:space="preserve">age, sex, chronic pancreatitis, acute pancreatitis, hepatitis B, hepatitis C, biliary disease, </w:t>
            </w:r>
            <w:r w:rsidRPr="00F1762B">
              <w:rPr>
                <w:sz w:val="15"/>
                <w:szCs w:val="15"/>
              </w:rPr>
              <w:lastRenderedPageBreak/>
              <w:t>alcoholism, non-alcoholic fatty liver disease, income of lowest quartile, place of residence, and the number of different exposed anti-diabetic medications</w:t>
            </w:r>
          </w:p>
        </w:tc>
        <w:tc>
          <w:tcPr>
            <w:tcW w:w="307" w:type="pct"/>
          </w:tcPr>
          <w:p w14:paraId="331858BA" w14:textId="15FF8620" w:rsidR="008721DE" w:rsidRPr="00F1762B" w:rsidRDefault="008721DE" w:rsidP="00E05BB0">
            <w:pPr>
              <w:rPr>
                <w:sz w:val="15"/>
                <w:szCs w:val="15"/>
                <w:lang w:val="en-CA"/>
              </w:rPr>
            </w:pPr>
            <w:r w:rsidRPr="00F1762B">
              <w:rPr>
                <w:rFonts w:ascii="Calibri" w:hAnsi="Calibri"/>
                <w:sz w:val="15"/>
                <w:szCs w:val="15"/>
              </w:rPr>
              <w:lastRenderedPageBreak/>
              <w:t>Low</w:t>
            </w:r>
          </w:p>
        </w:tc>
        <w:tc>
          <w:tcPr>
            <w:tcW w:w="204" w:type="pct"/>
          </w:tcPr>
          <w:p w14:paraId="2950393B" w14:textId="77E9576A" w:rsidR="008721DE" w:rsidRPr="00F1762B" w:rsidRDefault="008721DE" w:rsidP="00E05BB0">
            <w:pPr>
              <w:rPr>
                <w:rFonts w:ascii="Calibri" w:hAnsi="Calibri"/>
                <w:sz w:val="15"/>
                <w:szCs w:val="15"/>
              </w:rPr>
            </w:pPr>
            <w:r w:rsidRPr="00F1762B">
              <w:rPr>
                <w:rFonts w:ascii="Calibri" w:hAnsi="Calibri"/>
                <w:sz w:val="15"/>
                <w:szCs w:val="15"/>
              </w:rPr>
              <w:t>8</w:t>
            </w:r>
          </w:p>
        </w:tc>
      </w:tr>
      <w:tr w:rsidR="00B7487B" w:rsidRPr="00F1762B" w14:paraId="1154E514" w14:textId="05B05259" w:rsidTr="00F1762B">
        <w:tc>
          <w:tcPr>
            <w:tcW w:w="517" w:type="pct"/>
          </w:tcPr>
          <w:p w14:paraId="0AAFB1EB" w14:textId="3E0EBE71" w:rsidR="008721DE" w:rsidRPr="00F1762B" w:rsidRDefault="008721DE" w:rsidP="00E05BB0">
            <w:pPr>
              <w:rPr>
                <w:sz w:val="15"/>
                <w:szCs w:val="15"/>
                <w:lang w:val="en-CA"/>
              </w:rPr>
            </w:pPr>
            <w:r w:rsidRPr="00F1762B">
              <w:rPr>
                <w:rFonts w:ascii="Calibri" w:hAnsi="Calibri"/>
                <w:sz w:val="15"/>
                <w:szCs w:val="15"/>
              </w:rPr>
              <w:t>Lee 2019c</w:t>
            </w:r>
          </w:p>
        </w:tc>
        <w:tc>
          <w:tcPr>
            <w:tcW w:w="447" w:type="pct"/>
          </w:tcPr>
          <w:p w14:paraId="11494DBB" w14:textId="3AA9B67D" w:rsidR="008721DE" w:rsidRPr="00F1762B" w:rsidRDefault="008721DE" w:rsidP="00E05BB0">
            <w:pPr>
              <w:rPr>
                <w:sz w:val="15"/>
                <w:szCs w:val="15"/>
                <w:lang w:val="en-CA"/>
              </w:rPr>
            </w:pPr>
            <w:r w:rsidRPr="00F1762B">
              <w:rPr>
                <w:rFonts w:ascii="Calibri" w:hAnsi="Calibri"/>
                <w:sz w:val="15"/>
                <w:szCs w:val="15"/>
              </w:rPr>
              <w:t>South Korea; population-based</w:t>
            </w:r>
          </w:p>
        </w:tc>
        <w:tc>
          <w:tcPr>
            <w:tcW w:w="491" w:type="pct"/>
          </w:tcPr>
          <w:p w14:paraId="4437ABBE" w14:textId="537BD23F" w:rsidR="008721DE" w:rsidRPr="00F1762B" w:rsidRDefault="008721DE" w:rsidP="00E05BB0">
            <w:pPr>
              <w:rPr>
                <w:sz w:val="15"/>
                <w:szCs w:val="15"/>
                <w:lang w:val="en-CA"/>
              </w:rPr>
            </w:pPr>
            <w:r w:rsidRPr="00F1762B">
              <w:rPr>
                <w:sz w:val="15"/>
                <w:szCs w:val="15"/>
                <w:lang w:val="en-CA"/>
              </w:rPr>
              <w:t>2009 to 2015; median 5.4</w:t>
            </w:r>
          </w:p>
        </w:tc>
        <w:tc>
          <w:tcPr>
            <w:tcW w:w="620" w:type="pct"/>
          </w:tcPr>
          <w:p w14:paraId="26C46354" w14:textId="136AFA8A" w:rsidR="008721DE" w:rsidRPr="00F1762B" w:rsidRDefault="008721DE" w:rsidP="00E05BB0">
            <w:pPr>
              <w:rPr>
                <w:sz w:val="15"/>
                <w:szCs w:val="15"/>
              </w:rPr>
            </w:pPr>
            <w:r w:rsidRPr="00F1762B">
              <w:rPr>
                <w:sz w:val="15"/>
                <w:szCs w:val="15"/>
              </w:rPr>
              <w:t>20+; 68.7% of colorectal cancer cases and 45.5% of controls were &gt;60</w:t>
            </w:r>
          </w:p>
        </w:tc>
        <w:tc>
          <w:tcPr>
            <w:tcW w:w="620" w:type="pct"/>
          </w:tcPr>
          <w:p w14:paraId="5723560C" w14:textId="21698313" w:rsidR="008721DE" w:rsidRPr="00F1762B" w:rsidRDefault="008721DE" w:rsidP="00E05BB0">
            <w:pPr>
              <w:rPr>
                <w:sz w:val="15"/>
                <w:szCs w:val="15"/>
              </w:rPr>
            </w:pPr>
            <w:r w:rsidRPr="00F1762B">
              <w:rPr>
                <w:sz w:val="15"/>
                <w:szCs w:val="15"/>
              </w:rPr>
              <w:t>66.7 in colorectal cancer cases; 59.9 in controls</w:t>
            </w:r>
          </w:p>
        </w:tc>
        <w:tc>
          <w:tcPr>
            <w:tcW w:w="537" w:type="pct"/>
          </w:tcPr>
          <w:p w14:paraId="177BBF00" w14:textId="77777777" w:rsidR="008721DE" w:rsidRPr="00F1762B" w:rsidRDefault="008721DE" w:rsidP="00E05BB0">
            <w:pPr>
              <w:rPr>
                <w:sz w:val="15"/>
                <w:szCs w:val="15"/>
                <w:lang w:val="en-CA"/>
              </w:rPr>
            </w:pPr>
            <w:r w:rsidRPr="00F1762B">
              <w:rPr>
                <w:sz w:val="15"/>
                <w:szCs w:val="15"/>
                <w:lang w:val="en-CA"/>
              </w:rPr>
              <w:t>Class 1, metformin vs no use of metformin;</w:t>
            </w:r>
          </w:p>
          <w:p w14:paraId="20AD7EA6" w14:textId="77777777" w:rsidR="008721DE" w:rsidRPr="00F1762B" w:rsidRDefault="008721DE" w:rsidP="00E05BB0">
            <w:pPr>
              <w:rPr>
                <w:sz w:val="15"/>
                <w:szCs w:val="15"/>
                <w:lang w:val="en-CA"/>
              </w:rPr>
            </w:pPr>
          </w:p>
          <w:p w14:paraId="7FA4E890" w14:textId="1461B220" w:rsidR="008721DE" w:rsidRPr="00F1762B" w:rsidRDefault="008721DE" w:rsidP="00E05BB0">
            <w:pPr>
              <w:rPr>
                <w:sz w:val="15"/>
                <w:szCs w:val="15"/>
                <w:lang w:val="en-CA"/>
              </w:rPr>
            </w:pPr>
            <w:r w:rsidRPr="00F1762B">
              <w:rPr>
                <w:sz w:val="15"/>
                <w:szCs w:val="15"/>
                <w:lang w:val="en-CA"/>
              </w:rPr>
              <w:t>Class 2, d</w:t>
            </w:r>
            <w:r w:rsidRPr="00F1762B">
              <w:rPr>
                <w:sz w:val="15"/>
                <w:szCs w:val="15"/>
              </w:rPr>
              <w:t>ipeptidyl peptidase-4 inhibitor vs no use of</w:t>
            </w:r>
            <w:r w:rsidRPr="00F1762B">
              <w:rPr>
                <w:sz w:val="15"/>
                <w:szCs w:val="15"/>
                <w:lang w:val="en-CA"/>
              </w:rPr>
              <w:t xml:space="preserve"> d</w:t>
            </w:r>
            <w:r w:rsidRPr="00F1762B">
              <w:rPr>
                <w:sz w:val="15"/>
                <w:szCs w:val="15"/>
              </w:rPr>
              <w:t>ipeptidyl peptidase-4 inhibitor;</w:t>
            </w:r>
          </w:p>
          <w:p w14:paraId="7C9FC193" w14:textId="77777777" w:rsidR="008721DE" w:rsidRPr="00F1762B" w:rsidRDefault="008721DE" w:rsidP="00E05BB0">
            <w:pPr>
              <w:rPr>
                <w:sz w:val="15"/>
                <w:szCs w:val="15"/>
                <w:lang w:val="en-CA"/>
              </w:rPr>
            </w:pPr>
          </w:p>
          <w:p w14:paraId="737D6A9D" w14:textId="787BC937" w:rsidR="008721DE" w:rsidRPr="00F1762B" w:rsidRDefault="008721DE" w:rsidP="00E05BB0">
            <w:pPr>
              <w:rPr>
                <w:sz w:val="15"/>
                <w:szCs w:val="15"/>
                <w:lang w:val="en-CA"/>
              </w:rPr>
            </w:pPr>
            <w:r w:rsidRPr="00F1762B">
              <w:rPr>
                <w:sz w:val="15"/>
                <w:szCs w:val="15"/>
                <w:lang w:val="en-CA"/>
              </w:rPr>
              <w:t>Class 3, acarbose vs no use of acarbose;</w:t>
            </w:r>
          </w:p>
          <w:p w14:paraId="3A1FE8F3" w14:textId="77777777" w:rsidR="008721DE" w:rsidRPr="00F1762B" w:rsidRDefault="008721DE" w:rsidP="00E05BB0">
            <w:pPr>
              <w:rPr>
                <w:sz w:val="15"/>
                <w:szCs w:val="15"/>
                <w:lang w:val="en-CA"/>
              </w:rPr>
            </w:pPr>
          </w:p>
          <w:p w14:paraId="0D360ECB" w14:textId="3FE34D26" w:rsidR="008721DE" w:rsidRPr="00F1762B" w:rsidRDefault="008721DE" w:rsidP="00E05BB0">
            <w:pPr>
              <w:rPr>
                <w:sz w:val="15"/>
                <w:szCs w:val="15"/>
              </w:rPr>
            </w:pPr>
            <w:r w:rsidRPr="00F1762B">
              <w:rPr>
                <w:sz w:val="15"/>
                <w:szCs w:val="15"/>
                <w:lang w:val="en-CA"/>
              </w:rPr>
              <w:t xml:space="preserve">Class 4, </w:t>
            </w:r>
            <w:r w:rsidRPr="00F1762B">
              <w:rPr>
                <w:sz w:val="15"/>
                <w:szCs w:val="15"/>
              </w:rPr>
              <w:t>sulfonylurea or meglitinide vs no use of sulfonylurea and meglitinide;</w:t>
            </w:r>
          </w:p>
          <w:p w14:paraId="194B2B62" w14:textId="77777777" w:rsidR="008721DE" w:rsidRPr="00F1762B" w:rsidRDefault="008721DE" w:rsidP="00E05BB0">
            <w:pPr>
              <w:rPr>
                <w:sz w:val="15"/>
                <w:szCs w:val="15"/>
              </w:rPr>
            </w:pPr>
          </w:p>
          <w:p w14:paraId="1A8AF899" w14:textId="0E13828D" w:rsidR="008721DE" w:rsidRPr="00F1762B" w:rsidRDefault="008721DE" w:rsidP="00E05BB0">
            <w:pPr>
              <w:rPr>
                <w:sz w:val="15"/>
                <w:szCs w:val="15"/>
                <w:lang w:val="en-CA"/>
              </w:rPr>
            </w:pPr>
            <w:r w:rsidRPr="00F1762B">
              <w:rPr>
                <w:sz w:val="15"/>
                <w:szCs w:val="15"/>
                <w:lang w:val="en-CA"/>
              </w:rPr>
              <w:lastRenderedPageBreak/>
              <w:t>Class 5, thiazolidinedione vs no use of thiazolidinedione;</w:t>
            </w:r>
          </w:p>
          <w:p w14:paraId="16832347" w14:textId="3FED0B7F" w:rsidR="008721DE" w:rsidRPr="00F1762B" w:rsidRDefault="008721DE" w:rsidP="00E05BB0">
            <w:pPr>
              <w:rPr>
                <w:sz w:val="15"/>
                <w:szCs w:val="15"/>
                <w:lang w:val="en-CA"/>
              </w:rPr>
            </w:pPr>
          </w:p>
          <w:p w14:paraId="01A8DD9C" w14:textId="1D84033D" w:rsidR="008721DE" w:rsidRPr="00F1762B" w:rsidRDefault="008721DE" w:rsidP="00E05BB0">
            <w:pPr>
              <w:rPr>
                <w:sz w:val="15"/>
                <w:szCs w:val="15"/>
                <w:lang w:val="en-CA"/>
              </w:rPr>
            </w:pPr>
            <w:r w:rsidRPr="00F1762B">
              <w:rPr>
                <w:sz w:val="15"/>
                <w:szCs w:val="15"/>
                <w:lang w:val="en-CA"/>
              </w:rPr>
              <w:t>Class 6 insulin vs use of insulin</w:t>
            </w:r>
          </w:p>
        </w:tc>
        <w:tc>
          <w:tcPr>
            <w:tcW w:w="471" w:type="pct"/>
          </w:tcPr>
          <w:p w14:paraId="464A5594" w14:textId="2B7AF1E5" w:rsidR="008721DE" w:rsidRPr="00F1762B" w:rsidRDefault="002427B6" w:rsidP="00E05BB0">
            <w:pPr>
              <w:rPr>
                <w:sz w:val="15"/>
                <w:szCs w:val="15"/>
                <w:lang w:val="en-CA"/>
              </w:rPr>
            </w:pPr>
            <w:r w:rsidRPr="00F1762B">
              <w:rPr>
                <w:sz w:val="15"/>
                <w:szCs w:val="15"/>
                <w:lang w:val="en-CA"/>
              </w:rPr>
              <w:lastRenderedPageBreak/>
              <w:t>Colorectal cancer</w:t>
            </w:r>
          </w:p>
        </w:tc>
        <w:tc>
          <w:tcPr>
            <w:tcW w:w="785" w:type="pct"/>
          </w:tcPr>
          <w:p w14:paraId="2CC1F98B" w14:textId="63451912" w:rsidR="008721DE" w:rsidRPr="00F1762B" w:rsidRDefault="008721DE" w:rsidP="00E05BB0">
            <w:pPr>
              <w:rPr>
                <w:sz w:val="15"/>
                <w:szCs w:val="15"/>
              </w:rPr>
            </w:pPr>
            <w:r w:rsidRPr="00F1762B">
              <w:rPr>
                <w:sz w:val="15"/>
                <w:szCs w:val="15"/>
              </w:rPr>
              <w:t xml:space="preserve">Adjusted for age, sex, smoking, alcohol consumption, regular exercise, yearly income, residency, </w:t>
            </w:r>
            <w:r w:rsidR="00B35CC0">
              <w:rPr>
                <w:sz w:val="15"/>
                <w:szCs w:val="15"/>
              </w:rPr>
              <w:t>body mass index</w:t>
            </w:r>
            <w:r w:rsidRPr="00F1762B">
              <w:rPr>
                <w:sz w:val="15"/>
                <w:szCs w:val="15"/>
              </w:rPr>
              <w:t>, waist circumference, hypertension, dyslipidemia, complications of diabetes, antidiabetic medications, and duration of diabetes</w:t>
            </w:r>
          </w:p>
        </w:tc>
        <w:tc>
          <w:tcPr>
            <w:tcW w:w="307" w:type="pct"/>
          </w:tcPr>
          <w:p w14:paraId="288F0238" w14:textId="6EB191AB" w:rsidR="008721DE" w:rsidRPr="00F1762B" w:rsidRDefault="008721DE" w:rsidP="00E05BB0">
            <w:pPr>
              <w:rPr>
                <w:sz w:val="15"/>
                <w:szCs w:val="15"/>
                <w:lang w:val="en-CA"/>
              </w:rPr>
            </w:pPr>
            <w:r w:rsidRPr="00F1762B">
              <w:rPr>
                <w:rFonts w:ascii="Calibri" w:hAnsi="Calibri"/>
                <w:sz w:val="15"/>
                <w:szCs w:val="15"/>
              </w:rPr>
              <w:t>Low</w:t>
            </w:r>
          </w:p>
        </w:tc>
        <w:tc>
          <w:tcPr>
            <w:tcW w:w="204" w:type="pct"/>
          </w:tcPr>
          <w:p w14:paraId="5853D681" w14:textId="4DCB7E02" w:rsidR="008721DE" w:rsidRPr="00F1762B" w:rsidRDefault="008721DE" w:rsidP="00E05BB0">
            <w:pPr>
              <w:rPr>
                <w:rFonts w:ascii="Calibri" w:hAnsi="Calibri"/>
                <w:sz w:val="15"/>
                <w:szCs w:val="15"/>
              </w:rPr>
            </w:pPr>
            <w:r w:rsidRPr="00F1762B">
              <w:rPr>
                <w:rFonts w:ascii="Calibri" w:hAnsi="Calibri"/>
                <w:sz w:val="15"/>
                <w:szCs w:val="15"/>
              </w:rPr>
              <w:t>8</w:t>
            </w:r>
          </w:p>
        </w:tc>
      </w:tr>
      <w:tr w:rsidR="00B7487B" w:rsidRPr="00F1762B" w14:paraId="7F85FD0B" w14:textId="2358F938" w:rsidTr="00F1762B">
        <w:tc>
          <w:tcPr>
            <w:tcW w:w="517" w:type="pct"/>
          </w:tcPr>
          <w:p w14:paraId="2603D87A" w14:textId="56ACBDA8" w:rsidR="008721DE" w:rsidRPr="00F1762B" w:rsidRDefault="008721DE" w:rsidP="00E05BB0">
            <w:pPr>
              <w:rPr>
                <w:sz w:val="15"/>
                <w:szCs w:val="15"/>
                <w:lang w:val="en-CA"/>
              </w:rPr>
            </w:pPr>
            <w:r w:rsidRPr="00F1762B">
              <w:rPr>
                <w:rFonts w:ascii="Calibri" w:hAnsi="Calibri"/>
                <w:sz w:val="15"/>
                <w:szCs w:val="15"/>
              </w:rPr>
              <w:t>Lee 2011</w:t>
            </w:r>
          </w:p>
        </w:tc>
        <w:tc>
          <w:tcPr>
            <w:tcW w:w="447" w:type="pct"/>
          </w:tcPr>
          <w:p w14:paraId="7C948B05" w14:textId="1BCAB294" w:rsidR="008721DE" w:rsidRPr="00F1762B" w:rsidRDefault="008721DE" w:rsidP="00E05BB0">
            <w:pPr>
              <w:rPr>
                <w:sz w:val="15"/>
                <w:szCs w:val="15"/>
                <w:lang w:val="en-CA"/>
              </w:rPr>
            </w:pPr>
            <w:r w:rsidRPr="00F1762B">
              <w:rPr>
                <w:rFonts w:ascii="Calibri" w:hAnsi="Calibri"/>
                <w:sz w:val="15"/>
                <w:szCs w:val="15"/>
              </w:rPr>
              <w:t>Taiwan; population-based</w:t>
            </w:r>
          </w:p>
        </w:tc>
        <w:tc>
          <w:tcPr>
            <w:tcW w:w="491" w:type="pct"/>
          </w:tcPr>
          <w:p w14:paraId="69A642B0" w14:textId="4DA5C20B" w:rsidR="008721DE" w:rsidRPr="00F1762B" w:rsidRDefault="008721DE" w:rsidP="00E05BB0">
            <w:pPr>
              <w:rPr>
                <w:sz w:val="15"/>
                <w:szCs w:val="15"/>
                <w:lang w:val="en-CA"/>
              </w:rPr>
            </w:pPr>
            <w:r w:rsidRPr="00F1762B">
              <w:rPr>
                <w:sz w:val="15"/>
                <w:szCs w:val="15"/>
                <w:lang w:val="en-CA"/>
              </w:rPr>
              <w:t>2000 to 2007; mean 3.9 in metformin users</w:t>
            </w:r>
          </w:p>
        </w:tc>
        <w:tc>
          <w:tcPr>
            <w:tcW w:w="620" w:type="pct"/>
          </w:tcPr>
          <w:p w14:paraId="2A594E27" w14:textId="2E136FCA" w:rsidR="008721DE" w:rsidRPr="00F1762B" w:rsidRDefault="008721DE" w:rsidP="00E05BB0">
            <w:pPr>
              <w:rPr>
                <w:sz w:val="15"/>
                <w:szCs w:val="15"/>
              </w:rPr>
            </w:pPr>
            <w:r w:rsidRPr="00F1762B">
              <w:rPr>
                <w:sz w:val="15"/>
                <w:szCs w:val="15"/>
              </w:rPr>
              <w:t>20+; 41.9% of metformin user and 48.6% non-users were &gt;60</w:t>
            </w:r>
          </w:p>
        </w:tc>
        <w:tc>
          <w:tcPr>
            <w:tcW w:w="620" w:type="pct"/>
          </w:tcPr>
          <w:p w14:paraId="3F17FD71" w14:textId="75717039" w:rsidR="008721DE" w:rsidRPr="00F1762B" w:rsidRDefault="008721DE" w:rsidP="00E05BB0">
            <w:pPr>
              <w:rPr>
                <w:sz w:val="15"/>
                <w:szCs w:val="15"/>
              </w:rPr>
            </w:pPr>
            <w:r w:rsidRPr="00F1762B">
              <w:rPr>
                <w:sz w:val="15"/>
                <w:szCs w:val="15"/>
              </w:rPr>
              <w:t>54.9 in metformin users; 54.6 in metformin non-users</w:t>
            </w:r>
          </w:p>
        </w:tc>
        <w:tc>
          <w:tcPr>
            <w:tcW w:w="537" w:type="pct"/>
          </w:tcPr>
          <w:p w14:paraId="1662B8A3" w14:textId="49B3B2A9" w:rsidR="008721DE" w:rsidRPr="00F1762B" w:rsidRDefault="008721DE" w:rsidP="00E05BB0">
            <w:pPr>
              <w:rPr>
                <w:sz w:val="15"/>
                <w:szCs w:val="15"/>
                <w:lang w:val="en-CA"/>
              </w:rPr>
            </w:pPr>
            <w:r w:rsidRPr="00F1762B">
              <w:rPr>
                <w:sz w:val="15"/>
                <w:szCs w:val="15"/>
                <w:lang w:val="en-CA"/>
              </w:rPr>
              <w:t>Class 1, metformin vs no use of metformin</w:t>
            </w:r>
          </w:p>
        </w:tc>
        <w:tc>
          <w:tcPr>
            <w:tcW w:w="471" w:type="pct"/>
          </w:tcPr>
          <w:p w14:paraId="6451FDDC" w14:textId="269E9FE8" w:rsidR="008721DE" w:rsidRPr="00F1762B" w:rsidRDefault="002427B6" w:rsidP="00E05BB0">
            <w:pPr>
              <w:rPr>
                <w:sz w:val="15"/>
                <w:szCs w:val="15"/>
                <w:lang w:val="en-CA"/>
              </w:rPr>
            </w:pPr>
            <w:r w:rsidRPr="00F1762B">
              <w:rPr>
                <w:sz w:val="15"/>
                <w:szCs w:val="15"/>
                <w:lang w:val="en-CA"/>
              </w:rPr>
              <w:t>Colorectal, Liver, and pancreatic cancers</w:t>
            </w:r>
          </w:p>
        </w:tc>
        <w:tc>
          <w:tcPr>
            <w:tcW w:w="785" w:type="pct"/>
          </w:tcPr>
          <w:p w14:paraId="3884C70D" w14:textId="2686F789" w:rsidR="008721DE" w:rsidRPr="00F1762B" w:rsidRDefault="008721DE" w:rsidP="00E05BB0">
            <w:pPr>
              <w:rPr>
                <w:sz w:val="15"/>
                <w:szCs w:val="15"/>
              </w:rPr>
            </w:pPr>
            <w:r w:rsidRPr="00F1762B">
              <w:rPr>
                <w:sz w:val="15"/>
                <w:szCs w:val="15"/>
              </w:rPr>
              <w:t>Adjusted for age group, gender, other oral anti-hyperglycemic medication, Charlson comorbidity index score, and duration of metformin exposure which was treated as a time dependent variable</w:t>
            </w:r>
          </w:p>
        </w:tc>
        <w:tc>
          <w:tcPr>
            <w:tcW w:w="307" w:type="pct"/>
          </w:tcPr>
          <w:p w14:paraId="58D5074D" w14:textId="6031AABF" w:rsidR="008721DE" w:rsidRPr="00F1762B" w:rsidRDefault="008721DE" w:rsidP="00E05BB0">
            <w:pPr>
              <w:rPr>
                <w:sz w:val="15"/>
                <w:szCs w:val="15"/>
                <w:lang w:val="en-CA"/>
              </w:rPr>
            </w:pPr>
            <w:r w:rsidRPr="00F1762B">
              <w:rPr>
                <w:rFonts w:ascii="Calibri" w:hAnsi="Calibri"/>
                <w:sz w:val="15"/>
                <w:szCs w:val="15"/>
              </w:rPr>
              <w:t>Moderate</w:t>
            </w:r>
          </w:p>
        </w:tc>
        <w:tc>
          <w:tcPr>
            <w:tcW w:w="204" w:type="pct"/>
          </w:tcPr>
          <w:p w14:paraId="275D9178" w14:textId="12AE005A" w:rsidR="008721DE" w:rsidRPr="00F1762B" w:rsidRDefault="008721DE" w:rsidP="00E05BB0">
            <w:pPr>
              <w:rPr>
                <w:rFonts w:ascii="Calibri" w:hAnsi="Calibri"/>
                <w:sz w:val="15"/>
                <w:szCs w:val="15"/>
              </w:rPr>
            </w:pPr>
            <w:r w:rsidRPr="00F1762B">
              <w:rPr>
                <w:rFonts w:ascii="Calibri" w:hAnsi="Calibri"/>
                <w:sz w:val="15"/>
                <w:szCs w:val="15"/>
              </w:rPr>
              <w:t>6</w:t>
            </w:r>
          </w:p>
        </w:tc>
      </w:tr>
      <w:tr w:rsidR="00B7487B" w:rsidRPr="00F1762B" w14:paraId="103CBA8D" w14:textId="4BA25DF1" w:rsidTr="00F1762B">
        <w:tc>
          <w:tcPr>
            <w:tcW w:w="517" w:type="pct"/>
          </w:tcPr>
          <w:p w14:paraId="0B26A92A" w14:textId="3BF4B03F" w:rsidR="008721DE" w:rsidRPr="00F1762B" w:rsidRDefault="008721DE" w:rsidP="00E05BB0">
            <w:pPr>
              <w:rPr>
                <w:sz w:val="15"/>
                <w:szCs w:val="15"/>
                <w:lang w:val="en-CA"/>
              </w:rPr>
            </w:pPr>
            <w:r w:rsidRPr="00F1762B">
              <w:rPr>
                <w:rFonts w:ascii="Calibri" w:hAnsi="Calibri"/>
                <w:sz w:val="15"/>
                <w:szCs w:val="15"/>
              </w:rPr>
              <w:t>Carstensen 2012</w:t>
            </w:r>
          </w:p>
        </w:tc>
        <w:tc>
          <w:tcPr>
            <w:tcW w:w="447" w:type="pct"/>
          </w:tcPr>
          <w:p w14:paraId="653459C4" w14:textId="4A319116" w:rsidR="008721DE" w:rsidRPr="00F1762B" w:rsidRDefault="008721DE" w:rsidP="00E05BB0">
            <w:pPr>
              <w:rPr>
                <w:sz w:val="15"/>
                <w:szCs w:val="15"/>
                <w:lang w:val="en-CA"/>
              </w:rPr>
            </w:pPr>
            <w:r w:rsidRPr="00F1762B">
              <w:rPr>
                <w:rFonts w:ascii="Calibri" w:hAnsi="Calibri"/>
                <w:sz w:val="15"/>
                <w:szCs w:val="15"/>
              </w:rPr>
              <w:t>Denmark; population-based</w:t>
            </w:r>
          </w:p>
        </w:tc>
        <w:tc>
          <w:tcPr>
            <w:tcW w:w="491" w:type="pct"/>
          </w:tcPr>
          <w:p w14:paraId="2464A62C" w14:textId="65FB6ED6" w:rsidR="008721DE" w:rsidRPr="00F1762B" w:rsidRDefault="008721DE" w:rsidP="00E05BB0">
            <w:pPr>
              <w:rPr>
                <w:sz w:val="15"/>
                <w:szCs w:val="15"/>
                <w:lang w:val="en-CA"/>
              </w:rPr>
            </w:pPr>
            <w:r w:rsidRPr="00F1762B">
              <w:rPr>
                <w:sz w:val="15"/>
                <w:szCs w:val="15"/>
                <w:lang w:val="en-CA"/>
              </w:rPr>
              <w:t>1995 to 2009; NA</w:t>
            </w:r>
          </w:p>
        </w:tc>
        <w:tc>
          <w:tcPr>
            <w:tcW w:w="620" w:type="pct"/>
          </w:tcPr>
          <w:p w14:paraId="4447A406" w14:textId="0ED6A5CB" w:rsidR="008721DE" w:rsidRPr="00F1762B" w:rsidRDefault="008721DE" w:rsidP="00E05BB0">
            <w:pPr>
              <w:rPr>
                <w:sz w:val="15"/>
                <w:szCs w:val="15"/>
                <w:lang w:val="en-CA"/>
              </w:rPr>
            </w:pPr>
            <w:r w:rsidRPr="00F1762B">
              <w:rPr>
                <w:sz w:val="15"/>
                <w:szCs w:val="15"/>
                <w:lang w:val="en-CA"/>
              </w:rPr>
              <w:t>NA</w:t>
            </w:r>
          </w:p>
        </w:tc>
        <w:tc>
          <w:tcPr>
            <w:tcW w:w="620" w:type="pct"/>
          </w:tcPr>
          <w:p w14:paraId="0B6C634F" w14:textId="194AB10A" w:rsidR="008721DE" w:rsidRPr="00F1762B" w:rsidRDefault="008721DE" w:rsidP="00E05BB0">
            <w:pPr>
              <w:rPr>
                <w:sz w:val="15"/>
                <w:szCs w:val="15"/>
                <w:lang w:val="en-CA"/>
              </w:rPr>
            </w:pPr>
            <w:r w:rsidRPr="00F1762B">
              <w:rPr>
                <w:sz w:val="15"/>
                <w:szCs w:val="15"/>
                <w:lang w:val="en-CA"/>
              </w:rPr>
              <w:t>NA</w:t>
            </w:r>
          </w:p>
        </w:tc>
        <w:tc>
          <w:tcPr>
            <w:tcW w:w="537" w:type="pct"/>
          </w:tcPr>
          <w:p w14:paraId="582A7B1B" w14:textId="6C7CEE7C" w:rsidR="008721DE" w:rsidRPr="00F1762B" w:rsidRDefault="008721DE" w:rsidP="00E05BB0">
            <w:pPr>
              <w:rPr>
                <w:sz w:val="15"/>
                <w:szCs w:val="15"/>
                <w:lang w:val="en-CA"/>
              </w:rPr>
            </w:pPr>
            <w:r w:rsidRPr="00F1762B">
              <w:rPr>
                <w:sz w:val="15"/>
                <w:szCs w:val="15"/>
                <w:lang w:val="en-CA"/>
              </w:rPr>
              <w:t>Class 6, insulin vs no use of insulin</w:t>
            </w:r>
          </w:p>
        </w:tc>
        <w:tc>
          <w:tcPr>
            <w:tcW w:w="471" w:type="pct"/>
          </w:tcPr>
          <w:p w14:paraId="70C1977E" w14:textId="2E694639" w:rsidR="008721DE" w:rsidRPr="00F1762B" w:rsidRDefault="002427B6" w:rsidP="00E05BB0">
            <w:pPr>
              <w:rPr>
                <w:sz w:val="15"/>
                <w:szCs w:val="15"/>
                <w:lang w:val="en-CA"/>
              </w:rPr>
            </w:pPr>
            <w:r w:rsidRPr="00F1762B">
              <w:rPr>
                <w:sz w:val="15"/>
                <w:szCs w:val="15"/>
                <w:lang w:val="en-CA"/>
              </w:rPr>
              <w:t>Breast, lung, colorectal, prostate, liver, and pancreatic cancer</w:t>
            </w:r>
          </w:p>
        </w:tc>
        <w:tc>
          <w:tcPr>
            <w:tcW w:w="785" w:type="pct"/>
          </w:tcPr>
          <w:p w14:paraId="4DDDB110" w14:textId="41AB9C4A" w:rsidR="008721DE" w:rsidRPr="00F1762B" w:rsidRDefault="008721DE" w:rsidP="00E05BB0">
            <w:pPr>
              <w:tabs>
                <w:tab w:val="left" w:pos="490"/>
              </w:tabs>
              <w:rPr>
                <w:sz w:val="15"/>
                <w:szCs w:val="15"/>
              </w:rPr>
            </w:pPr>
            <w:r w:rsidRPr="00F1762B">
              <w:rPr>
                <w:sz w:val="15"/>
                <w:szCs w:val="15"/>
                <w:lang w:val="en-CA"/>
              </w:rPr>
              <w:t xml:space="preserve">Adjusted for </w:t>
            </w:r>
            <w:r w:rsidRPr="00F1762B">
              <w:rPr>
                <w:sz w:val="15"/>
                <w:szCs w:val="15"/>
              </w:rPr>
              <w:t>age, calendar time, and date of birth</w:t>
            </w:r>
          </w:p>
        </w:tc>
        <w:tc>
          <w:tcPr>
            <w:tcW w:w="307" w:type="pct"/>
          </w:tcPr>
          <w:p w14:paraId="4CDE890E" w14:textId="2DE11517" w:rsidR="008721DE" w:rsidRPr="00F1762B" w:rsidRDefault="008721DE" w:rsidP="00E05BB0">
            <w:pPr>
              <w:rPr>
                <w:sz w:val="15"/>
                <w:szCs w:val="15"/>
                <w:lang w:val="en-CA"/>
              </w:rPr>
            </w:pPr>
            <w:r w:rsidRPr="00F1762B">
              <w:rPr>
                <w:rFonts w:ascii="Calibri" w:hAnsi="Calibri"/>
                <w:sz w:val="15"/>
                <w:szCs w:val="15"/>
              </w:rPr>
              <w:t>Low</w:t>
            </w:r>
          </w:p>
        </w:tc>
        <w:tc>
          <w:tcPr>
            <w:tcW w:w="204" w:type="pct"/>
          </w:tcPr>
          <w:p w14:paraId="2EFACCFB" w14:textId="38502635" w:rsidR="008721DE" w:rsidRPr="00F1762B" w:rsidRDefault="008721DE" w:rsidP="00E05BB0">
            <w:pPr>
              <w:rPr>
                <w:rFonts w:ascii="Calibri" w:hAnsi="Calibri"/>
                <w:sz w:val="15"/>
                <w:szCs w:val="15"/>
              </w:rPr>
            </w:pPr>
            <w:r w:rsidRPr="00F1762B">
              <w:rPr>
                <w:rFonts w:ascii="Calibri" w:hAnsi="Calibri"/>
                <w:sz w:val="15"/>
                <w:szCs w:val="15"/>
              </w:rPr>
              <w:t>7</w:t>
            </w:r>
          </w:p>
        </w:tc>
      </w:tr>
      <w:tr w:rsidR="00B7487B" w:rsidRPr="00F1762B" w14:paraId="606C3C76" w14:textId="66967845" w:rsidTr="00F1762B">
        <w:tc>
          <w:tcPr>
            <w:tcW w:w="517" w:type="pct"/>
          </w:tcPr>
          <w:p w14:paraId="117E0DB6" w14:textId="351A2F0A" w:rsidR="008721DE" w:rsidRPr="00F1762B" w:rsidRDefault="008721DE" w:rsidP="00E05BB0">
            <w:pPr>
              <w:rPr>
                <w:sz w:val="15"/>
                <w:szCs w:val="15"/>
                <w:lang w:val="en-CA"/>
              </w:rPr>
            </w:pPr>
            <w:r w:rsidRPr="00F1762B">
              <w:rPr>
                <w:rFonts w:ascii="Calibri" w:hAnsi="Calibri"/>
                <w:sz w:val="15"/>
                <w:szCs w:val="15"/>
              </w:rPr>
              <w:t>Huang 2017</w:t>
            </w:r>
          </w:p>
        </w:tc>
        <w:tc>
          <w:tcPr>
            <w:tcW w:w="447" w:type="pct"/>
          </w:tcPr>
          <w:p w14:paraId="2BE0C5B4" w14:textId="6A97D11B" w:rsidR="008721DE" w:rsidRPr="00F1762B" w:rsidRDefault="008721DE" w:rsidP="00E05BB0">
            <w:pPr>
              <w:rPr>
                <w:sz w:val="15"/>
                <w:szCs w:val="15"/>
                <w:lang w:val="en-CA"/>
              </w:rPr>
            </w:pPr>
            <w:r w:rsidRPr="00F1762B">
              <w:rPr>
                <w:rFonts w:ascii="Calibri" w:hAnsi="Calibri"/>
                <w:sz w:val="15"/>
                <w:szCs w:val="15"/>
              </w:rPr>
              <w:t>Taiwan; population-based</w:t>
            </w:r>
          </w:p>
        </w:tc>
        <w:tc>
          <w:tcPr>
            <w:tcW w:w="491" w:type="pct"/>
          </w:tcPr>
          <w:p w14:paraId="690D41E9" w14:textId="4D25148B" w:rsidR="008721DE" w:rsidRPr="00F1762B" w:rsidRDefault="008721DE" w:rsidP="00E05BB0">
            <w:pPr>
              <w:rPr>
                <w:sz w:val="15"/>
                <w:szCs w:val="15"/>
                <w:lang w:val="en-CA"/>
              </w:rPr>
            </w:pPr>
            <w:r w:rsidRPr="00F1762B">
              <w:rPr>
                <w:sz w:val="15"/>
                <w:szCs w:val="15"/>
                <w:lang w:val="en-CA"/>
              </w:rPr>
              <w:t>2000 to 2010; mean 6.6 in thiazolidinediones user; 4.7 in nonusers</w:t>
            </w:r>
          </w:p>
        </w:tc>
        <w:tc>
          <w:tcPr>
            <w:tcW w:w="620" w:type="pct"/>
          </w:tcPr>
          <w:p w14:paraId="2A7B1554" w14:textId="590DBF90" w:rsidR="008721DE" w:rsidRPr="00F1762B" w:rsidRDefault="008721DE" w:rsidP="00E05BB0">
            <w:pPr>
              <w:rPr>
                <w:sz w:val="15"/>
                <w:szCs w:val="15"/>
              </w:rPr>
            </w:pPr>
            <w:r w:rsidRPr="00F1762B">
              <w:rPr>
                <w:sz w:val="15"/>
                <w:szCs w:val="15"/>
              </w:rPr>
              <w:t>20+; 62.1 (14.3)</w:t>
            </w:r>
          </w:p>
          <w:p w14:paraId="3CA67856" w14:textId="77777777" w:rsidR="008721DE" w:rsidRPr="00F1762B" w:rsidRDefault="008721DE" w:rsidP="00E05BB0">
            <w:pPr>
              <w:rPr>
                <w:sz w:val="15"/>
                <w:szCs w:val="15"/>
                <w:lang w:val="en-CA"/>
              </w:rPr>
            </w:pPr>
          </w:p>
        </w:tc>
        <w:tc>
          <w:tcPr>
            <w:tcW w:w="620" w:type="pct"/>
          </w:tcPr>
          <w:p w14:paraId="59635C46" w14:textId="5EDBF643" w:rsidR="008721DE" w:rsidRPr="00F1762B" w:rsidRDefault="008721DE" w:rsidP="00E05BB0">
            <w:pPr>
              <w:rPr>
                <w:sz w:val="15"/>
                <w:szCs w:val="15"/>
                <w:lang w:val="en-CA"/>
              </w:rPr>
            </w:pPr>
            <w:r w:rsidRPr="00F1762B">
              <w:rPr>
                <w:sz w:val="15"/>
                <w:szCs w:val="15"/>
                <w:lang w:val="en-CA"/>
              </w:rPr>
              <w:t>52.2</w:t>
            </w:r>
          </w:p>
        </w:tc>
        <w:tc>
          <w:tcPr>
            <w:tcW w:w="537" w:type="pct"/>
          </w:tcPr>
          <w:p w14:paraId="53D7CBE2" w14:textId="0FD5F526" w:rsidR="008721DE" w:rsidRPr="00F1762B" w:rsidRDefault="008721DE" w:rsidP="00E05BB0">
            <w:pPr>
              <w:rPr>
                <w:sz w:val="15"/>
                <w:szCs w:val="15"/>
                <w:lang w:val="en-CA"/>
              </w:rPr>
            </w:pPr>
            <w:r w:rsidRPr="00F1762B">
              <w:rPr>
                <w:sz w:val="15"/>
                <w:szCs w:val="15"/>
                <w:lang w:val="en-CA"/>
              </w:rPr>
              <w:t>Class 5, thiazolidinediones vs no use of thiazolidinediones</w:t>
            </w:r>
          </w:p>
        </w:tc>
        <w:tc>
          <w:tcPr>
            <w:tcW w:w="471" w:type="pct"/>
          </w:tcPr>
          <w:p w14:paraId="18B590DE" w14:textId="17B7C25D" w:rsidR="008721DE" w:rsidRPr="00F1762B" w:rsidRDefault="002427B6" w:rsidP="00E05BB0">
            <w:pPr>
              <w:rPr>
                <w:sz w:val="15"/>
                <w:szCs w:val="15"/>
                <w:lang w:val="en-CA"/>
              </w:rPr>
            </w:pPr>
            <w:r w:rsidRPr="00F1762B">
              <w:rPr>
                <w:sz w:val="15"/>
                <w:szCs w:val="15"/>
                <w:lang w:val="en-CA"/>
              </w:rPr>
              <w:t>Liver cancer</w:t>
            </w:r>
          </w:p>
        </w:tc>
        <w:tc>
          <w:tcPr>
            <w:tcW w:w="785" w:type="pct"/>
          </w:tcPr>
          <w:p w14:paraId="7E4C9915" w14:textId="77777777" w:rsidR="008721DE" w:rsidRPr="00F1762B" w:rsidRDefault="008721DE" w:rsidP="00E05BB0">
            <w:pPr>
              <w:rPr>
                <w:sz w:val="15"/>
                <w:szCs w:val="15"/>
              </w:rPr>
            </w:pPr>
            <w:r w:rsidRPr="00F1762B">
              <w:rPr>
                <w:sz w:val="15"/>
                <w:szCs w:val="15"/>
              </w:rPr>
              <w:t>Matched on age, sex, and index date;</w:t>
            </w:r>
            <w:r w:rsidRPr="00F1762B">
              <w:rPr>
                <w:sz w:val="15"/>
                <w:szCs w:val="15"/>
              </w:rPr>
              <w:br/>
            </w:r>
          </w:p>
          <w:p w14:paraId="0883607B" w14:textId="65B4842D" w:rsidR="008721DE" w:rsidRPr="00F1762B" w:rsidRDefault="008721DE" w:rsidP="00E05BB0">
            <w:pPr>
              <w:rPr>
                <w:sz w:val="15"/>
                <w:szCs w:val="15"/>
              </w:rPr>
            </w:pPr>
            <w:r w:rsidRPr="00F1762B">
              <w:rPr>
                <w:sz w:val="15"/>
                <w:szCs w:val="15"/>
              </w:rPr>
              <w:t>Adjusted for comorbidities of diabetes, hepatitis B and C, cirrhosis, alcoholic liver disease, NAFLD, end-stage renal disease, hypertension, and hyperlipidemia</w:t>
            </w:r>
          </w:p>
        </w:tc>
        <w:tc>
          <w:tcPr>
            <w:tcW w:w="307" w:type="pct"/>
          </w:tcPr>
          <w:p w14:paraId="3318FB44" w14:textId="364382B4" w:rsidR="008721DE" w:rsidRPr="00F1762B" w:rsidRDefault="008721DE" w:rsidP="00E05BB0">
            <w:pPr>
              <w:rPr>
                <w:sz w:val="15"/>
                <w:szCs w:val="15"/>
                <w:lang w:val="en-CA"/>
              </w:rPr>
            </w:pPr>
            <w:r w:rsidRPr="00F1762B">
              <w:rPr>
                <w:rFonts w:ascii="Calibri" w:hAnsi="Calibri"/>
                <w:sz w:val="15"/>
                <w:szCs w:val="15"/>
              </w:rPr>
              <w:t>Low</w:t>
            </w:r>
          </w:p>
        </w:tc>
        <w:tc>
          <w:tcPr>
            <w:tcW w:w="204" w:type="pct"/>
          </w:tcPr>
          <w:p w14:paraId="3590ED06" w14:textId="75D68ADB" w:rsidR="008721DE" w:rsidRPr="00F1762B" w:rsidRDefault="008721DE" w:rsidP="00E05BB0">
            <w:pPr>
              <w:rPr>
                <w:rFonts w:ascii="Calibri" w:hAnsi="Calibri"/>
                <w:sz w:val="15"/>
                <w:szCs w:val="15"/>
              </w:rPr>
            </w:pPr>
            <w:r w:rsidRPr="00F1762B">
              <w:rPr>
                <w:rFonts w:ascii="Calibri" w:hAnsi="Calibri"/>
                <w:sz w:val="15"/>
                <w:szCs w:val="15"/>
              </w:rPr>
              <w:t>8</w:t>
            </w:r>
          </w:p>
        </w:tc>
      </w:tr>
      <w:tr w:rsidR="00B7487B" w:rsidRPr="00F1762B" w14:paraId="1E2E9E6C" w14:textId="13E1BF9F" w:rsidTr="00F1762B">
        <w:tc>
          <w:tcPr>
            <w:tcW w:w="517" w:type="pct"/>
          </w:tcPr>
          <w:p w14:paraId="4184F8C2" w14:textId="488B576B" w:rsidR="008721DE" w:rsidRPr="00F1762B" w:rsidRDefault="008721DE" w:rsidP="00E05BB0">
            <w:pPr>
              <w:rPr>
                <w:sz w:val="15"/>
                <w:szCs w:val="15"/>
                <w:lang w:val="en-CA"/>
              </w:rPr>
            </w:pPr>
            <w:r w:rsidRPr="00F1762B">
              <w:rPr>
                <w:rFonts w:ascii="Calibri" w:hAnsi="Calibri"/>
                <w:sz w:val="15"/>
                <w:szCs w:val="15"/>
              </w:rPr>
              <w:t>Lai 2012b</w:t>
            </w:r>
          </w:p>
        </w:tc>
        <w:tc>
          <w:tcPr>
            <w:tcW w:w="447" w:type="pct"/>
          </w:tcPr>
          <w:p w14:paraId="2548072A" w14:textId="5D3DEA06" w:rsidR="008721DE" w:rsidRPr="00F1762B" w:rsidRDefault="008721DE" w:rsidP="00E05BB0">
            <w:pPr>
              <w:rPr>
                <w:sz w:val="15"/>
                <w:szCs w:val="15"/>
                <w:lang w:val="en-CA"/>
              </w:rPr>
            </w:pPr>
            <w:r w:rsidRPr="00F1762B">
              <w:rPr>
                <w:rFonts w:ascii="Calibri" w:hAnsi="Calibri"/>
                <w:sz w:val="15"/>
                <w:szCs w:val="15"/>
              </w:rPr>
              <w:t>Taiwan; population-based</w:t>
            </w:r>
          </w:p>
        </w:tc>
        <w:tc>
          <w:tcPr>
            <w:tcW w:w="491" w:type="pct"/>
          </w:tcPr>
          <w:p w14:paraId="5747A42F" w14:textId="2115FB3D" w:rsidR="008721DE" w:rsidRPr="00F1762B" w:rsidRDefault="008721DE" w:rsidP="00E05BB0">
            <w:pPr>
              <w:rPr>
                <w:sz w:val="15"/>
                <w:szCs w:val="15"/>
                <w:lang w:val="en-CA"/>
              </w:rPr>
            </w:pPr>
            <w:r w:rsidRPr="00F1762B">
              <w:rPr>
                <w:sz w:val="15"/>
                <w:szCs w:val="15"/>
                <w:lang w:val="en-CA"/>
              </w:rPr>
              <w:t>2000 to 2005; NA</w:t>
            </w:r>
          </w:p>
        </w:tc>
        <w:tc>
          <w:tcPr>
            <w:tcW w:w="620" w:type="pct"/>
          </w:tcPr>
          <w:p w14:paraId="72727550" w14:textId="5626EB67" w:rsidR="008721DE" w:rsidRPr="00F1762B" w:rsidRDefault="008721DE" w:rsidP="00E05BB0">
            <w:pPr>
              <w:rPr>
                <w:sz w:val="15"/>
                <w:szCs w:val="15"/>
              </w:rPr>
            </w:pPr>
            <w:r w:rsidRPr="00F1762B">
              <w:rPr>
                <w:sz w:val="15"/>
                <w:szCs w:val="15"/>
              </w:rPr>
              <w:t>20+; 55.5 (13.4)</w:t>
            </w:r>
          </w:p>
        </w:tc>
        <w:tc>
          <w:tcPr>
            <w:tcW w:w="620" w:type="pct"/>
          </w:tcPr>
          <w:p w14:paraId="2C0B80E4" w14:textId="40A7ECD3" w:rsidR="008721DE" w:rsidRPr="00F1762B" w:rsidRDefault="008721DE" w:rsidP="00E05BB0">
            <w:pPr>
              <w:rPr>
                <w:sz w:val="15"/>
                <w:szCs w:val="15"/>
              </w:rPr>
            </w:pPr>
            <w:r w:rsidRPr="00F1762B">
              <w:rPr>
                <w:sz w:val="15"/>
                <w:szCs w:val="15"/>
              </w:rPr>
              <w:t>55.8</w:t>
            </w:r>
          </w:p>
        </w:tc>
        <w:tc>
          <w:tcPr>
            <w:tcW w:w="537" w:type="pct"/>
          </w:tcPr>
          <w:p w14:paraId="0D3E4BBD" w14:textId="5FC64BA9" w:rsidR="008721DE" w:rsidRPr="00F1762B" w:rsidRDefault="008721DE" w:rsidP="00E05BB0">
            <w:pPr>
              <w:rPr>
                <w:sz w:val="15"/>
                <w:szCs w:val="15"/>
                <w:lang w:val="en-CA"/>
              </w:rPr>
            </w:pPr>
            <w:r w:rsidRPr="00F1762B">
              <w:rPr>
                <w:sz w:val="15"/>
                <w:szCs w:val="15"/>
                <w:lang w:val="en-CA"/>
              </w:rPr>
              <w:t>Class 1, metformin vs no use of metformin;</w:t>
            </w:r>
          </w:p>
          <w:p w14:paraId="6A10AB45" w14:textId="77777777" w:rsidR="008721DE" w:rsidRPr="00F1762B" w:rsidRDefault="008721DE" w:rsidP="00E05BB0">
            <w:pPr>
              <w:rPr>
                <w:sz w:val="15"/>
                <w:szCs w:val="15"/>
                <w:lang w:val="en-CA"/>
              </w:rPr>
            </w:pPr>
          </w:p>
          <w:p w14:paraId="584E4767" w14:textId="0DD9C7A7" w:rsidR="008721DE" w:rsidRPr="00F1762B" w:rsidRDefault="008721DE" w:rsidP="00E05BB0">
            <w:pPr>
              <w:rPr>
                <w:sz w:val="15"/>
                <w:szCs w:val="15"/>
                <w:lang w:val="en-CA"/>
              </w:rPr>
            </w:pPr>
            <w:r w:rsidRPr="00F1762B">
              <w:rPr>
                <w:sz w:val="15"/>
                <w:szCs w:val="15"/>
                <w:lang w:val="en-CA"/>
              </w:rPr>
              <w:t>Class 3,</w:t>
            </w:r>
          </w:p>
          <w:p w14:paraId="200E72EB" w14:textId="3D229495" w:rsidR="008721DE" w:rsidRPr="00F1762B" w:rsidRDefault="008721DE" w:rsidP="00E05BB0">
            <w:pPr>
              <w:rPr>
                <w:rFonts w:ascii="Calibri" w:hAnsi="Calibri"/>
                <w:sz w:val="15"/>
                <w:szCs w:val="15"/>
              </w:rPr>
            </w:pPr>
            <w:r w:rsidRPr="00F1762B">
              <w:rPr>
                <w:rFonts w:ascii="Calibri" w:hAnsi="Calibri"/>
                <w:sz w:val="15"/>
                <w:szCs w:val="15"/>
              </w:rPr>
              <w:t xml:space="preserve">alpha-glucosidase inhibitors </w:t>
            </w:r>
            <w:r w:rsidRPr="00F1762B">
              <w:rPr>
                <w:sz w:val="15"/>
                <w:szCs w:val="15"/>
                <w:lang w:val="en-CA"/>
              </w:rPr>
              <w:t xml:space="preserve">vs no use of </w:t>
            </w:r>
            <w:r w:rsidRPr="00F1762B">
              <w:rPr>
                <w:sz w:val="15"/>
                <w:szCs w:val="15"/>
              </w:rPr>
              <w:t>alpha-glucosidase inhibitors;</w:t>
            </w:r>
          </w:p>
          <w:p w14:paraId="7D00ACEC" w14:textId="77777777" w:rsidR="008721DE" w:rsidRPr="00F1762B" w:rsidRDefault="008721DE" w:rsidP="00E05BB0">
            <w:pPr>
              <w:rPr>
                <w:sz w:val="15"/>
                <w:szCs w:val="15"/>
              </w:rPr>
            </w:pPr>
          </w:p>
          <w:p w14:paraId="37E7B25C" w14:textId="76CD055E" w:rsidR="008721DE" w:rsidRPr="00F1762B" w:rsidRDefault="008721DE" w:rsidP="00E05BB0">
            <w:pPr>
              <w:rPr>
                <w:sz w:val="15"/>
                <w:szCs w:val="15"/>
              </w:rPr>
            </w:pPr>
            <w:r w:rsidRPr="00F1762B">
              <w:rPr>
                <w:sz w:val="15"/>
                <w:szCs w:val="15"/>
              </w:rPr>
              <w:t>Class 4, sulfonylureas vs no use of</w:t>
            </w:r>
          </w:p>
          <w:p w14:paraId="3571CD7D" w14:textId="77777777" w:rsidR="008721DE" w:rsidRPr="00F1762B" w:rsidRDefault="008721DE" w:rsidP="00E05BB0">
            <w:pPr>
              <w:rPr>
                <w:sz w:val="15"/>
                <w:szCs w:val="15"/>
              </w:rPr>
            </w:pPr>
            <w:r w:rsidRPr="00F1762B">
              <w:rPr>
                <w:sz w:val="15"/>
                <w:szCs w:val="15"/>
              </w:rPr>
              <w:t>sulfonylureas</w:t>
            </w:r>
          </w:p>
          <w:p w14:paraId="24257C5A" w14:textId="77777777" w:rsidR="008721DE" w:rsidRPr="00F1762B" w:rsidRDefault="008721DE" w:rsidP="00E05BB0">
            <w:pPr>
              <w:rPr>
                <w:sz w:val="15"/>
                <w:szCs w:val="15"/>
              </w:rPr>
            </w:pPr>
          </w:p>
          <w:p w14:paraId="06C7710F" w14:textId="56F50808" w:rsidR="008721DE" w:rsidRPr="00F1762B" w:rsidRDefault="008721DE" w:rsidP="00E05BB0">
            <w:pPr>
              <w:rPr>
                <w:sz w:val="15"/>
                <w:szCs w:val="15"/>
              </w:rPr>
            </w:pPr>
            <w:r w:rsidRPr="00F1762B">
              <w:rPr>
                <w:sz w:val="15"/>
                <w:szCs w:val="15"/>
              </w:rPr>
              <w:t>Class 5, thiazolidinediones vs no use of thiazolidinediones;</w:t>
            </w:r>
          </w:p>
          <w:p w14:paraId="061669B7" w14:textId="77777777" w:rsidR="008721DE" w:rsidRPr="00F1762B" w:rsidRDefault="008721DE" w:rsidP="00E05BB0">
            <w:pPr>
              <w:rPr>
                <w:sz w:val="15"/>
                <w:szCs w:val="15"/>
              </w:rPr>
            </w:pPr>
          </w:p>
          <w:p w14:paraId="505C63FF" w14:textId="11421019" w:rsidR="008721DE" w:rsidRPr="00F1762B" w:rsidRDefault="008721DE" w:rsidP="00E05BB0">
            <w:pPr>
              <w:rPr>
                <w:sz w:val="15"/>
                <w:szCs w:val="15"/>
              </w:rPr>
            </w:pPr>
            <w:r w:rsidRPr="00F1762B">
              <w:rPr>
                <w:sz w:val="15"/>
                <w:szCs w:val="15"/>
              </w:rPr>
              <w:lastRenderedPageBreak/>
              <w:t>Class 6, insulins of no use of insulins</w:t>
            </w:r>
          </w:p>
        </w:tc>
        <w:tc>
          <w:tcPr>
            <w:tcW w:w="471" w:type="pct"/>
          </w:tcPr>
          <w:p w14:paraId="03751E2F" w14:textId="7FA83276" w:rsidR="008721DE" w:rsidRPr="00F1762B" w:rsidRDefault="002427B6" w:rsidP="00E05BB0">
            <w:pPr>
              <w:rPr>
                <w:sz w:val="15"/>
                <w:szCs w:val="15"/>
                <w:lang w:val="en-CA"/>
              </w:rPr>
            </w:pPr>
            <w:r w:rsidRPr="00F1762B">
              <w:rPr>
                <w:sz w:val="15"/>
                <w:szCs w:val="15"/>
                <w:lang w:val="en-CA"/>
              </w:rPr>
              <w:lastRenderedPageBreak/>
              <w:t>Liver cancer</w:t>
            </w:r>
          </w:p>
        </w:tc>
        <w:tc>
          <w:tcPr>
            <w:tcW w:w="785" w:type="pct"/>
          </w:tcPr>
          <w:p w14:paraId="6A97CF4A" w14:textId="24BC34FE" w:rsidR="008721DE" w:rsidRPr="00F1762B" w:rsidRDefault="008721DE" w:rsidP="00E05BB0">
            <w:pPr>
              <w:rPr>
                <w:rFonts w:ascii="Calibri" w:hAnsi="Calibri"/>
                <w:sz w:val="15"/>
                <w:szCs w:val="15"/>
              </w:rPr>
            </w:pPr>
            <w:r w:rsidRPr="00F1762B">
              <w:rPr>
                <w:rFonts w:ascii="Calibri" w:hAnsi="Calibri"/>
                <w:sz w:val="15"/>
                <w:szCs w:val="15"/>
              </w:rPr>
              <w:t>Matched on age and sex;</w:t>
            </w:r>
          </w:p>
          <w:p w14:paraId="3BF44307" w14:textId="77777777" w:rsidR="008721DE" w:rsidRPr="00F1762B" w:rsidRDefault="008721DE" w:rsidP="00E05BB0">
            <w:pPr>
              <w:rPr>
                <w:rFonts w:ascii="Calibri" w:hAnsi="Calibri"/>
                <w:sz w:val="15"/>
                <w:szCs w:val="15"/>
              </w:rPr>
            </w:pPr>
          </w:p>
          <w:p w14:paraId="3F139DCF" w14:textId="0196A062" w:rsidR="008721DE" w:rsidRPr="00F1762B" w:rsidRDefault="008721DE" w:rsidP="00E05BB0">
            <w:pPr>
              <w:rPr>
                <w:rFonts w:ascii="Calibri" w:hAnsi="Calibri"/>
                <w:sz w:val="15"/>
                <w:szCs w:val="15"/>
              </w:rPr>
            </w:pPr>
            <w:r w:rsidRPr="00F1762B">
              <w:rPr>
                <w:rFonts w:ascii="Calibri" w:hAnsi="Calibri"/>
                <w:sz w:val="15"/>
                <w:szCs w:val="15"/>
              </w:rPr>
              <w:t>Adjusted for cirrhosis, alcoholic liver damage, hepatitis B, and hepatitis C</w:t>
            </w:r>
          </w:p>
        </w:tc>
        <w:tc>
          <w:tcPr>
            <w:tcW w:w="307" w:type="pct"/>
          </w:tcPr>
          <w:p w14:paraId="6E99D288" w14:textId="4ED24506" w:rsidR="008721DE" w:rsidRPr="00F1762B" w:rsidRDefault="008721DE" w:rsidP="00E05BB0">
            <w:pPr>
              <w:rPr>
                <w:sz w:val="15"/>
                <w:szCs w:val="15"/>
                <w:lang w:val="en-CA"/>
              </w:rPr>
            </w:pPr>
            <w:r w:rsidRPr="00F1762B">
              <w:rPr>
                <w:rFonts w:ascii="Calibri" w:hAnsi="Calibri"/>
                <w:sz w:val="15"/>
                <w:szCs w:val="15"/>
              </w:rPr>
              <w:t>Low</w:t>
            </w:r>
          </w:p>
        </w:tc>
        <w:tc>
          <w:tcPr>
            <w:tcW w:w="204" w:type="pct"/>
          </w:tcPr>
          <w:p w14:paraId="5680F254" w14:textId="4299D7F6" w:rsidR="008721DE" w:rsidRPr="00F1762B" w:rsidRDefault="008721DE" w:rsidP="00E05BB0">
            <w:pPr>
              <w:rPr>
                <w:rFonts w:ascii="Calibri" w:hAnsi="Calibri"/>
                <w:sz w:val="15"/>
                <w:szCs w:val="15"/>
              </w:rPr>
            </w:pPr>
            <w:r w:rsidRPr="00F1762B">
              <w:rPr>
                <w:rFonts w:ascii="Calibri" w:hAnsi="Calibri"/>
                <w:sz w:val="15"/>
                <w:szCs w:val="15"/>
              </w:rPr>
              <w:t>7</w:t>
            </w:r>
          </w:p>
        </w:tc>
      </w:tr>
      <w:tr w:rsidR="00B7487B" w:rsidRPr="00F1762B" w14:paraId="183942D0" w14:textId="2BDD69DE" w:rsidTr="00F1762B">
        <w:tc>
          <w:tcPr>
            <w:tcW w:w="517" w:type="pct"/>
          </w:tcPr>
          <w:p w14:paraId="3EDD6550" w14:textId="4A5CF575" w:rsidR="008721DE" w:rsidRPr="00F1762B" w:rsidRDefault="008721DE" w:rsidP="00E05BB0">
            <w:pPr>
              <w:rPr>
                <w:sz w:val="15"/>
                <w:szCs w:val="15"/>
                <w:lang w:val="en-CA"/>
              </w:rPr>
            </w:pPr>
            <w:r w:rsidRPr="00F1762B">
              <w:rPr>
                <w:rFonts w:ascii="Calibri" w:hAnsi="Calibri"/>
                <w:sz w:val="15"/>
                <w:szCs w:val="15"/>
              </w:rPr>
              <w:t>Tseng 2012</w:t>
            </w:r>
          </w:p>
        </w:tc>
        <w:tc>
          <w:tcPr>
            <w:tcW w:w="447" w:type="pct"/>
          </w:tcPr>
          <w:p w14:paraId="4E848428" w14:textId="2B47D3A1" w:rsidR="008721DE" w:rsidRPr="00F1762B" w:rsidRDefault="008721DE" w:rsidP="00E05BB0">
            <w:pPr>
              <w:rPr>
                <w:sz w:val="15"/>
                <w:szCs w:val="15"/>
                <w:lang w:val="en-CA"/>
              </w:rPr>
            </w:pPr>
            <w:r w:rsidRPr="00F1762B">
              <w:rPr>
                <w:rFonts w:ascii="Calibri" w:hAnsi="Calibri"/>
                <w:sz w:val="15"/>
                <w:szCs w:val="15"/>
              </w:rPr>
              <w:t>Taiwan; population-based</w:t>
            </w:r>
          </w:p>
        </w:tc>
        <w:tc>
          <w:tcPr>
            <w:tcW w:w="491" w:type="pct"/>
          </w:tcPr>
          <w:p w14:paraId="4CCEC10E" w14:textId="526C864D" w:rsidR="008721DE" w:rsidRPr="00F1762B" w:rsidRDefault="008721DE" w:rsidP="00E05BB0">
            <w:pPr>
              <w:rPr>
                <w:sz w:val="15"/>
                <w:szCs w:val="15"/>
                <w:lang w:val="en-CA"/>
              </w:rPr>
            </w:pPr>
            <w:r w:rsidRPr="00F1762B">
              <w:rPr>
                <w:sz w:val="15"/>
                <w:szCs w:val="15"/>
                <w:lang w:val="en-CA"/>
              </w:rPr>
              <w:t>2003 to 2005; NA</w:t>
            </w:r>
          </w:p>
        </w:tc>
        <w:tc>
          <w:tcPr>
            <w:tcW w:w="620" w:type="pct"/>
          </w:tcPr>
          <w:p w14:paraId="32D11DB7" w14:textId="6B0D9FD8" w:rsidR="008721DE" w:rsidRPr="00F1762B" w:rsidRDefault="008721DE" w:rsidP="00E05BB0">
            <w:pPr>
              <w:rPr>
                <w:sz w:val="15"/>
                <w:szCs w:val="15"/>
              </w:rPr>
            </w:pPr>
            <w:r w:rsidRPr="00F1762B">
              <w:rPr>
                <w:sz w:val="15"/>
                <w:szCs w:val="15"/>
              </w:rPr>
              <w:t>NA; 77.9% were &gt;40</w:t>
            </w:r>
          </w:p>
        </w:tc>
        <w:tc>
          <w:tcPr>
            <w:tcW w:w="620" w:type="pct"/>
          </w:tcPr>
          <w:p w14:paraId="1B6DB0FA" w14:textId="7C7C1E6B" w:rsidR="008721DE" w:rsidRPr="00F1762B" w:rsidRDefault="008721DE" w:rsidP="00E05BB0">
            <w:pPr>
              <w:rPr>
                <w:sz w:val="15"/>
                <w:szCs w:val="15"/>
              </w:rPr>
            </w:pPr>
            <w:r w:rsidRPr="00F1762B">
              <w:rPr>
                <w:sz w:val="15"/>
                <w:szCs w:val="15"/>
              </w:rPr>
              <w:t>45.3</w:t>
            </w:r>
          </w:p>
        </w:tc>
        <w:tc>
          <w:tcPr>
            <w:tcW w:w="537" w:type="pct"/>
          </w:tcPr>
          <w:p w14:paraId="5A2B22D6" w14:textId="496B9A10" w:rsidR="008721DE" w:rsidRPr="00F1762B" w:rsidRDefault="008721DE" w:rsidP="00E05BB0">
            <w:pPr>
              <w:rPr>
                <w:sz w:val="15"/>
                <w:szCs w:val="15"/>
                <w:lang w:val="en-CA"/>
              </w:rPr>
            </w:pPr>
            <w:r w:rsidRPr="00F1762B">
              <w:rPr>
                <w:sz w:val="15"/>
                <w:szCs w:val="15"/>
                <w:lang w:val="en-CA"/>
              </w:rPr>
              <w:t>Class 1, metformin vs no use of metformin</w:t>
            </w:r>
          </w:p>
        </w:tc>
        <w:tc>
          <w:tcPr>
            <w:tcW w:w="471" w:type="pct"/>
          </w:tcPr>
          <w:p w14:paraId="43E4588A" w14:textId="3A420C9D" w:rsidR="008721DE" w:rsidRPr="00F1762B" w:rsidRDefault="002427B6" w:rsidP="00E05BB0">
            <w:pPr>
              <w:rPr>
                <w:sz w:val="15"/>
                <w:szCs w:val="15"/>
                <w:lang w:val="en-CA"/>
              </w:rPr>
            </w:pPr>
            <w:r w:rsidRPr="00F1762B">
              <w:rPr>
                <w:sz w:val="15"/>
                <w:szCs w:val="15"/>
                <w:lang w:val="en-CA"/>
              </w:rPr>
              <w:t>C</w:t>
            </w:r>
            <w:r w:rsidR="008721DE" w:rsidRPr="00F1762B">
              <w:rPr>
                <w:sz w:val="15"/>
                <w:szCs w:val="15"/>
                <w:lang w:val="en-CA"/>
              </w:rPr>
              <w:t>olon cancer</w:t>
            </w:r>
          </w:p>
        </w:tc>
        <w:tc>
          <w:tcPr>
            <w:tcW w:w="785" w:type="pct"/>
          </w:tcPr>
          <w:p w14:paraId="2A257615" w14:textId="2112A94E" w:rsidR="008721DE" w:rsidRPr="00F1762B" w:rsidRDefault="008721DE" w:rsidP="00E05BB0">
            <w:pPr>
              <w:rPr>
                <w:sz w:val="15"/>
                <w:szCs w:val="15"/>
              </w:rPr>
            </w:pPr>
            <w:r w:rsidRPr="00F1762B">
              <w:rPr>
                <w:sz w:val="15"/>
                <w:szCs w:val="15"/>
              </w:rPr>
              <w:t>Adjusted for age, sex, region of residence, occupation, major comorbidities, diabetes-related complications, other cancer before baseline, commonly used medications, aspirin, nonsteroidal anti-inflammatory drug, anticoagulants, other diabetes medications, and potential colon cancer detection examinations</w:t>
            </w:r>
          </w:p>
        </w:tc>
        <w:tc>
          <w:tcPr>
            <w:tcW w:w="307" w:type="pct"/>
          </w:tcPr>
          <w:p w14:paraId="7A2FD632" w14:textId="1489FF02" w:rsidR="008721DE" w:rsidRPr="00F1762B" w:rsidRDefault="008721DE" w:rsidP="00E05BB0">
            <w:pPr>
              <w:rPr>
                <w:sz w:val="15"/>
                <w:szCs w:val="15"/>
                <w:lang w:val="en-CA"/>
              </w:rPr>
            </w:pPr>
            <w:r w:rsidRPr="00F1762B">
              <w:rPr>
                <w:rFonts w:ascii="Calibri" w:hAnsi="Calibri"/>
                <w:sz w:val="15"/>
                <w:szCs w:val="15"/>
              </w:rPr>
              <w:t>Low</w:t>
            </w:r>
          </w:p>
        </w:tc>
        <w:tc>
          <w:tcPr>
            <w:tcW w:w="204" w:type="pct"/>
          </w:tcPr>
          <w:p w14:paraId="68332BF5" w14:textId="22FEE17E" w:rsidR="008721DE" w:rsidRPr="00F1762B" w:rsidRDefault="008721DE" w:rsidP="00E05BB0">
            <w:pPr>
              <w:rPr>
                <w:rFonts w:ascii="Calibri" w:hAnsi="Calibri"/>
                <w:sz w:val="15"/>
                <w:szCs w:val="15"/>
              </w:rPr>
            </w:pPr>
            <w:r w:rsidRPr="00F1762B">
              <w:rPr>
                <w:rFonts w:ascii="Calibri" w:hAnsi="Calibri"/>
                <w:sz w:val="15"/>
                <w:szCs w:val="15"/>
              </w:rPr>
              <w:t>7</w:t>
            </w:r>
          </w:p>
        </w:tc>
      </w:tr>
      <w:tr w:rsidR="00B7487B" w:rsidRPr="00F1762B" w14:paraId="30B0B16F" w14:textId="0E2A4CB2" w:rsidTr="00F1762B">
        <w:tc>
          <w:tcPr>
            <w:tcW w:w="517" w:type="pct"/>
          </w:tcPr>
          <w:p w14:paraId="64068B78" w14:textId="6B416FEE" w:rsidR="008721DE" w:rsidRPr="00F1762B" w:rsidRDefault="008721DE" w:rsidP="00E05BB0">
            <w:pPr>
              <w:rPr>
                <w:sz w:val="15"/>
                <w:szCs w:val="15"/>
                <w:lang w:val="en-CA"/>
              </w:rPr>
            </w:pPr>
            <w:r w:rsidRPr="00F1762B">
              <w:rPr>
                <w:rFonts w:ascii="Calibri" w:hAnsi="Calibri"/>
                <w:sz w:val="15"/>
                <w:szCs w:val="15"/>
              </w:rPr>
              <w:t>Tangjarusritaratorn 2021</w:t>
            </w:r>
          </w:p>
        </w:tc>
        <w:tc>
          <w:tcPr>
            <w:tcW w:w="447" w:type="pct"/>
          </w:tcPr>
          <w:p w14:paraId="6A216BBC" w14:textId="7DE680E7" w:rsidR="008721DE" w:rsidRPr="00F1762B" w:rsidRDefault="008721DE" w:rsidP="00E05BB0">
            <w:pPr>
              <w:rPr>
                <w:sz w:val="15"/>
                <w:szCs w:val="15"/>
                <w:lang w:val="en-CA"/>
              </w:rPr>
            </w:pPr>
            <w:r w:rsidRPr="00F1762B">
              <w:rPr>
                <w:rFonts w:ascii="Calibri" w:hAnsi="Calibri"/>
                <w:sz w:val="15"/>
                <w:szCs w:val="15"/>
              </w:rPr>
              <w:t>Thailand</w:t>
            </w:r>
            <w:r w:rsidRPr="00F1762B">
              <w:rPr>
                <w:sz w:val="15"/>
                <w:szCs w:val="15"/>
                <w:lang w:val="en-CA"/>
              </w:rPr>
              <w:t>; hospital-based</w:t>
            </w:r>
          </w:p>
        </w:tc>
        <w:tc>
          <w:tcPr>
            <w:tcW w:w="491" w:type="pct"/>
          </w:tcPr>
          <w:p w14:paraId="1F2EEFC7" w14:textId="2834A482" w:rsidR="008721DE" w:rsidRPr="00F1762B" w:rsidRDefault="008721DE" w:rsidP="00E05BB0">
            <w:pPr>
              <w:rPr>
                <w:sz w:val="15"/>
                <w:szCs w:val="15"/>
                <w:lang w:val="en-CA"/>
              </w:rPr>
            </w:pPr>
            <w:r w:rsidRPr="00F1762B">
              <w:rPr>
                <w:sz w:val="15"/>
                <w:szCs w:val="15"/>
                <w:lang w:val="en-CA"/>
              </w:rPr>
              <w:t>2006 to 2019; NA</w:t>
            </w:r>
          </w:p>
        </w:tc>
        <w:tc>
          <w:tcPr>
            <w:tcW w:w="620" w:type="pct"/>
          </w:tcPr>
          <w:p w14:paraId="66B16F05" w14:textId="3944D392" w:rsidR="008721DE" w:rsidRPr="00F1762B" w:rsidRDefault="008721DE" w:rsidP="00E05BB0">
            <w:pPr>
              <w:rPr>
                <w:sz w:val="15"/>
                <w:szCs w:val="15"/>
              </w:rPr>
            </w:pPr>
            <w:r w:rsidRPr="00F1762B">
              <w:rPr>
                <w:sz w:val="15"/>
                <w:szCs w:val="15"/>
              </w:rPr>
              <w:t>20 to 80; 59.0 (9.9) and 60.6 (9.9) in metformin users and nonusers, respectively</w:t>
            </w:r>
          </w:p>
        </w:tc>
        <w:tc>
          <w:tcPr>
            <w:tcW w:w="620" w:type="pct"/>
          </w:tcPr>
          <w:p w14:paraId="45603EEE" w14:textId="7A759D4F" w:rsidR="008721DE" w:rsidRPr="00F1762B" w:rsidRDefault="008721DE" w:rsidP="00E05BB0">
            <w:pPr>
              <w:rPr>
                <w:sz w:val="15"/>
                <w:szCs w:val="15"/>
              </w:rPr>
            </w:pPr>
            <w:r w:rsidRPr="00F1762B">
              <w:rPr>
                <w:sz w:val="15"/>
                <w:szCs w:val="15"/>
              </w:rPr>
              <w:t>66.6 and 64.3 in metformin users and nonusers, respectively</w:t>
            </w:r>
          </w:p>
          <w:p w14:paraId="3FFD08D4" w14:textId="77777777" w:rsidR="008721DE" w:rsidRPr="00F1762B" w:rsidRDefault="008721DE" w:rsidP="00E05BB0">
            <w:pPr>
              <w:rPr>
                <w:sz w:val="15"/>
                <w:szCs w:val="15"/>
              </w:rPr>
            </w:pPr>
          </w:p>
        </w:tc>
        <w:tc>
          <w:tcPr>
            <w:tcW w:w="537" w:type="pct"/>
          </w:tcPr>
          <w:p w14:paraId="69488A13" w14:textId="20168D90" w:rsidR="008721DE" w:rsidRPr="00F1762B" w:rsidRDefault="008721DE" w:rsidP="00E05BB0">
            <w:pPr>
              <w:rPr>
                <w:sz w:val="15"/>
                <w:szCs w:val="15"/>
                <w:lang w:val="en-CA"/>
              </w:rPr>
            </w:pPr>
            <w:r w:rsidRPr="00F1762B">
              <w:rPr>
                <w:sz w:val="15"/>
                <w:szCs w:val="15"/>
                <w:lang w:val="en-CA"/>
              </w:rPr>
              <w:t>Class 1, metformin vs no use of metformin</w:t>
            </w:r>
          </w:p>
        </w:tc>
        <w:tc>
          <w:tcPr>
            <w:tcW w:w="471" w:type="pct"/>
          </w:tcPr>
          <w:p w14:paraId="1EE5EBAC" w14:textId="12EAAF3E" w:rsidR="008721DE" w:rsidRPr="00F1762B" w:rsidRDefault="002427B6" w:rsidP="00E05BB0">
            <w:pPr>
              <w:rPr>
                <w:sz w:val="15"/>
                <w:szCs w:val="15"/>
                <w:lang w:val="en-CA"/>
              </w:rPr>
            </w:pPr>
            <w:r w:rsidRPr="00F1762B">
              <w:rPr>
                <w:sz w:val="15"/>
                <w:szCs w:val="15"/>
                <w:lang w:val="en-CA"/>
              </w:rPr>
              <w:t>Liver cancer</w:t>
            </w:r>
          </w:p>
        </w:tc>
        <w:tc>
          <w:tcPr>
            <w:tcW w:w="785" w:type="pct"/>
          </w:tcPr>
          <w:p w14:paraId="758EE71E" w14:textId="3ADC81F7" w:rsidR="008721DE" w:rsidRPr="00F1762B" w:rsidRDefault="008721DE" w:rsidP="00E05BB0">
            <w:pPr>
              <w:rPr>
                <w:sz w:val="15"/>
                <w:szCs w:val="15"/>
              </w:rPr>
            </w:pPr>
            <w:r w:rsidRPr="00F1762B">
              <w:rPr>
                <w:sz w:val="15"/>
                <w:szCs w:val="15"/>
                <w:lang w:val="en-CA"/>
              </w:rPr>
              <w:t xml:space="preserve">Adjusted for </w:t>
            </w:r>
            <w:r w:rsidRPr="00F1762B">
              <w:rPr>
                <w:sz w:val="15"/>
                <w:szCs w:val="15"/>
              </w:rPr>
              <w:t>sex, HbA1c, etiology of cirrhosis, smoke, and alcohol</w:t>
            </w:r>
          </w:p>
        </w:tc>
        <w:tc>
          <w:tcPr>
            <w:tcW w:w="307" w:type="pct"/>
          </w:tcPr>
          <w:p w14:paraId="06456E9A" w14:textId="21D6B7A1" w:rsidR="008721DE" w:rsidRPr="00F1762B" w:rsidRDefault="008721DE" w:rsidP="00E05BB0">
            <w:pPr>
              <w:rPr>
                <w:sz w:val="15"/>
                <w:szCs w:val="15"/>
                <w:lang w:val="en-CA"/>
              </w:rPr>
            </w:pPr>
            <w:r w:rsidRPr="00F1762B">
              <w:rPr>
                <w:rFonts w:ascii="Calibri" w:hAnsi="Calibri"/>
                <w:sz w:val="15"/>
                <w:szCs w:val="15"/>
              </w:rPr>
              <w:t>Low</w:t>
            </w:r>
          </w:p>
        </w:tc>
        <w:tc>
          <w:tcPr>
            <w:tcW w:w="204" w:type="pct"/>
          </w:tcPr>
          <w:p w14:paraId="07CCF15B" w14:textId="271D728C" w:rsidR="008721DE" w:rsidRPr="00F1762B" w:rsidRDefault="008721DE" w:rsidP="00E05BB0">
            <w:pPr>
              <w:rPr>
                <w:rFonts w:ascii="Calibri" w:hAnsi="Calibri"/>
                <w:sz w:val="15"/>
                <w:szCs w:val="15"/>
              </w:rPr>
            </w:pPr>
            <w:r w:rsidRPr="00F1762B">
              <w:rPr>
                <w:rFonts w:ascii="Calibri" w:hAnsi="Calibri"/>
                <w:sz w:val="15"/>
                <w:szCs w:val="15"/>
              </w:rPr>
              <w:t>7</w:t>
            </w:r>
          </w:p>
        </w:tc>
      </w:tr>
      <w:tr w:rsidR="00B7487B" w:rsidRPr="00F1762B" w14:paraId="02D4DD2E" w14:textId="5C53D55F" w:rsidTr="00F1762B">
        <w:tc>
          <w:tcPr>
            <w:tcW w:w="517" w:type="pct"/>
            <w:shd w:val="clear" w:color="auto" w:fill="F2F2F2" w:themeFill="background1" w:themeFillShade="F2"/>
          </w:tcPr>
          <w:p w14:paraId="577752DB" w14:textId="4F5D0432" w:rsidR="008721DE" w:rsidRPr="00F1762B" w:rsidRDefault="008721DE" w:rsidP="00E05BB0">
            <w:pPr>
              <w:rPr>
                <w:sz w:val="15"/>
                <w:szCs w:val="15"/>
                <w:lang w:val="en-CA"/>
              </w:rPr>
            </w:pPr>
            <w:r w:rsidRPr="00F1762B">
              <w:rPr>
                <w:sz w:val="15"/>
                <w:szCs w:val="15"/>
                <w:lang w:val="en-CA"/>
              </w:rPr>
              <w:t>25 Case-control studies</w:t>
            </w:r>
          </w:p>
        </w:tc>
        <w:tc>
          <w:tcPr>
            <w:tcW w:w="447" w:type="pct"/>
            <w:shd w:val="clear" w:color="auto" w:fill="F2F2F2" w:themeFill="background1" w:themeFillShade="F2"/>
          </w:tcPr>
          <w:p w14:paraId="17B28B34" w14:textId="77777777" w:rsidR="008721DE" w:rsidRPr="00F1762B" w:rsidRDefault="008721DE" w:rsidP="00E05BB0">
            <w:pPr>
              <w:rPr>
                <w:sz w:val="15"/>
                <w:szCs w:val="15"/>
                <w:lang w:val="en-CA"/>
              </w:rPr>
            </w:pPr>
          </w:p>
        </w:tc>
        <w:tc>
          <w:tcPr>
            <w:tcW w:w="491" w:type="pct"/>
            <w:shd w:val="clear" w:color="auto" w:fill="F2F2F2" w:themeFill="background1" w:themeFillShade="F2"/>
          </w:tcPr>
          <w:p w14:paraId="37931618" w14:textId="77777777" w:rsidR="008721DE" w:rsidRPr="00F1762B" w:rsidRDefault="008721DE" w:rsidP="00E05BB0">
            <w:pPr>
              <w:rPr>
                <w:sz w:val="15"/>
                <w:szCs w:val="15"/>
                <w:lang w:val="en-CA"/>
              </w:rPr>
            </w:pPr>
          </w:p>
        </w:tc>
        <w:tc>
          <w:tcPr>
            <w:tcW w:w="620" w:type="pct"/>
            <w:shd w:val="clear" w:color="auto" w:fill="F2F2F2" w:themeFill="background1" w:themeFillShade="F2"/>
          </w:tcPr>
          <w:p w14:paraId="20C36625" w14:textId="77777777" w:rsidR="008721DE" w:rsidRPr="00F1762B" w:rsidRDefault="008721DE" w:rsidP="00E05BB0">
            <w:pPr>
              <w:rPr>
                <w:sz w:val="15"/>
                <w:szCs w:val="15"/>
                <w:lang w:val="en-CA"/>
              </w:rPr>
            </w:pPr>
          </w:p>
        </w:tc>
        <w:tc>
          <w:tcPr>
            <w:tcW w:w="620" w:type="pct"/>
            <w:shd w:val="clear" w:color="auto" w:fill="F2F2F2" w:themeFill="background1" w:themeFillShade="F2"/>
          </w:tcPr>
          <w:p w14:paraId="0332619A" w14:textId="77777777" w:rsidR="008721DE" w:rsidRPr="00F1762B" w:rsidRDefault="008721DE" w:rsidP="00E05BB0">
            <w:pPr>
              <w:rPr>
                <w:sz w:val="15"/>
                <w:szCs w:val="15"/>
                <w:lang w:val="en-CA"/>
              </w:rPr>
            </w:pPr>
          </w:p>
        </w:tc>
        <w:tc>
          <w:tcPr>
            <w:tcW w:w="537" w:type="pct"/>
            <w:shd w:val="clear" w:color="auto" w:fill="F2F2F2" w:themeFill="background1" w:themeFillShade="F2"/>
          </w:tcPr>
          <w:p w14:paraId="3ED70159" w14:textId="77777777" w:rsidR="008721DE" w:rsidRPr="00F1762B" w:rsidRDefault="008721DE" w:rsidP="00E05BB0">
            <w:pPr>
              <w:rPr>
                <w:sz w:val="15"/>
                <w:szCs w:val="15"/>
                <w:lang w:val="en-CA"/>
              </w:rPr>
            </w:pPr>
          </w:p>
        </w:tc>
        <w:tc>
          <w:tcPr>
            <w:tcW w:w="471" w:type="pct"/>
            <w:shd w:val="clear" w:color="auto" w:fill="F2F2F2" w:themeFill="background1" w:themeFillShade="F2"/>
          </w:tcPr>
          <w:p w14:paraId="595B9A36" w14:textId="77777777" w:rsidR="008721DE" w:rsidRPr="00F1762B" w:rsidRDefault="008721DE" w:rsidP="00E05BB0">
            <w:pPr>
              <w:rPr>
                <w:sz w:val="15"/>
                <w:szCs w:val="15"/>
                <w:lang w:val="en-CA"/>
              </w:rPr>
            </w:pPr>
          </w:p>
        </w:tc>
        <w:tc>
          <w:tcPr>
            <w:tcW w:w="785" w:type="pct"/>
            <w:shd w:val="clear" w:color="auto" w:fill="F2F2F2" w:themeFill="background1" w:themeFillShade="F2"/>
          </w:tcPr>
          <w:p w14:paraId="2A37E328" w14:textId="77777777" w:rsidR="008721DE" w:rsidRPr="00F1762B" w:rsidRDefault="008721DE" w:rsidP="00E05BB0">
            <w:pPr>
              <w:rPr>
                <w:sz w:val="15"/>
                <w:szCs w:val="15"/>
                <w:lang w:val="en-CA"/>
              </w:rPr>
            </w:pPr>
          </w:p>
        </w:tc>
        <w:tc>
          <w:tcPr>
            <w:tcW w:w="307" w:type="pct"/>
            <w:shd w:val="clear" w:color="auto" w:fill="F2F2F2" w:themeFill="background1" w:themeFillShade="F2"/>
          </w:tcPr>
          <w:p w14:paraId="3D1251B2" w14:textId="77777777" w:rsidR="008721DE" w:rsidRPr="00F1762B" w:rsidRDefault="008721DE" w:rsidP="00E05BB0">
            <w:pPr>
              <w:rPr>
                <w:sz w:val="15"/>
                <w:szCs w:val="15"/>
                <w:lang w:val="en-CA"/>
              </w:rPr>
            </w:pPr>
          </w:p>
        </w:tc>
        <w:tc>
          <w:tcPr>
            <w:tcW w:w="204" w:type="pct"/>
            <w:shd w:val="clear" w:color="auto" w:fill="F2F2F2" w:themeFill="background1" w:themeFillShade="F2"/>
          </w:tcPr>
          <w:p w14:paraId="172D88E3" w14:textId="77777777" w:rsidR="008721DE" w:rsidRPr="00F1762B" w:rsidRDefault="008721DE" w:rsidP="00E05BB0">
            <w:pPr>
              <w:rPr>
                <w:sz w:val="15"/>
                <w:szCs w:val="15"/>
                <w:lang w:val="en-CA"/>
              </w:rPr>
            </w:pPr>
          </w:p>
        </w:tc>
      </w:tr>
      <w:tr w:rsidR="00B7487B" w:rsidRPr="00F1762B" w14:paraId="78C28531" w14:textId="48E92B1B" w:rsidTr="00F1762B">
        <w:tc>
          <w:tcPr>
            <w:tcW w:w="517" w:type="pct"/>
          </w:tcPr>
          <w:p w14:paraId="48F0655A" w14:textId="78224A00" w:rsidR="003C6C25" w:rsidRPr="00F1762B" w:rsidRDefault="003C6C25" w:rsidP="00E05BB0">
            <w:pPr>
              <w:rPr>
                <w:sz w:val="15"/>
                <w:szCs w:val="15"/>
                <w:lang w:val="en-CA"/>
              </w:rPr>
            </w:pPr>
            <w:r w:rsidRPr="00F1762B">
              <w:rPr>
                <w:rFonts w:ascii="Calibri" w:hAnsi="Calibri"/>
                <w:sz w:val="15"/>
                <w:szCs w:val="15"/>
              </w:rPr>
              <w:t>Bodmer 2012a</w:t>
            </w:r>
          </w:p>
        </w:tc>
        <w:tc>
          <w:tcPr>
            <w:tcW w:w="447" w:type="pct"/>
          </w:tcPr>
          <w:p w14:paraId="496D079C" w14:textId="2876683E" w:rsidR="003C6C25" w:rsidRPr="00F1762B" w:rsidRDefault="003C6C25" w:rsidP="00E05BB0">
            <w:pPr>
              <w:rPr>
                <w:sz w:val="15"/>
                <w:szCs w:val="15"/>
                <w:lang w:val="en-CA"/>
              </w:rPr>
            </w:pPr>
            <w:r w:rsidRPr="00F1762B">
              <w:rPr>
                <w:rFonts w:ascii="Calibri" w:hAnsi="Calibri"/>
                <w:sz w:val="15"/>
                <w:szCs w:val="15"/>
              </w:rPr>
              <w:t>United Kingdom; population-based</w:t>
            </w:r>
          </w:p>
        </w:tc>
        <w:tc>
          <w:tcPr>
            <w:tcW w:w="491" w:type="pct"/>
          </w:tcPr>
          <w:p w14:paraId="76C9C44F" w14:textId="6E8A136D" w:rsidR="003C6C25" w:rsidRPr="00F1762B" w:rsidRDefault="003C6C25" w:rsidP="00E05BB0">
            <w:pPr>
              <w:rPr>
                <w:sz w:val="15"/>
                <w:szCs w:val="15"/>
                <w:lang w:val="en-CA"/>
              </w:rPr>
            </w:pPr>
            <w:r w:rsidRPr="00F1762B">
              <w:rPr>
                <w:rFonts w:ascii="Calibri" w:hAnsi="Calibri"/>
                <w:sz w:val="15"/>
                <w:szCs w:val="15"/>
              </w:rPr>
              <w:t>1995 to 2009; NA</w:t>
            </w:r>
          </w:p>
        </w:tc>
        <w:tc>
          <w:tcPr>
            <w:tcW w:w="620" w:type="pct"/>
          </w:tcPr>
          <w:p w14:paraId="357D0655" w14:textId="309E8C9E" w:rsidR="003C6C25" w:rsidRPr="00F1762B" w:rsidRDefault="003C6C25" w:rsidP="00E05BB0">
            <w:pPr>
              <w:rPr>
                <w:sz w:val="15"/>
                <w:szCs w:val="15"/>
                <w:lang w:val="en-CA"/>
              </w:rPr>
            </w:pPr>
            <w:r w:rsidRPr="00F1762B">
              <w:rPr>
                <w:rFonts w:ascii="Calibri" w:hAnsi="Calibri"/>
                <w:sz w:val="15"/>
                <w:szCs w:val="15"/>
              </w:rPr>
              <w:t>&lt;90; 69.5 (11.0)</w:t>
            </w:r>
          </w:p>
        </w:tc>
        <w:tc>
          <w:tcPr>
            <w:tcW w:w="620" w:type="pct"/>
          </w:tcPr>
          <w:p w14:paraId="1868B9A2" w14:textId="1F5F8D18" w:rsidR="003C6C25" w:rsidRPr="00F1762B" w:rsidRDefault="003C6C25" w:rsidP="00E05BB0">
            <w:pPr>
              <w:rPr>
                <w:sz w:val="15"/>
                <w:szCs w:val="15"/>
                <w:lang w:val="en-CA"/>
              </w:rPr>
            </w:pPr>
            <w:r w:rsidRPr="00F1762B">
              <w:rPr>
                <w:sz w:val="15"/>
                <w:szCs w:val="15"/>
                <w:lang w:val="en-CA"/>
              </w:rPr>
              <w:t>46.2</w:t>
            </w:r>
          </w:p>
        </w:tc>
        <w:tc>
          <w:tcPr>
            <w:tcW w:w="537" w:type="pct"/>
          </w:tcPr>
          <w:p w14:paraId="684DC30D" w14:textId="3EE6C456" w:rsidR="003C6C25" w:rsidRPr="00F1762B" w:rsidRDefault="003C6C25" w:rsidP="00E05BB0">
            <w:pPr>
              <w:rPr>
                <w:sz w:val="15"/>
                <w:szCs w:val="15"/>
                <w:lang w:val="en-CA"/>
              </w:rPr>
            </w:pPr>
            <w:r w:rsidRPr="00F1762B">
              <w:rPr>
                <w:sz w:val="15"/>
                <w:szCs w:val="15"/>
                <w:lang w:val="en-CA"/>
              </w:rPr>
              <w:t>Class 1, metformin vs no prior use of metformin;</w:t>
            </w:r>
          </w:p>
          <w:p w14:paraId="71926626" w14:textId="77777777" w:rsidR="003C6C25" w:rsidRPr="00F1762B" w:rsidRDefault="003C6C25" w:rsidP="00E05BB0">
            <w:pPr>
              <w:rPr>
                <w:sz w:val="15"/>
                <w:szCs w:val="15"/>
                <w:lang w:val="en-CA"/>
              </w:rPr>
            </w:pPr>
          </w:p>
          <w:p w14:paraId="2004EF5F" w14:textId="3253CDBA" w:rsidR="003C6C25" w:rsidRPr="00F1762B" w:rsidRDefault="003C6C25" w:rsidP="00E05BB0">
            <w:pPr>
              <w:rPr>
                <w:sz w:val="15"/>
                <w:szCs w:val="15"/>
                <w:lang w:val="en-CA"/>
              </w:rPr>
            </w:pPr>
            <w:r w:rsidRPr="00F1762B">
              <w:rPr>
                <w:sz w:val="15"/>
                <w:szCs w:val="15"/>
                <w:lang w:val="en-CA"/>
              </w:rPr>
              <w:t>Class 4,</w:t>
            </w:r>
          </w:p>
          <w:p w14:paraId="13C19D64" w14:textId="5EF634F2" w:rsidR="003C6C25" w:rsidRPr="00F1762B" w:rsidRDefault="003C6C25" w:rsidP="00E05BB0">
            <w:pPr>
              <w:rPr>
                <w:sz w:val="15"/>
                <w:szCs w:val="15"/>
              </w:rPr>
            </w:pPr>
            <w:r w:rsidRPr="00F1762B">
              <w:rPr>
                <w:sz w:val="15"/>
                <w:szCs w:val="15"/>
              </w:rPr>
              <w:t>sulfonylureas vs no prior use of sulfonylureas;</w:t>
            </w:r>
          </w:p>
          <w:p w14:paraId="2B297A15" w14:textId="77777777" w:rsidR="003C6C25" w:rsidRPr="00F1762B" w:rsidRDefault="003C6C25" w:rsidP="00E05BB0">
            <w:pPr>
              <w:rPr>
                <w:sz w:val="15"/>
                <w:szCs w:val="15"/>
              </w:rPr>
            </w:pPr>
          </w:p>
          <w:p w14:paraId="04A62BA9" w14:textId="2434B3EF" w:rsidR="003C6C25" w:rsidRPr="00F1762B" w:rsidRDefault="003C6C25" w:rsidP="00E05BB0">
            <w:pPr>
              <w:rPr>
                <w:sz w:val="15"/>
                <w:szCs w:val="15"/>
              </w:rPr>
            </w:pPr>
            <w:r w:rsidRPr="00F1762B">
              <w:rPr>
                <w:sz w:val="15"/>
                <w:szCs w:val="15"/>
              </w:rPr>
              <w:t>Class 6, insulin vs no prior use of insulin</w:t>
            </w:r>
          </w:p>
        </w:tc>
        <w:tc>
          <w:tcPr>
            <w:tcW w:w="471" w:type="pct"/>
          </w:tcPr>
          <w:p w14:paraId="75E5A185" w14:textId="50518695" w:rsidR="003C6C25" w:rsidRPr="00F1762B" w:rsidRDefault="002427B6" w:rsidP="00E05BB0">
            <w:pPr>
              <w:rPr>
                <w:sz w:val="15"/>
                <w:szCs w:val="15"/>
                <w:lang w:val="en-CA"/>
              </w:rPr>
            </w:pPr>
            <w:r w:rsidRPr="00F1762B">
              <w:rPr>
                <w:sz w:val="15"/>
                <w:szCs w:val="15"/>
                <w:lang w:val="en-CA"/>
              </w:rPr>
              <w:t>Pancreatic cancer</w:t>
            </w:r>
          </w:p>
        </w:tc>
        <w:tc>
          <w:tcPr>
            <w:tcW w:w="785" w:type="pct"/>
          </w:tcPr>
          <w:p w14:paraId="79216850" w14:textId="77EF31C0" w:rsidR="003C6C25" w:rsidRPr="00F1762B" w:rsidRDefault="003C6C25" w:rsidP="00E05BB0">
            <w:pPr>
              <w:rPr>
                <w:sz w:val="15"/>
                <w:szCs w:val="15"/>
                <w:lang w:val="en-CA"/>
              </w:rPr>
            </w:pPr>
            <w:r w:rsidRPr="00F1762B">
              <w:rPr>
                <w:sz w:val="15"/>
                <w:szCs w:val="15"/>
                <w:lang w:val="en-CA"/>
              </w:rPr>
              <w:t>Matched on age, sex, calendar time, general practice, and number of years of active history in the GPRD before the index date;</w:t>
            </w:r>
          </w:p>
          <w:p w14:paraId="11ABB8C1" w14:textId="77777777" w:rsidR="003C6C25" w:rsidRPr="00F1762B" w:rsidRDefault="003C6C25" w:rsidP="00E05BB0">
            <w:pPr>
              <w:rPr>
                <w:sz w:val="15"/>
                <w:szCs w:val="15"/>
                <w:lang w:val="en-CA"/>
              </w:rPr>
            </w:pPr>
          </w:p>
          <w:p w14:paraId="05727530" w14:textId="6CDFAE30" w:rsidR="003C6C25" w:rsidRPr="00F1762B" w:rsidRDefault="003C6C25" w:rsidP="00E05BB0">
            <w:pPr>
              <w:rPr>
                <w:sz w:val="15"/>
                <w:szCs w:val="15"/>
                <w:lang w:val="en-CA"/>
              </w:rPr>
            </w:pPr>
            <w:r w:rsidRPr="00F1762B">
              <w:rPr>
                <w:sz w:val="15"/>
                <w:szCs w:val="15"/>
                <w:lang w:val="en-CA"/>
              </w:rPr>
              <w:t xml:space="preserve">Adjusted for sulfonylureas, insulin, </w:t>
            </w:r>
            <w:r w:rsidR="00B35CC0">
              <w:rPr>
                <w:sz w:val="15"/>
                <w:szCs w:val="15"/>
                <w:lang w:val="en-CA"/>
              </w:rPr>
              <w:t>body mass index</w:t>
            </w:r>
            <w:r w:rsidRPr="00F1762B">
              <w:rPr>
                <w:sz w:val="15"/>
                <w:szCs w:val="15"/>
                <w:lang w:val="en-CA"/>
              </w:rPr>
              <w:t>, smoking, alcohol consumption, and diabetes duration</w:t>
            </w:r>
          </w:p>
        </w:tc>
        <w:tc>
          <w:tcPr>
            <w:tcW w:w="307" w:type="pct"/>
          </w:tcPr>
          <w:p w14:paraId="13066E4F" w14:textId="7ED934D1" w:rsidR="003C6C25" w:rsidRPr="00F1762B" w:rsidRDefault="003C6C25" w:rsidP="00E05BB0">
            <w:pPr>
              <w:rPr>
                <w:sz w:val="15"/>
                <w:szCs w:val="15"/>
                <w:lang w:val="en-CA"/>
              </w:rPr>
            </w:pPr>
            <w:r w:rsidRPr="00F1762B">
              <w:rPr>
                <w:rFonts w:ascii="Calibri" w:hAnsi="Calibri"/>
                <w:sz w:val="15"/>
                <w:szCs w:val="15"/>
              </w:rPr>
              <w:t>Low</w:t>
            </w:r>
          </w:p>
        </w:tc>
        <w:tc>
          <w:tcPr>
            <w:tcW w:w="204" w:type="pct"/>
          </w:tcPr>
          <w:p w14:paraId="34277EF4" w14:textId="340379CB" w:rsidR="003C6C25" w:rsidRPr="00F1762B" w:rsidRDefault="003C6C25" w:rsidP="00E05BB0">
            <w:pPr>
              <w:rPr>
                <w:rFonts w:ascii="Calibri" w:hAnsi="Calibri"/>
                <w:sz w:val="15"/>
                <w:szCs w:val="15"/>
              </w:rPr>
            </w:pPr>
            <w:r w:rsidRPr="00F1762B">
              <w:rPr>
                <w:rFonts w:ascii="Calibri" w:hAnsi="Calibri"/>
                <w:sz w:val="15"/>
                <w:szCs w:val="15"/>
              </w:rPr>
              <w:t>8</w:t>
            </w:r>
          </w:p>
        </w:tc>
      </w:tr>
      <w:tr w:rsidR="00B7487B" w:rsidRPr="00F1762B" w14:paraId="493216CE" w14:textId="6A3E2FCE" w:rsidTr="00F1762B">
        <w:tc>
          <w:tcPr>
            <w:tcW w:w="517" w:type="pct"/>
          </w:tcPr>
          <w:p w14:paraId="7F4B3F5B" w14:textId="36085A77" w:rsidR="003C6C25" w:rsidRPr="00F1762B" w:rsidRDefault="003C6C25" w:rsidP="00E05BB0">
            <w:pPr>
              <w:rPr>
                <w:sz w:val="15"/>
                <w:szCs w:val="15"/>
                <w:lang w:val="en-CA"/>
              </w:rPr>
            </w:pPr>
            <w:r w:rsidRPr="00F1762B">
              <w:rPr>
                <w:rFonts w:ascii="Calibri" w:hAnsi="Calibri"/>
                <w:sz w:val="15"/>
                <w:szCs w:val="15"/>
              </w:rPr>
              <w:t>Bodmer 2011</w:t>
            </w:r>
          </w:p>
        </w:tc>
        <w:tc>
          <w:tcPr>
            <w:tcW w:w="447" w:type="pct"/>
          </w:tcPr>
          <w:p w14:paraId="04CA8FC8" w14:textId="624F9646" w:rsidR="003C6C25" w:rsidRPr="00F1762B" w:rsidRDefault="003C6C25" w:rsidP="00E05BB0">
            <w:pPr>
              <w:rPr>
                <w:sz w:val="15"/>
                <w:szCs w:val="15"/>
                <w:lang w:val="en-CA"/>
              </w:rPr>
            </w:pPr>
            <w:r w:rsidRPr="00F1762B">
              <w:rPr>
                <w:rFonts w:ascii="Calibri" w:hAnsi="Calibri"/>
                <w:sz w:val="15"/>
                <w:szCs w:val="15"/>
              </w:rPr>
              <w:t>United Kingdom; population-based</w:t>
            </w:r>
          </w:p>
        </w:tc>
        <w:tc>
          <w:tcPr>
            <w:tcW w:w="491" w:type="pct"/>
          </w:tcPr>
          <w:p w14:paraId="69FA99BC" w14:textId="4D9AB411" w:rsidR="003C6C25" w:rsidRPr="00F1762B" w:rsidRDefault="003C6C25" w:rsidP="00E05BB0">
            <w:pPr>
              <w:rPr>
                <w:sz w:val="15"/>
                <w:szCs w:val="15"/>
                <w:lang w:val="en-CA"/>
              </w:rPr>
            </w:pPr>
            <w:r w:rsidRPr="00F1762B">
              <w:rPr>
                <w:rFonts w:ascii="Calibri" w:hAnsi="Calibri"/>
                <w:sz w:val="15"/>
                <w:szCs w:val="15"/>
              </w:rPr>
              <w:t>1995 to 2009; NA</w:t>
            </w:r>
          </w:p>
        </w:tc>
        <w:tc>
          <w:tcPr>
            <w:tcW w:w="620" w:type="pct"/>
          </w:tcPr>
          <w:p w14:paraId="4DE8B656" w14:textId="0E7F8C64" w:rsidR="003C6C25" w:rsidRPr="00F1762B" w:rsidRDefault="003C6C25" w:rsidP="00E05BB0">
            <w:pPr>
              <w:rPr>
                <w:sz w:val="15"/>
                <w:szCs w:val="15"/>
                <w:lang w:val="en-CA"/>
              </w:rPr>
            </w:pPr>
            <w:r w:rsidRPr="00F1762B">
              <w:rPr>
                <w:rFonts w:ascii="Calibri" w:hAnsi="Calibri"/>
                <w:sz w:val="15"/>
                <w:szCs w:val="15"/>
              </w:rPr>
              <w:t>NA; 70.2 (8.6)</w:t>
            </w:r>
          </w:p>
        </w:tc>
        <w:tc>
          <w:tcPr>
            <w:tcW w:w="620" w:type="pct"/>
          </w:tcPr>
          <w:p w14:paraId="73A7D070" w14:textId="558C42D4" w:rsidR="003C6C25" w:rsidRPr="00F1762B" w:rsidRDefault="003C6C25" w:rsidP="00E05BB0">
            <w:pPr>
              <w:rPr>
                <w:sz w:val="15"/>
                <w:szCs w:val="15"/>
                <w:lang w:val="en-CA"/>
              </w:rPr>
            </w:pPr>
            <w:r w:rsidRPr="00F1762B">
              <w:rPr>
                <w:sz w:val="15"/>
                <w:szCs w:val="15"/>
                <w:lang w:val="en-CA"/>
              </w:rPr>
              <w:t>63.3</w:t>
            </w:r>
          </w:p>
        </w:tc>
        <w:tc>
          <w:tcPr>
            <w:tcW w:w="537" w:type="pct"/>
          </w:tcPr>
          <w:p w14:paraId="78E87EDC" w14:textId="77777777" w:rsidR="003C6C25" w:rsidRPr="00F1762B" w:rsidRDefault="003C6C25" w:rsidP="00E05BB0">
            <w:pPr>
              <w:rPr>
                <w:sz w:val="15"/>
                <w:szCs w:val="15"/>
                <w:lang w:val="en-CA"/>
              </w:rPr>
            </w:pPr>
            <w:r w:rsidRPr="00F1762B">
              <w:rPr>
                <w:sz w:val="15"/>
                <w:szCs w:val="15"/>
                <w:lang w:val="en-CA"/>
              </w:rPr>
              <w:t>Class 1, metformin vs no prior use of metformin;</w:t>
            </w:r>
          </w:p>
          <w:p w14:paraId="7C224DBA" w14:textId="77777777" w:rsidR="003C6C25" w:rsidRPr="00F1762B" w:rsidRDefault="003C6C25" w:rsidP="00E05BB0">
            <w:pPr>
              <w:rPr>
                <w:sz w:val="15"/>
                <w:szCs w:val="15"/>
                <w:lang w:val="en-CA"/>
              </w:rPr>
            </w:pPr>
          </w:p>
          <w:p w14:paraId="32AA5F18" w14:textId="540825AC" w:rsidR="003C6C25" w:rsidRPr="00F1762B" w:rsidRDefault="003C6C25" w:rsidP="00E05BB0">
            <w:pPr>
              <w:rPr>
                <w:sz w:val="15"/>
                <w:szCs w:val="15"/>
                <w:lang w:val="en-CA"/>
              </w:rPr>
            </w:pPr>
            <w:r w:rsidRPr="00F1762B">
              <w:rPr>
                <w:sz w:val="15"/>
                <w:szCs w:val="15"/>
                <w:lang w:val="en-CA"/>
              </w:rPr>
              <w:t>Class 4,</w:t>
            </w:r>
          </w:p>
          <w:p w14:paraId="4D0EF688" w14:textId="77777777" w:rsidR="003C6C25" w:rsidRPr="00F1762B" w:rsidRDefault="003C6C25" w:rsidP="00E05BB0">
            <w:pPr>
              <w:rPr>
                <w:sz w:val="15"/>
                <w:szCs w:val="15"/>
              </w:rPr>
            </w:pPr>
            <w:r w:rsidRPr="00F1762B">
              <w:rPr>
                <w:sz w:val="15"/>
                <w:szCs w:val="15"/>
              </w:rPr>
              <w:t>sulfonylureas vs no prior use of sulfonylureas;</w:t>
            </w:r>
          </w:p>
          <w:p w14:paraId="13F0940C" w14:textId="77777777" w:rsidR="003C6C25" w:rsidRPr="00F1762B" w:rsidRDefault="003C6C25" w:rsidP="00E05BB0">
            <w:pPr>
              <w:rPr>
                <w:sz w:val="15"/>
                <w:szCs w:val="15"/>
                <w:lang w:val="en-CA"/>
              </w:rPr>
            </w:pPr>
          </w:p>
          <w:p w14:paraId="07F458AB" w14:textId="13590951" w:rsidR="003C6C25" w:rsidRPr="00F1762B" w:rsidRDefault="003C6C25" w:rsidP="00E05BB0">
            <w:pPr>
              <w:rPr>
                <w:sz w:val="15"/>
                <w:szCs w:val="15"/>
                <w:lang w:val="en-CA"/>
              </w:rPr>
            </w:pPr>
            <w:r w:rsidRPr="00F1762B">
              <w:rPr>
                <w:sz w:val="15"/>
                <w:szCs w:val="15"/>
              </w:rPr>
              <w:t>Class 6, insulin vs no prior use of insulin</w:t>
            </w:r>
          </w:p>
        </w:tc>
        <w:tc>
          <w:tcPr>
            <w:tcW w:w="471" w:type="pct"/>
          </w:tcPr>
          <w:p w14:paraId="43FA54E3" w14:textId="62A4F0A5" w:rsidR="003C6C25" w:rsidRPr="00F1762B" w:rsidRDefault="002427B6" w:rsidP="00E05BB0">
            <w:pPr>
              <w:rPr>
                <w:sz w:val="15"/>
                <w:szCs w:val="15"/>
                <w:lang w:val="en-CA"/>
              </w:rPr>
            </w:pPr>
            <w:r w:rsidRPr="00F1762B">
              <w:rPr>
                <w:sz w:val="15"/>
                <w:szCs w:val="15"/>
                <w:lang w:val="en-CA"/>
              </w:rPr>
              <w:t>Colorectal cancer</w:t>
            </w:r>
          </w:p>
        </w:tc>
        <w:tc>
          <w:tcPr>
            <w:tcW w:w="785" w:type="pct"/>
          </w:tcPr>
          <w:p w14:paraId="57AB3D97" w14:textId="4D3CEDA2" w:rsidR="003C6C25" w:rsidRPr="00F1762B" w:rsidRDefault="003C6C25" w:rsidP="00E05BB0">
            <w:pPr>
              <w:rPr>
                <w:sz w:val="15"/>
                <w:szCs w:val="15"/>
                <w:lang w:val="en-CA"/>
              </w:rPr>
            </w:pPr>
            <w:r w:rsidRPr="00F1762B">
              <w:rPr>
                <w:sz w:val="15"/>
                <w:szCs w:val="15"/>
                <w:lang w:val="en-CA"/>
              </w:rPr>
              <w:t>Matched on calendar time (same index date), age (same year of birth), sex, general practice, and number of years of active history in the General Practice Research Database (GPRD) prior to the index date;</w:t>
            </w:r>
          </w:p>
          <w:p w14:paraId="5F66AF15" w14:textId="77777777" w:rsidR="003C6C25" w:rsidRPr="00F1762B" w:rsidRDefault="003C6C25" w:rsidP="00E05BB0">
            <w:pPr>
              <w:rPr>
                <w:sz w:val="15"/>
                <w:szCs w:val="15"/>
                <w:lang w:val="en-CA"/>
              </w:rPr>
            </w:pPr>
          </w:p>
          <w:p w14:paraId="75976E37" w14:textId="5C2A61CB" w:rsidR="003C6C25" w:rsidRPr="00F1762B" w:rsidRDefault="003C6C25" w:rsidP="00E05BB0">
            <w:pPr>
              <w:rPr>
                <w:sz w:val="15"/>
                <w:szCs w:val="15"/>
                <w:lang w:val="en-CA"/>
              </w:rPr>
            </w:pPr>
            <w:r w:rsidRPr="00F1762B">
              <w:rPr>
                <w:sz w:val="15"/>
                <w:szCs w:val="15"/>
                <w:lang w:val="en-CA"/>
              </w:rPr>
              <w:t xml:space="preserve">Adjusted for each other, </w:t>
            </w:r>
            <w:r w:rsidR="00B35CC0">
              <w:rPr>
                <w:sz w:val="15"/>
                <w:szCs w:val="15"/>
                <w:lang w:val="en-CA"/>
              </w:rPr>
              <w:t>body mass index</w:t>
            </w:r>
            <w:r w:rsidRPr="00F1762B">
              <w:rPr>
                <w:sz w:val="15"/>
                <w:szCs w:val="15"/>
                <w:lang w:val="en-CA"/>
              </w:rPr>
              <w:t>, smoking, diabetes duration, prior use of aspirin, NSAIDs, and statins.</w:t>
            </w:r>
          </w:p>
        </w:tc>
        <w:tc>
          <w:tcPr>
            <w:tcW w:w="307" w:type="pct"/>
          </w:tcPr>
          <w:p w14:paraId="4D6C2772" w14:textId="2BC569D0" w:rsidR="003C6C25" w:rsidRPr="00F1762B" w:rsidRDefault="003C6C25" w:rsidP="00E05BB0">
            <w:pPr>
              <w:rPr>
                <w:sz w:val="15"/>
                <w:szCs w:val="15"/>
                <w:lang w:val="en-CA"/>
              </w:rPr>
            </w:pPr>
            <w:r w:rsidRPr="00F1762B">
              <w:rPr>
                <w:rFonts w:ascii="Calibri" w:hAnsi="Calibri"/>
                <w:sz w:val="15"/>
                <w:szCs w:val="15"/>
              </w:rPr>
              <w:t>Low</w:t>
            </w:r>
          </w:p>
        </w:tc>
        <w:tc>
          <w:tcPr>
            <w:tcW w:w="204" w:type="pct"/>
          </w:tcPr>
          <w:p w14:paraId="6EBCD184" w14:textId="04643100" w:rsidR="003C6C25" w:rsidRPr="00F1762B" w:rsidRDefault="003C6C25" w:rsidP="00E05BB0">
            <w:pPr>
              <w:rPr>
                <w:rFonts w:ascii="Calibri" w:hAnsi="Calibri"/>
                <w:sz w:val="15"/>
                <w:szCs w:val="15"/>
              </w:rPr>
            </w:pPr>
            <w:r w:rsidRPr="00F1762B">
              <w:rPr>
                <w:rFonts w:ascii="Calibri" w:hAnsi="Calibri"/>
                <w:sz w:val="15"/>
                <w:szCs w:val="15"/>
              </w:rPr>
              <w:t>7</w:t>
            </w:r>
          </w:p>
        </w:tc>
      </w:tr>
      <w:tr w:rsidR="00B7487B" w:rsidRPr="00F1762B" w14:paraId="182F8211" w14:textId="5CBEB36E" w:rsidTr="00F1762B">
        <w:tc>
          <w:tcPr>
            <w:tcW w:w="517" w:type="pct"/>
          </w:tcPr>
          <w:p w14:paraId="668741D6" w14:textId="3D1F0484" w:rsidR="003C6C25" w:rsidRPr="00F1762B" w:rsidRDefault="003C6C25" w:rsidP="00E05BB0">
            <w:pPr>
              <w:rPr>
                <w:sz w:val="15"/>
                <w:szCs w:val="15"/>
                <w:lang w:val="en-CA"/>
              </w:rPr>
            </w:pPr>
            <w:r w:rsidRPr="00F1762B">
              <w:rPr>
                <w:rFonts w:ascii="Calibri" w:hAnsi="Calibri"/>
                <w:sz w:val="15"/>
                <w:szCs w:val="15"/>
              </w:rPr>
              <w:t>Chang 2012</w:t>
            </w:r>
          </w:p>
        </w:tc>
        <w:tc>
          <w:tcPr>
            <w:tcW w:w="447" w:type="pct"/>
          </w:tcPr>
          <w:p w14:paraId="6DF58C1A" w14:textId="2244EE39" w:rsidR="003C6C25" w:rsidRPr="00F1762B" w:rsidRDefault="003C6C25" w:rsidP="00E05BB0">
            <w:pPr>
              <w:rPr>
                <w:sz w:val="15"/>
                <w:szCs w:val="15"/>
                <w:lang w:val="en-CA"/>
              </w:rPr>
            </w:pPr>
            <w:r w:rsidRPr="00F1762B">
              <w:rPr>
                <w:rFonts w:ascii="Calibri" w:hAnsi="Calibri"/>
                <w:sz w:val="15"/>
                <w:szCs w:val="15"/>
              </w:rPr>
              <w:t>Taiwan; population-based</w:t>
            </w:r>
          </w:p>
        </w:tc>
        <w:tc>
          <w:tcPr>
            <w:tcW w:w="491" w:type="pct"/>
          </w:tcPr>
          <w:p w14:paraId="000CA7BA" w14:textId="419BD9A7" w:rsidR="003C6C25" w:rsidRPr="00F1762B" w:rsidRDefault="003C6C25" w:rsidP="00E05BB0">
            <w:pPr>
              <w:rPr>
                <w:sz w:val="15"/>
                <w:szCs w:val="15"/>
                <w:lang w:val="en-CA"/>
              </w:rPr>
            </w:pPr>
            <w:r w:rsidRPr="00F1762B">
              <w:rPr>
                <w:rFonts w:ascii="Calibri" w:hAnsi="Calibri"/>
                <w:sz w:val="15"/>
                <w:szCs w:val="15"/>
              </w:rPr>
              <w:t>2000 to 2007; median 7.9</w:t>
            </w:r>
          </w:p>
        </w:tc>
        <w:tc>
          <w:tcPr>
            <w:tcW w:w="620" w:type="pct"/>
          </w:tcPr>
          <w:p w14:paraId="008B3BCD" w14:textId="05B7DB4F" w:rsidR="003C6C25" w:rsidRPr="00F1762B" w:rsidRDefault="003C6C25" w:rsidP="00E05BB0">
            <w:pPr>
              <w:rPr>
                <w:sz w:val="15"/>
                <w:szCs w:val="15"/>
                <w:lang w:val="en-CA"/>
              </w:rPr>
            </w:pPr>
            <w:r w:rsidRPr="00F1762B">
              <w:rPr>
                <w:rFonts w:ascii="Calibri" w:hAnsi="Calibri"/>
                <w:sz w:val="15"/>
                <w:szCs w:val="15"/>
              </w:rPr>
              <w:t>30 to 100; 67.0 (10.0)</w:t>
            </w:r>
          </w:p>
        </w:tc>
        <w:tc>
          <w:tcPr>
            <w:tcW w:w="620" w:type="pct"/>
          </w:tcPr>
          <w:p w14:paraId="7881E7E9" w14:textId="4A2DEFB6" w:rsidR="003C6C25" w:rsidRPr="00F1762B" w:rsidRDefault="003C6C25" w:rsidP="00E05BB0">
            <w:pPr>
              <w:rPr>
                <w:sz w:val="15"/>
                <w:szCs w:val="15"/>
                <w:lang w:val="en-CA"/>
              </w:rPr>
            </w:pPr>
            <w:r w:rsidRPr="00F1762B">
              <w:rPr>
                <w:sz w:val="15"/>
                <w:szCs w:val="15"/>
                <w:lang w:val="en-CA"/>
              </w:rPr>
              <w:t>64.0</w:t>
            </w:r>
          </w:p>
        </w:tc>
        <w:tc>
          <w:tcPr>
            <w:tcW w:w="537" w:type="pct"/>
          </w:tcPr>
          <w:p w14:paraId="60CB7984" w14:textId="579A0DCD" w:rsidR="003C6C25" w:rsidRPr="00F1762B" w:rsidRDefault="003C6C25" w:rsidP="00E05BB0">
            <w:pPr>
              <w:rPr>
                <w:sz w:val="15"/>
                <w:szCs w:val="15"/>
                <w:lang w:val="en-CA"/>
              </w:rPr>
            </w:pPr>
            <w:r w:rsidRPr="00F1762B">
              <w:rPr>
                <w:sz w:val="15"/>
                <w:szCs w:val="15"/>
                <w:lang w:val="en-CA"/>
              </w:rPr>
              <w:t>Class 5,</w:t>
            </w:r>
          </w:p>
          <w:p w14:paraId="3847D876" w14:textId="7D9B0C05" w:rsidR="003C6C25" w:rsidRPr="00F1762B" w:rsidRDefault="003C6C25" w:rsidP="00E05BB0">
            <w:pPr>
              <w:rPr>
                <w:sz w:val="15"/>
                <w:szCs w:val="15"/>
              </w:rPr>
            </w:pPr>
            <w:r w:rsidRPr="00F1762B">
              <w:rPr>
                <w:sz w:val="15"/>
                <w:szCs w:val="15"/>
              </w:rPr>
              <w:t xml:space="preserve">pioglitazone and rosiglitazone vs no </w:t>
            </w:r>
            <w:r w:rsidRPr="00F1762B">
              <w:rPr>
                <w:sz w:val="15"/>
                <w:szCs w:val="15"/>
              </w:rPr>
              <w:lastRenderedPageBreak/>
              <w:t>use of thiazolidinediones</w:t>
            </w:r>
          </w:p>
          <w:p w14:paraId="2AAAC53C" w14:textId="724BCB84" w:rsidR="003C6C25" w:rsidRPr="00F1762B" w:rsidRDefault="003C6C25" w:rsidP="00E05BB0">
            <w:pPr>
              <w:rPr>
                <w:sz w:val="15"/>
                <w:szCs w:val="15"/>
                <w:lang w:val="en-CA"/>
              </w:rPr>
            </w:pPr>
          </w:p>
        </w:tc>
        <w:tc>
          <w:tcPr>
            <w:tcW w:w="471" w:type="pct"/>
          </w:tcPr>
          <w:p w14:paraId="745D4677" w14:textId="6CB0E712" w:rsidR="003C6C25" w:rsidRPr="00F1762B" w:rsidRDefault="002427B6" w:rsidP="00E05BB0">
            <w:pPr>
              <w:rPr>
                <w:sz w:val="15"/>
                <w:szCs w:val="15"/>
                <w:lang w:val="en-CA"/>
              </w:rPr>
            </w:pPr>
            <w:r w:rsidRPr="00F1762B">
              <w:rPr>
                <w:sz w:val="15"/>
                <w:szCs w:val="15"/>
                <w:lang w:val="en-CA"/>
              </w:rPr>
              <w:lastRenderedPageBreak/>
              <w:t>Lung, colorectal, and liver cancers</w:t>
            </w:r>
          </w:p>
        </w:tc>
        <w:tc>
          <w:tcPr>
            <w:tcW w:w="785" w:type="pct"/>
          </w:tcPr>
          <w:p w14:paraId="69F691C7" w14:textId="4C1054E7" w:rsidR="003C6C25" w:rsidRPr="00F1762B" w:rsidRDefault="003C6C25" w:rsidP="00E05BB0">
            <w:pPr>
              <w:rPr>
                <w:sz w:val="15"/>
                <w:szCs w:val="15"/>
              </w:rPr>
            </w:pPr>
            <w:r w:rsidRPr="00F1762B">
              <w:rPr>
                <w:sz w:val="15"/>
                <w:szCs w:val="15"/>
              </w:rPr>
              <w:t>Matched on age (within 5 years), sex, and the number of days of follow-up;</w:t>
            </w:r>
          </w:p>
          <w:p w14:paraId="3AFB70CC" w14:textId="77777777" w:rsidR="003C6C25" w:rsidRPr="00F1762B" w:rsidRDefault="003C6C25" w:rsidP="00E05BB0">
            <w:pPr>
              <w:rPr>
                <w:sz w:val="15"/>
                <w:szCs w:val="15"/>
              </w:rPr>
            </w:pPr>
          </w:p>
          <w:p w14:paraId="396541DC" w14:textId="5733494A" w:rsidR="003C6C25" w:rsidRPr="00F1762B" w:rsidRDefault="003C6C25" w:rsidP="00E05BB0">
            <w:pPr>
              <w:rPr>
                <w:sz w:val="15"/>
                <w:szCs w:val="15"/>
              </w:rPr>
            </w:pPr>
            <w:r w:rsidRPr="00F1762B">
              <w:rPr>
                <w:sz w:val="15"/>
                <w:szCs w:val="15"/>
              </w:rPr>
              <w:t>Adjusted for pioglitazone, rosiglitazone, short-acting human insulin, metformin (mean daily dosage in quartiles), sulfonylurea (mean daily dosage in quartiles), number of oral anti-diabetic agents, chronic lung disease, glinides, retinopathy, calcium channel blockers, chronic kidney disease, statins, angiotensin receptor blockers, chronic liver disease, alpha-glucosidase inhibitors</w:t>
            </w:r>
          </w:p>
        </w:tc>
        <w:tc>
          <w:tcPr>
            <w:tcW w:w="307" w:type="pct"/>
          </w:tcPr>
          <w:p w14:paraId="7C9C6DDC" w14:textId="4EA38959" w:rsidR="003C6C25" w:rsidRPr="00F1762B" w:rsidRDefault="003C6C25" w:rsidP="00E05BB0">
            <w:pPr>
              <w:rPr>
                <w:sz w:val="15"/>
                <w:szCs w:val="15"/>
                <w:lang w:val="en-CA"/>
              </w:rPr>
            </w:pPr>
            <w:r w:rsidRPr="00F1762B">
              <w:rPr>
                <w:rFonts w:ascii="Calibri" w:hAnsi="Calibri"/>
                <w:sz w:val="15"/>
                <w:szCs w:val="15"/>
              </w:rPr>
              <w:lastRenderedPageBreak/>
              <w:t>Low</w:t>
            </w:r>
          </w:p>
        </w:tc>
        <w:tc>
          <w:tcPr>
            <w:tcW w:w="204" w:type="pct"/>
          </w:tcPr>
          <w:p w14:paraId="1AF6742E" w14:textId="12B86EB9" w:rsidR="003C6C25" w:rsidRPr="00F1762B" w:rsidRDefault="003C6C25" w:rsidP="00E05BB0">
            <w:pPr>
              <w:rPr>
                <w:rFonts w:ascii="Calibri" w:hAnsi="Calibri"/>
                <w:sz w:val="15"/>
                <w:szCs w:val="15"/>
              </w:rPr>
            </w:pPr>
            <w:r w:rsidRPr="00F1762B">
              <w:rPr>
                <w:rFonts w:ascii="Calibri" w:hAnsi="Calibri"/>
                <w:sz w:val="15"/>
                <w:szCs w:val="15"/>
              </w:rPr>
              <w:t>7</w:t>
            </w:r>
          </w:p>
        </w:tc>
      </w:tr>
      <w:tr w:rsidR="00B7487B" w:rsidRPr="00F1762B" w14:paraId="6C1B0FA5" w14:textId="7BD3CDCB" w:rsidTr="00F1762B">
        <w:tc>
          <w:tcPr>
            <w:tcW w:w="517" w:type="pct"/>
          </w:tcPr>
          <w:p w14:paraId="4A7791D0" w14:textId="2F0B8978" w:rsidR="003C6C25" w:rsidRPr="00F1762B" w:rsidRDefault="003C6C25" w:rsidP="00E05BB0">
            <w:pPr>
              <w:rPr>
                <w:sz w:val="15"/>
                <w:szCs w:val="15"/>
                <w:lang w:val="en-CA"/>
              </w:rPr>
            </w:pPr>
            <w:r w:rsidRPr="00F1762B">
              <w:rPr>
                <w:rFonts w:ascii="Calibri" w:hAnsi="Calibri"/>
                <w:sz w:val="15"/>
                <w:szCs w:val="15"/>
              </w:rPr>
              <w:t>Azoulay 2011</w:t>
            </w:r>
          </w:p>
        </w:tc>
        <w:tc>
          <w:tcPr>
            <w:tcW w:w="447" w:type="pct"/>
          </w:tcPr>
          <w:p w14:paraId="6821B41F" w14:textId="4973BEAC" w:rsidR="003C6C25" w:rsidRPr="00F1762B" w:rsidRDefault="003C6C25" w:rsidP="00E05BB0">
            <w:pPr>
              <w:rPr>
                <w:sz w:val="15"/>
                <w:szCs w:val="15"/>
                <w:lang w:val="en-CA"/>
              </w:rPr>
            </w:pPr>
            <w:r w:rsidRPr="00F1762B">
              <w:rPr>
                <w:rFonts w:ascii="Calibri" w:hAnsi="Calibri"/>
                <w:sz w:val="15"/>
                <w:szCs w:val="15"/>
              </w:rPr>
              <w:t>United Kingdom; population-based</w:t>
            </w:r>
          </w:p>
        </w:tc>
        <w:tc>
          <w:tcPr>
            <w:tcW w:w="491" w:type="pct"/>
          </w:tcPr>
          <w:p w14:paraId="7008081D" w14:textId="3BFB0E83" w:rsidR="003C6C25" w:rsidRPr="00F1762B" w:rsidRDefault="003C6C25" w:rsidP="00E05BB0">
            <w:pPr>
              <w:rPr>
                <w:sz w:val="15"/>
                <w:szCs w:val="15"/>
                <w:lang w:val="en-CA"/>
              </w:rPr>
            </w:pPr>
            <w:r w:rsidRPr="00F1762B">
              <w:rPr>
                <w:rFonts w:ascii="Calibri" w:hAnsi="Calibri"/>
                <w:sz w:val="15"/>
                <w:szCs w:val="15"/>
              </w:rPr>
              <w:t>1988 to 2009; median 3.7</w:t>
            </w:r>
          </w:p>
        </w:tc>
        <w:tc>
          <w:tcPr>
            <w:tcW w:w="620" w:type="pct"/>
          </w:tcPr>
          <w:p w14:paraId="7F2C2E3A" w14:textId="366AAE98" w:rsidR="003C6C25" w:rsidRPr="00F1762B" w:rsidRDefault="003C6C25" w:rsidP="00E05BB0">
            <w:pPr>
              <w:rPr>
                <w:sz w:val="15"/>
                <w:szCs w:val="15"/>
                <w:lang w:val="en-CA"/>
              </w:rPr>
            </w:pPr>
            <w:r w:rsidRPr="00F1762B">
              <w:rPr>
                <w:rFonts w:ascii="Calibri" w:hAnsi="Calibri"/>
                <w:sz w:val="15"/>
                <w:szCs w:val="15"/>
              </w:rPr>
              <w:t>40+; 62.7 (11.4)</w:t>
            </w:r>
          </w:p>
        </w:tc>
        <w:tc>
          <w:tcPr>
            <w:tcW w:w="620" w:type="pct"/>
          </w:tcPr>
          <w:p w14:paraId="5CF66446" w14:textId="4BDEB9D9" w:rsidR="003C6C25" w:rsidRPr="00F1762B" w:rsidRDefault="003C6C25" w:rsidP="00E05BB0">
            <w:pPr>
              <w:rPr>
                <w:sz w:val="15"/>
                <w:szCs w:val="15"/>
                <w:lang w:val="en-CA"/>
              </w:rPr>
            </w:pPr>
            <w:r w:rsidRPr="00F1762B">
              <w:rPr>
                <w:sz w:val="15"/>
                <w:szCs w:val="15"/>
                <w:lang w:val="en-CA"/>
              </w:rPr>
              <w:t>100.0</w:t>
            </w:r>
          </w:p>
        </w:tc>
        <w:tc>
          <w:tcPr>
            <w:tcW w:w="537" w:type="pct"/>
          </w:tcPr>
          <w:p w14:paraId="7371BF59" w14:textId="3EE04487" w:rsidR="003C6C25" w:rsidRPr="00F1762B" w:rsidRDefault="003C6C25" w:rsidP="00E05BB0">
            <w:pPr>
              <w:rPr>
                <w:sz w:val="15"/>
                <w:szCs w:val="15"/>
                <w:lang w:val="en-CA"/>
              </w:rPr>
            </w:pPr>
            <w:r w:rsidRPr="00F1762B">
              <w:rPr>
                <w:sz w:val="15"/>
                <w:szCs w:val="15"/>
                <w:lang w:val="en-CA"/>
              </w:rPr>
              <w:t>Class 1, metformin vs never use of metformin</w:t>
            </w:r>
          </w:p>
        </w:tc>
        <w:tc>
          <w:tcPr>
            <w:tcW w:w="471" w:type="pct"/>
          </w:tcPr>
          <w:p w14:paraId="6DC6A514" w14:textId="599D846A" w:rsidR="003C6C25" w:rsidRPr="00F1762B" w:rsidRDefault="002427B6" w:rsidP="00E05BB0">
            <w:pPr>
              <w:rPr>
                <w:sz w:val="15"/>
                <w:szCs w:val="15"/>
                <w:lang w:val="en-CA"/>
              </w:rPr>
            </w:pPr>
            <w:r w:rsidRPr="00F1762B">
              <w:rPr>
                <w:sz w:val="15"/>
                <w:szCs w:val="15"/>
                <w:lang w:val="en-CA"/>
              </w:rPr>
              <w:t>Prostate cancer</w:t>
            </w:r>
          </w:p>
        </w:tc>
        <w:tc>
          <w:tcPr>
            <w:tcW w:w="785" w:type="pct"/>
          </w:tcPr>
          <w:p w14:paraId="74F0369F" w14:textId="0A05B65B" w:rsidR="003C6C25" w:rsidRPr="00F1762B" w:rsidRDefault="003C6C25" w:rsidP="00E05BB0">
            <w:pPr>
              <w:rPr>
                <w:sz w:val="15"/>
                <w:szCs w:val="15"/>
              </w:rPr>
            </w:pPr>
            <w:r w:rsidRPr="00F1762B">
              <w:rPr>
                <w:sz w:val="15"/>
                <w:szCs w:val="15"/>
              </w:rPr>
              <w:t>Matched on year of birth (+/-1 year), date of cohort entry (+/-1 year);</w:t>
            </w:r>
          </w:p>
          <w:p w14:paraId="614303B7" w14:textId="77777777" w:rsidR="003C6C25" w:rsidRPr="00F1762B" w:rsidRDefault="003C6C25" w:rsidP="00E05BB0">
            <w:pPr>
              <w:rPr>
                <w:sz w:val="15"/>
                <w:szCs w:val="15"/>
              </w:rPr>
            </w:pPr>
          </w:p>
          <w:p w14:paraId="78B7D1E5" w14:textId="15984968" w:rsidR="003C6C25" w:rsidRPr="00F1762B" w:rsidRDefault="003C6C25" w:rsidP="00E05BB0">
            <w:pPr>
              <w:rPr>
                <w:sz w:val="15"/>
                <w:szCs w:val="15"/>
                <w:lang w:val="en-CA"/>
              </w:rPr>
            </w:pPr>
            <w:r w:rsidRPr="00F1762B">
              <w:rPr>
                <w:sz w:val="15"/>
                <w:szCs w:val="15"/>
              </w:rPr>
              <w:t>Adjusted for HbA1c, excessive alcohol use, obesity, smoking, lower urinary tract symptoms, previous cancer, and use of NSAIDs, antihypertensive drugs, statins, and other antidiabetic agents</w:t>
            </w:r>
          </w:p>
        </w:tc>
        <w:tc>
          <w:tcPr>
            <w:tcW w:w="307" w:type="pct"/>
          </w:tcPr>
          <w:p w14:paraId="3EFC321B" w14:textId="2C682DDA" w:rsidR="003C6C25" w:rsidRPr="00F1762B" w:rsidRDefault="003C6C25" w:rsidP="00E05BB0">
            <w:pPr>
              <w:rPr>
                <w:sz w:val="15"/>
                <w:szCs w:val="15"/>
                <w:lang w:val="en-CA"/>
              </w:rPr>
            </w:pPr>
            <w:r w:rsidRPr="00F1762B">
              <w:rPr>
                <w:rFonts w:ascii="Calibri" w:hAnsi="Calibri"/>
                <w:sz w:val="15"/>
                <w:szCs w:val="15"/>
              </w:rPr>
              <w:t>Low</w:t>
            </w:r>
          </w:p>
        </w:tc>
        <w:tc>
          <w:tcPr>
            <w:tcW w:w="204" w:type="pct"/>
          </w:tcPr>
          <w:p w14:paraId="078AD0B9" w14:textId="487C58A4" w:rsidR="003C6C25" w:rsidRPr="00F1762B" w:rsidRDefault="003C6C25" w:rsidP="00E05BB0">
            <w:pPr>
              <w:rPr>
                <w:rFonts w:ascii="Calibri" w:hAnsi="Calibri"/>
                <w:sz w:val="15"/>
                <w:szCs w:val="15"/>
              </w:rPr>
            </w:pPr>
            <w:r w:rsidRPr="00F1762B">
              <w:rPr>
                <w:rFonts w:ascii="Calibri" w:hAnsi="Calibri"/>
                <w:sz w:val="15"/>
                <w:szCs w:val="15"/>
              </w:rPr>
              <w:t>8</w:t>
            </w:r>
          </w:p>
        </w:tc>
      </w:tr>
      <w:tr w:rsidR="00B7487B" w:rsidRPr="00F1762B" w14:paraId="55A74423" w14:textId="7375F2F0" w:rsidTr="00F1762B">
        <w:tc>
          <w:tcPr>
            <w:tcW w:w="517" w:type="pct"/>
          </w:tcPr>
          <w:p w14:paraId="3DB6A15E" w14:textId="5847E95E" w:rsidR="003C6C25" w:rsidRPr="00F1762B" w:rsidRDefault="003C6C25" w:rsidP="00E05BB0">
            <w:pPr>
              <w:rPr>
                <w:sz w:val="15"/>
                <w:szCs w:val="15"/>
                <w:lang w:val="en-CA"/>
              </w:rPr>
            </w:pPr>
            <w:r w:rsidRPr="00F1762B">
              <w:rPr>
                <w:rFonts w:ascii="Calibri" w:hAnsi="Calibri"/>
                <w:sz w:val="15"/>
                <w:szCs w:val="15"/>
              </w:rPr>
              <w:t>Bosco 2011</w:t>
            </w:r>
          </w:p>
        </w:tc>
        <w:tc>
          <w:tcPr>
            <w:tcW w:w="447" w:type="pct"/>
          </w:tcPr>
          <w:p w14:paraId="22597B00" w14:textId="7866AEA3" w:rsidR="003C6C25" w:rsidRPr="00F1762B" w:rsidRDefault="003C6C25" w:rsidP="00E05BB0">
            <w:pPr>
              <w:rPr>
                <w:sz w:val="15"/>
                <w:szCs w:val="15"/>
                <w:lang w:val="en-CA"/>
              </w:rPr>
            </w:pPr>
            <w:r w:rsidRPr="00F1762B">
              <w:rPr>
                <w:rFonts w:ascii="Calibri" w:hAnsi="Calibri"/>
                <w:sz w:val="15"/>
                <w:szCs w:val="15"/>
              </w:rPr>
              <w:t>Denmark; population-based</w:t>
            </w:r>
          </w:p>
        </w:tc>
        <w:tc>
          <w:tcPr>
            <w:tcW w:w="491" w:type="pct"/>
          </w:tcPr>
          <w:p w14:paraId="5DD07F66" w14:textId="64F94AE0" w:rsidR="003C6C25" w:rsidRPr="00F1762B" w:rsidRDefault="003C6C25" w:rsidP="00E05BB0">
            <w:pPr>
              <w:rPr>
                <w:sz w:val="15"/>
                <w:szCs w:val="15"/>
                <w:lang w:val="en-CA"/>
              </w:rPr>
            </w:pPr>
            <w:r w:rsidRPr="00F1762B">
              <w:rPr>
                <w:rFonts w:ascii="Calibri" w:hAnsi="Calibri"/>
                <w:sz w:val="15"/>
                <w:szCs w:val="15"/>
              </w:rPr>
              <w:t>1989 to 2008; NA</w:t>
            </w:r>
          </w:p>
        </w:tc>
        <w:tc>
          <w:tcPr>
            <w:tcW w:w="620" w:type="pct"/>
          </w:tcPr>
          <w:p w14:paraId="22B44213" w14:textId="10979D33" w:rsidR="003C6C25" w:rsidRPr="00F1762B" w:rsidRDefault="003C6C25" w:rsidP="00E05BB0">
            <w:pPr>
              <w:rPr>
                <w:sz w:val="15"/>
                <w:szCs w:val="15"/>
                <w:lang w:val="en-CA"/>
              </w:rPr>
            </w:pPr>
            <w:r w:rsidRPr="00F1762B">
              <w:rPr>
                <w:rFonts w:ascii="Calibri" w:hAnsi="Calibri"/>
                <w:sz w:val="15"/>
                <w:szCs w:val="15"/>
              </w:rPr>
              <w:t>50+; 58% of breast cancer cases and 52% of controls were &gt;70</w:t>
            </w:r>
          </w:p>
        </w:tc>
        <w:tc>
          <w:tcPr>
            <w:tcW w:w="620" w:type="pct"/>
          </w:tcPr>
          <w:p w14:paraId="78579A75" w14:textId="3BD69881" w:rsidR="003C6C25" w:rsidRPr="00F1762B" w:rsidRDefault="003C6C25" w:rsidP="00E05BB0">
            <w:pPr>
              <w:rPr>
                <w:sz w:val="15"/>
                <w:szCs w:val="15"/>
                <w:lang w:val="en-CA"/>
              </w:rPr>
            </w:pPr>
            <w:r w:rsidRPr="00F1762B">
              <w:rPr>
                <w:sz w:val="15"/>
                <w:szCs w:val="15"/>
                <w:lang w:val="en-CA"/>
              </w:rPr>
              <w:t>NA</w:t>
            </w:r>
          </w:p>
        </w:tc>
        <w:tc>
          <w:tcPr>
            <w:tcW w:w="537" w:type="pct"/>
          </w:tcPr>
          <w:p w14:paraId="53CD6640" w14:textId="6579D8EF" w:rsidR="003C6C25" w:rsidRPr="00F1762B" w:rsidRDefault="003C6C25" w:rsidP="00E05BB0">
            <w:pPr>
              <w:rPr>
                <w:sz w:val="15"/>
                <w:szCs w:val="15"/>
                <w:lang w:val="en-CA"/>
              </w:rPr>
            </w:pPr>
            <w:r w:rsidRPr="00F1762B">
              <w:rPr>
                <w:sz w:val="15"/>
                <w:szCs w:val="15"/>
                <w:lang w:val="en-CA"/>
              </w:rPr>
              <w:t>Class 1, metformin vs no use of metformin</w:t>
            </w:r>
          </w:p>
        </w:tc>
        <w:tc>
          <w:tcPr>
            <w:tcW w:w="471" w:type="pct"/>
          </w:tcPr>
          <w:p w14:paraId="09D886E3" w14:textId="0AEDBF7C" w:rsidR="003C6C25" w:rsidRPr="00F1762B" w:rsidRDefault="002427B6" w:rsidP="00E05BB0">
            <w:pPr>
              <w:rPr>
                <w:sz w:val="15"/>
                <w:szCs w:val="15"/>
                <w:lang w:val="en-CA"/>
              </w:rPr>
            </w:pPr>
            <w:r w:rsidRPr="00F1762B">
              <w:rPr>
                <w:sz w:val="15"/>
                <w:szCs w:val="15"/>
                <w:lang w:val="en-CA"/>
              </w:rPr>
              <w:t>Breast cancer</w:t>
            </w:r>
          </w:p>
        </w:tc>
        <w:tc>
          <w:tcPr>
            <w:tcW w:w="785" w:type="pct"/>
          </w:tcPr>
          <w:p w14:paraId="52BB5994" w14:textId="2EBC08C8" w:rsidR="003C6C25" w:rsidRPr="00F1762B" w:rsidRDefault="003C6C25" w:rsidP="00E05BB0">
            <w:pPr>
              <w:rPr>
                <w:sz w:val="15"/>
                <w:szCs w:val="15"/>
              </w:rPr>
            </w:pPr>
            <w:r w:rsidRPr="00F1762B">
              <w:rPr>
                <w:sz w:val="15"/>
                <w:szCs w:val="15"/>
              </w:rPr>
              <w:t>Conditional logistic regression used to adjust for confounding and selection bias introduced by matching on county and adjusting for complications due to diabetes, clinical obesity, age at index date, postmenopausal hormone use, and multiple imputations to impute missing parity</w:t>
            </w:r>
          </w:p>
        </w:tc>
        <w:tc>
          <w:tcPr>
            <w:tcW w:w="307" w:type="pct"/>
          </w:tcPr>
          <w:p w14:paraId="7868558F" w14:textId="12603EBA" w:rsidR="003C6C25" w:rsidRPr="00F1762B" w:rsidRDefault="003C6C25" w:rsidP="00E05BB0">
            <w:pPr>
              <w:rPr>
                <w:sz w:val="15"/>
                <w:szCs w:val="15"/>
                <w:lang w:val="en-CA"/>
              </w:rPr>
            </w:pPr>
            <w:r w:rsidRPr="00F1762B">
              <w:rPr>
                <w:rFonts w:ascii="Calibri" w:hAnsi="Calibri"/>
                <w:sz w:val="15"/>
                <w:szCs w:val="15"/>
              </w:rPr>
              <w:t>Moderate</w:t>
            </w:r>
          </w:p>
        </w:tc>
        <w:tc>
          <w:tcPr>
            <w:tcW w:w="204" w:type="pct"/>
          </w:tcPr>
          <w:p w14:paraId="0EF5E810" w14:textId="65617693" w:rsidR="003C6C25" w:rsidRPr="00F1762B" w:rsidRDefault="003C6C25" w:rsidP="00E05BB0">
            <w:pPr>
              <w:rPr>
                <w:rFonts w:ascii="Calibri" w:hAnsi="Calibri"/>
                <w:sz w:val="15"/>
                <w:szCs w:val="15"/>
              </w:rPr>
            </w:pPr>
            <w:r w:rsidRPr="00F1762B">
              <w:rPr>
                <w:rFonts w:ascii="Calibri" w:hAnsi="Calibri"/>
                <w:sz w:val="15"/>
                <w:szCs w:val="15"/>
              </w:rPr>
              <w:t>6</w:t>
            </w:r>
          </w:p>
        </w:tc>
      </w:tr>
      <w:tr w:rsidR="00B7487B" w:rsidRPr="00F1762B" w14:paraId="3F00B806" w14:textId="0AD45F7E" w:rsidTr="00F1762B">
        <w:tc>
          <w:tcPr>
            <w:tcW w:w="517" w:type="pct"/>
          </w:tcPr>
          <w:p w14:paraId="19C6978E" w14:textId="045A8CC9" w:rsidR="003C6C25" w:rsidRPr="00F1762B" w:rsidRDefault="003C6C25" w:rsidP="00E05BB0">
            <w:pPr>
              <w:rPr>
                <w:sz w:val="15"/>
                <w:szCs w:val="15"/>
                <w:lang w:val="en-CA"/>
              </w:rPr>
            </w:pPr>
            <w:r w:rsidRPr="00F1762B">
              <w:rPr>
                <w:rFonts w:ascii="Calibri" w:hAnsi="Calibri"/>
                <w:sz w:val="15"/>
                <w:szCs w:val="15"/>
              </w:rPr>
              <w:t>Smiechowski 2013a</w:t>
            </w:r>
          </w:p>
        </w:tc>
        <w:tc>
          <w:tcPr>
            <w:tcW w:w="447" w:type="pct"/>
          </w:tcPr>
          <w:p w14:paraId="72B0DF33" w14:textId="46BBDEDD" w:rsidR="003C6C25" w:rsidRPr="00F1762B" w:rsidRDefault="003C6C25" w:rsidP="00E05BB0">
            <w:pPr>
              <w:rPr>
                <w:sz w:val="15"/>
                <w:szCs w:val="15"/>
                <w:lang w:val="en-CA"/>
              </w:rPr>
            </w:pPr>
            <w:r w:rsidRPr="00F1762B">
              <w:rPr>
                <w:rFonts w:ascii="Calibri" w:hAnsi="Calibri"/>
                <w:sz w:val="15"/>
                <w:szCs w:val="15"/>
              </w:rPr>
              <w:t>United Kingdom; population-based</w:t>
            </w:r>
          </w:p>
        </w:tc>
        <w:tc>
          <w:tcPr>
            <w:tcW w:w="491" w:type="pct"/>
          </w:tcPr>
          <w:p w14:paraId="066FA5B6" w14:textId="40FABF8E" w:rsidR="003C6C25" w:rsidRPr="00F1762B" w:rsidRDefault="003C6C25" w:rsidP="00E05BB0">
            <w:pPr>
              <w:rPr>
                <w:sz w:val="15"/>
                <w:szCs w:val="15"/>
                <w:lang w:val="en-CA"/>
              </w:rPr>
            </w:pPr>
            <w:r w:rsidRPr="00F1762B">
              <w:rPr>
                <w:rFonts w:ascii="Calibri" w:hAnsi="Calibri"/>
                <w:sz w:val="15"/>
                <w:szCs w:val="15"/>
              </w:rPr>
              <w:t>1998 to 2009; mean 4.5</w:t>
            </w:r>
          </w:p>
        </w:tc>
        <w:tc>
          <w:tcPr>
            <w:tcW w:w="620" w:type="pct"/>
          </w:tcPr>
          <w:p w14:paraId="0434E61A" w14:textId="7848ED2D" w:rsidR="003C6C25" w:rsidRPr="00F1762B" w:rsidRDefault="003C6C25" w:rsidP="00E05BB0">
            <w:pPr>
              <w:rPr>
                <w:sz w:val="15"/>
                <w:szCs w:val="15"/>
                <w:lang w:val="en-CA"/>
              </w:rPr>
            </w:pPr>
            <w:r w:rsidRPr="00F1762B">
              <w:rPr>
                <w:rFonts w:ascii="Calibri" w:hAnsi="Calibri"/>
                <w:sz w:val="15"/>
                <w:szCs w:val="15"/>
              </w:rPr>
              <w:t>40+; 72.8 (8.7) in colorectal cancer cases and 72.5 (8.5) in controls</w:t>
            </w:r>
          </w:p>
        </w:tc>
        <w:tc>
          <w:tcPr>
            <w:tcW w:w="620" w:type="pct"/>
          </w:tcPr>
          <w:p w14:paraId="7C6C22A6" w14:textId="280215C5" w:rsidR="003C6C25" w:rsidRPr="00F1762B" w:rsidRDefault="003C6C25" w:rsidP="00E05BB0">
            <w:pPr>
              <w:rPr>
                <w:sz w:val="15"/>
                <w:szCs w:val="15"/>
                <w:lang w:val="en-CA"/>
              </w:rPr>
            </w:pPr>
            <w:r w:rsidRPr="00F1762B">
              <w:rPr>
                <w:sz w:val="15"/>
                <w:szCs w:val="15"/>
                <w:lang w:val="en-CA"/>
              </w:rPr>
              <w:t>63.3 in colorectal cancer cases; 63.6 in controls</w:t>
            </w:r>
          </w:p>
        </w:tc>
        <w:tc>
          <w:tcPr>
            <w:tcW w:w="537" w:type="pct"/>
          </w:tcPr>
          <w:p w14:paraId="5B7A24C7" w14:textId="289D7B07" w:rsidR="003C6C25" w:rsidRPr="00F1762B" w:rsidRDefault="003C6C25" w:rsidP="00E05BB0">
            <w:pPr>
              <w:rPr>
                <w:sz w:val="15"/>
                <w:szCs w:val="15"/>
                <w:lang w:val="en-CA"/>
              </w:rPr>
            </w:pPr>
            <w:r w:rsidRPr="00F1762B">
              <w:rPr>
                <w:sz w:val="15"/>
                <w:szCs w:val="15"/>
                <w:lang w:val="en-CA"/>
              </w:rPr>
              <w:t>Class 1, metformin vs no use of metformin</w:t>
            </w:r>
          </w:p>
        </w:tc>
        <w:tc>
          <w:tcPr>
            <w:tcW w:w="471" w:type="pct"/>
          </w:tcPr>
          <w:p w14:paraId="77E1C47A" w14:textId="5DD7BDE1" w:rsidR="003C6C25" w:rsidRPr="00F1762B" w:rsidRDefault="002427B6" w:rsidP="00E05BB0">
            <w:pPr>
              <w:rPr>
                <w:sz w:val="15"/>
                <w:szCs w:val="15"/>
                <w:lang w:val="en-CA"/>
              </w:rPr>
            </w:pPr>
            <w:r w:rsidRPr="00F1762B">
              <w:rPr>
                <w:sz w:val="15"/>
                <w:szCs w:val="15"/>
                <w:lang w:val="en-CA"/>
              </w:rPr>
              <w:t>Colorectal cancer</w:t>
            </w:r>
          </w:p>
        </w:tc>
        <w:tc>
          <w:tcPr>
            <w:tcW w:w="785" w:type="pct"/>
          </w:tcPr>
          <w:p w14:paraId="4660F217" w14:textId="3F3CE135" w:rsidR="003C6C25" w:rsidRPr="00F1762B" w:rsidRDefault="003C6C25" w:rsidP="00E05BB0">
            <w:pPr>
              <w:rPr>
                <w:sz w:val="15"/>
                <w:szCs w:val="15"/>
              </w:rPr>
            </w:pPr>
            <w:r w:rsidRPr="00F1762B">
              <w:rPr>
                <w:sz w:val="15"/>
                <w:szCs w:val="15"/>
              </w:rPr>
              <w:t>Matched on age (year of birth), sex, calendar year of cohort entry, and duration of follow-up;</w:t>
            </w:r>
          </w:p>
          <w:p w14:paraId="3D131038" w14:textId="77777777" w:rsidR="003C6C25" w:rsidRPr="00F1762B" w:rsidRDefault="003C6C25" w:rsidP="00E05BB0">
            <w:pPr>
              <w:rPr>
                <w:sz w:val="15"/>
                <w:szCs w:val="15"/>
              </w:rPr>
            </w:pPr>
          </w:p>
          <w:p w14:paraId="2B3B6286" w14:textId="7DE415B0" w:rsidR="003C6C25" w:rsidRPr="00F1762B" w:rsidRDefault="003C6C25" w:rsidP="00E05BB0">
            <w:pPr>
              <w:rPr>
                <w:sz w:val="15"/>
                <w:szCs w:val="15"/>
              </w:rPr>
            </w:pPr>
            <w:r w:rsidRPr="00F1762B">
              <w:rPr>
                <w:sz w:val="15"/>
                <w:szCs w:val="15"/>
              </w:rPr>
              <w:t>Adjusted for obesity, smoking, statins, nonsteroidal anti-inflammatory drugs, aspirin, excessive alcohol use,</w:t>
            </w:r>
            <w:r w:rsidRPr="00F1762B">
              <w:rPr>
                <w:sz w:val="15"/>
                <w:szCs w:val="15"/>
                <w:lang w:val="en-CA"/>
              </w:rPr>
              <w:t xml:space="preserve"> HbA1c</w:t>
            </w:r>
            <w:r w:rsidRPr="00F1762B">
              <w:rPr>
                <w:sz w:val="15"/>
                <w:szCs w:val="15"/>
              </w:rPr>
              <w:t xml:space="preserve">, </w:t>
            </w:r>
            <w:r w:rsidRPr="00F1762B">
              <w:rPr>
                <w:sz w:val="15"/>
                <w:szCs w:val="15"/>
              </w:rPr>
              <w:lastRenderedPageBreak/>
              <w:t>diabetes duration, cholecystectomy, inflammatory bowel diseases, referrals to colonoscopy, referrals to sigmoidoscopy, history of polyps, previous cancer (other than nonmelanoma skin cancer), and use of sulfonylureas, thiazolidinediones, insulins, and other antidiabetic agents</w:t>
            </w:r>
          </w:p>
        </w:tc>
        <w:tc>
          <w:tcPr>
            <w:tcW w:w="307" w:type="pct"/>
          </w:tcPr>
          <w:p w14:paraId="203F7F3B" w14:textId="7FD21D9D" w:rsidR="003C6C25" w:rsidRPr="00F1762B" w:rsidRDefault="003C6C25" w:rsidP="00E05BB0">
            <w:pPr>
              <w:rPr>
                <w:sz w:val="15"/>
                <w:szCs w:val="15"/>
                <w:lang w:val="en-CA"/>
              </w:rPr>
            </w:pPr>
            <w:r w:rsidRPr="00F1762B">
              <w:rPr>
                <w:rFonts w:ascii="Calibri" w:hAnsi="Calibri"/>
                <w:sz w:val="15"/>
                <w:szCs w:val="15"/>
              </w:rPr>
              <w:lastRenderedPageBreak/>
              <w:t>Low</w:t>
            </w:r>
          </w:p>
        </w:tc>
        <w:tc>
          <w:tcPr>
            <w:tcW w:w="204" w:type="pct"/>
          </w:tcPr>
          <w:p w14:paraId="106028A9" w14:textId="670ECDED" w:rsidR="003C6C25" w:rsidRPr="00F1762B" w:rsidRDefault="003C6C25" w:rsidP="00E05BB0">
            <w:pPr>
              <w:rPr>
                <w:rFonts w:ascii="Calibri" w:hAnsi="Calibri"/>
                <w:sz w:val="15"/>
                <w:szCs w:val="15"/>
              </w:rPr>
            </w:pPr>
            <w:r w:rsidRPr="00F1762B">
              <w:rPr>
                <w:rFonts w:ascii="Calibri" w:hAnsi="Calibri"/>
                <w:sz w:val="15"/>
                <w:szCs w:val="15"/>
              </w:rPr>
              <w:t>7</w:t>
            </w:r>
          </w:p>
        </w:tc>
      </w:tr>
      <w:tr w:rsidR="00B7487B" w:rsidRPr="00F1762B" w14:paraId="4595A1FD" w14:textId="5404A499" w:rsidTr="00F1762B">
        <w:tc>
          <w:tcPr>
            <w:tcW w:w="517" w:type="pct"/>
          </w:tcPr>
          <w:p w14:paraId="7D706554" w14:textId="0DD8099B" w:rsidR="003C6C25" w:rsidRPr="00F1762B" w:rsidRDefault="003C6C25" w:rsidP="00E05BB0">
            <w:pPr>
              <w:rPr>
                <w:sz w:val="15"/>
                <w:szCs w:val="15"/>
                <w:lang w:val="en-CA"/>
              </w:rPr>
            </w:pPr>
            <w:r w:rsidRPr="00F1762B">
              <w:rPr>
                <w:rFonts w:ascii="Calibri" w:hAnsi="Calibri"/>
                <w:sz w:val="15"/>
                <w:szCs w:val="15"/>
              </w:rPr>
              <w:t>Margel 2013</w:t>
            </w:r>
          </w:p>
        </w:tc>
        <w:tc>
          <w:tcPr>
            <w:tcW w:w="447" w:type="pct"/>
          </w:tcPr>
          <w:p w14:paraId="5BEC4CF6" w14:textId="3061AC96" w:rsidR="003C6C25" w:rsidRPr="00F1762B" w:rsidRDefault="003C6C25" w:rsidP="00E05BB0">
            <w:pPr>
              <w:rPr>
                <w:sz w:val="15"/>
                <w:szCs w:val="15"/>
                <w:lang w:val="en-CA"/>
              </w:rPr>
            </w:pPr>
            <w:r w:rsidRPr="00F1762B">
              <w:rPr>
                <w:rFonts w:ascii="Calibri" w:hAnsi="Calibri"/>
                <w:sz w:val="15"/>
                <w:szCs w:val="15"/>
              </w:rPr>
              <w:t>Canada; population-based</w:t>
            </w:r>
          </w:p>
        </w:tc>
        <w:tc>
          <w:tcPr>
            <w:tcW w:w="491" w:type="pct"/>
          </w:tcPr>
          <w:p w14:paraId="1351668A" w14:textId="7A3E2738" w:rsidR="003C6C25" w:rsidRPr="00F1762B" w:rsidRDefault="003C6C25" w:rsidP="00E05BB0">
            <w:pPr>
              <w:rPr>
                <w:sz w:val="15"/>
                <w:szCs w:val="15"/>
                <w:lang w:val="en-CA"/>
              </w:rPr>
            </w:pPr>
            <w:r w:rsidRPr="00F1762B">
              <w:rPr>
                <w:rFonts w:ascii="Calibri" w:hAnsi="Calibri"/>
                <w:sz w:val="15"/>
                <w:szCs w:val="15"/>
              </w:rPr>
              <w:t>1994 to 2008; NA</w:t>
            </w:r>
          </w:p>
        </w:tc>
        <w:tc>
          <w:tcPr>
            <w:tcW w:w="620" w:type="pct"/>
          </w:tcPr>
          <w:p w14:paraId="34D78890" w14:textId="496E26FD" w:rsidR="003C6C25" w:rsidRPr="00F1762B" w:rsidRDefault="003C6C25" w:rsidP="00E05BB0">
            <w:pPr>
              <w:rPr>
                <w:sz w:val="15"/>
                <w:szCs w:val="15"/>
                <w:lang w:val="en-CA"/>
              </w:rPr>
            </w:pPr>
            <w:r w:rsidRPr="00F1762B">
              <w:rPr>
                <w:rFonts w:ascii="Calibri" w:hAnsi="Calibri"/>
                <w:sz w:val="15"/>
                <w:szCs w:val="15"/>
              </w:rPr>
              <w:t>65+; median 76.0 (IQR: 72.0, 80.0)</w:t>
            </w:r>
          </w:p>
        </w:tc>
        <w:tc>
          <w:tcPr>
            <w:tcW w:w="620" w:type="pct"/>
          </w:tcPr>
          <w:p w14:paraId="4B9EBA47" w14:textId="49302696" w:rsidR="003C6C25" w:rsidRPr="00F1762B" w:rsidRDefault="003C6C25" w:rsidP="00E05BB0">
            <w:pPr>
              <w:rPr>
                <w:sz w:val="15"/>
                <w:szCs w:val="15"/>
                <w:lang w:val="en-CA"/>
              </w:rPr>
            </w:pPr>
            <w:r w:rsidRPr="00F1762B">
              <w:rPr>
                <w:sz w:val="15"/>
                <w:szCs w:val="15"/>
                <w:lang w:val="en-CA"/>
              </w:rPr>
              <w:t>100.0</w:t>
            </w:r>
          </w:p>
        </w:tc>
        <w:tc>
          <w:tcPr>
            <w:tcW w:w="537" w:type="pct"/>
          </w:tcPr>
          <w:p w14:paraId="42D07349" w14:textId="77777777" w:rsidR="003C6C25" w:rsidRPr="00F1762B" w:rsidRDefault="003C6C25" w:rsidP="00E05BB0">
            <w:pPr>
              <w:rPr>
                <w:sz w:val="15"/>
                <w:szCs w:val="15"/>
                <w:lang w:val="en-CA"/>
              </w:rPr>
            </w:pPr>
            <w:r w:rsidRPr="00F1762B">
              <w:rPr>
                <w:sz w:val="15"/>
                <w:szCs w:val="15"/>
                <w:lang w:val="en-CA"/>
              </w:rPr>
              <w:t>Class 1, metformin vs no use of metformin;</w:t>
            </w:r>
          </w:p>
          <w:p w14:paraId="213E1441" w14:textId="77777777" w:rsidR="003C6C25" w:rsidRPr="00F1762B" w:rsidRDefault="003C6C25" w:rsidP="00E05BB0">
            <w:pPr>
              <w:rPr>
                <w:sz w:val="15"/>
                <w:szCs w:val="15"/>
                <w:lang w:val="en-CA"/>
              </w:rPr>
            </w:pPr>
          </w:p>
          <w:p w14:paraId="509AFC2E" w14:textId="2995FD2F" w:rsidR="003C6C25" w:rsidRPr="00F1762B" w:rsidRDefault="003C6C25" w:rsidP="00E05BB0">
            <w:pPr>
              <w:rPr>
                <w:sz w:val="15"/>
                <w:szCs w:val="15"/>
                <w:lang w:val="en-CA"/>
              </w:rPr>
            </w:pPr>
            <w:r w:rsidRPr="00F1762B">
              <w:rPr>
                <w:sz w:val="15"/>
                <w:szCs w:val="15"/>
                <w:lang w:val="en-CA"/>
              </w:rPr>
              <w:t>Class 4,</w:t>
            </w:r>
          </w:p>
          <w:p w14:paraId="6C097716" w14:textId="252FFE4E" w:rsidR="003C6C25" w:rsidRPr="00F1762B" w:rsidRDefault="003C6C25" w:rsidP="00E05BB0">
            <w:pPr>
              <w:rPr>
                <w:sz w:val="15"/>
                <w:szCs w:val="15"/>
              </w:rPr>
            </w:pPr>
            <w:r w:rsidRPr="00F1762B">
              <w:rPr>
                <w:sz w:val="15"/>
                <w:szCs w:val="15"/>
              </w:rPr>
              <w:t>sulfonylurea no use of sulfonylurea;</w:t>
            </w:r>
          </w:p>
          <w:p w14:paraId="3D3BCD1B" w14:textId="3A385C53" w:rsidR="003C6C25" w:rsidRPr="00F1762B" w:rsidRDefault="003C6C25" w:rsidP="00E05BB0">
            <w:pPr>
              <w:rPr>
                <w:sz w:val="15"/>
                <w:szCs w:val="15"/>
              </w:rPr>
            </w:pPr>
          </w:p>
          <w:p w14:paraId="2EA7DD36" w14:textId="1AB9BF02" w:rsidR="003C6C25" w:rsidRPr="00F1762B" w:rsidRDefault="003C6C25" w:rsidP="00E05BB0">
            <w:pPr>
              <w:rPr>
                <w:sz w:val="15"/>
                <w:szCs w:val="15"/>
                <w:lang w:val="en-CA"/>
              </w:rPr>
            </w:pPr>
            <w:r w:rsidRPr="00F1762B">
              <w:rPr>
                <w:sz w:val="15"/>
                <w:szCs w:val="15"/>
                <w:lang w:val="en-CA"/>
              </w:rPr>
              <w:t>Class 5, thiazolidinediones vs no use of thiazolidinediones;</w:t>
            </w:r>
          </w:p>
          <w:p w14:paraId="008C6B25" w14:textId="77777777" w:rsidR="003C6C25" w:rsidRPr="00F1762B" w:rsidRDefault="003C6C25" w:rsidP="00E05BB0">
            <w:pPr>
              <w:rPr>
                <w:sz w:val="15"/>
                <w:szCs w:val="15"/>
                <w:lang w:val="en-CA"/>
              </w:rPr>
            </w:pPr>
          </w:p>
          <w:p w14:paraId="235D17F3" w14:textId="62E17CC0" w:rsidR="003C6C25" w:rsidRPr="00F1762B" w:rsidRDefault="003C6C25" w:rsidP="00E05BB0">
            <w:pPr>
              <w:rPr>
                <w:sz w:val="15"/>
                <w:szCs w:val="15"/>
                <w:lang w:val="en-CA"/>
              </w:rPr>
            </w:pPr>
            <w:r w:rsidRPr="00F1762B">
              <w:rPr>
                <w:sz w:val="15"/>
                <w:szCs w:val="15"/>
                <w:lang w:val="en-CA"/>
              </w:rPr>
              <w:t>Class 6, insulin vs no use of insulin</w:t>
            </w:r>
          </w:p>
        </w:tc>
        <w:tc>
          <w:tcPr>
            <w:tcW w:w="471" w:type="pct"/>
          </w:tcPr>
          <w:p w14:paraId="456C9D2B" w14:textId="389C45AB" w:rsidR="003C6C25" w:rsidRPr="00F1762B" w:rsidRDefault="002427B6" w:rsidP="00E05BB0">
            <w:pPr>
              <w:rPr>
                <w:sz w:val="15"/>
                <w:szCs w:val="15"/>
                <w:lang w:val="en-CA"/>
              </w:rPr>
            </w:pPr>
            <w:r w:rsidRPr="00F1762B">
              <w:rPr>
                <w:sz w:val="15"/>
                <w:szCs w:val="15"/>
                <w:lang w:val="en-CA"/>
              </w:rPr>
              <w:t>Prostate cancer</w:t>
            </w:r>
          </w:p>
        </w:tc>
        <w:tc>
          <w:tcPr>
            <w:tcW w:w="785" w:type="pct"/>
          </w:tcPr>
          <w:p w14:paraId="5F0EBA7A" w14:textId="03E32D99" w:rsidR="003C6C25" w:rsidRPr="00F1762B" w:rsidRDefault="003C6C25" w:rsidP="00E05BB0">
            <w:pPr>
              <w:rPr>
                <w:sz w:val="15"/>
                <w:szCs w:val="15"/>
              </w:rPr>
            </w:pPr>
            <w:r w:rsidRPr="00F1762B">
              <w:rPr>
                <w:sz w:val="15"/>
                <w:szCs w:val="15"/>
              </w:rPr>
              <w:t>Matched on age plus year of cohort entry and selected to have the same diabetes duration;</w:t>
            </w:r>
          </w:p>
          <w:p w14:paraId="5F63F721" w14:textId="77777777" w:rsidR="003C6C25" w:rsidRPr="00F1762B" w:rsidRDefault="003C6C25" w:rsidP="00E05BB0">
            <w:pPr>
              <w:rPr>
                <w:sz w:val="15"/>
                <w:szCs w:val="15"/>
              </w:rPr>
            </w:pPr>
          </w:p>
          <w:p w14:paraId="72D656EE" w14:textId="195884CE" w:rsidR="003C6C25" w:rsidRPr="00F1762B" w:rsidRDefault="003C6C25" w:rsidP="00E05BB0">
            <w:pPr>
              <w:rPr>
                <w:sz w:val="15"/>
                <w:szCs w:val="15"/>
              </w:rPr>
            </w:pPr>
            <w:r w:rsidRPr="00F1762B">
              <w:rPr>
                <w:sz w:val="15"/>
                <w:szCs w:val="15"/>
              </w:rPr>
              <w:t>Adjusted for use of other antidiabetic drugs, weighted adjusted clinical groups comorbidity index, socioeconomic status, rural/urban, and use of cyclooxygenase 2, statins and 5-alpha reductase inhibitors (ever vs never)</w:t>
            </w:r>
          </w:p>
        </w:tc>
        <w:tc>
          <w:tcPr>
            <w:tcW w:w="307" w:type="pct"/>
          </w:tcPr>
          <w:p w14:paraId="23D1E046" w14:textId="2FC2C342" w:rsidR="003C6C25" w:rsidRPr="00F1762B" w:rsidRDefault="003C6C25" w:rsidP="00E05BB0">
            <w:pPr>
              <w:rPr>
                <w:sz w:val="15"/>
                <w:szCs w:val="15"/>
                <w:lang w:val="en-CA"/>
              </w:rPr>
            </w:pPr>
            <w:r w:rsidRPr="00F1762B">
              <w:rPr>
                <w:rFonts w:ascii="Calibri" w:hAnsi="Calibri"/>
                <w:sz w:val="15"/>
                <w:szCs w:val="15"/>
              </w:rPr>
              <w:t>Low</w:t>
            </w:r>
          </w:p>
        </w:tc>
        <w:tc>
          <w:tcPr>
            <w:tcW w:w="204" w:type="pct"/>
          </w:tcPr>
          <w:p w14:paraId="512B6D2E" w14:textId="3DFEE5D9" w:rsidR="003C6C25" w:rsidRPr="00F1762B" w:rsidRDefault="003C6C25" w:rsidP="00E05BB0">
            <w:pPr>
              <w:rPr>
                <w:rFonts w:ascii="Calibri" w:hAnsi="Calibri"/>
                <w:sz w:val="15"/>
                <w:szCs w:val="15"/>
              </w:rPr>
            </w:pPr>
            <w:r w:rsidRPr="00F1762B">
              <w:rPr>
                <w:rFonts w:ascii="Calibri" w:hAnsi="Calibri"/>
                <w:sz w:val="15"/>
                <w:szCs w:val="15"/>
              </w:rPr>
              <w:t>7</w:t>
            </w:r>
          </w:p>
        </w:tc>
      </w:tr>
      <w:tr w:rsidR="00B7487B" w:rsidRPr="00F1762B" w14:paraId="5BE5BD2A" w14:textId="0A085142" w:rsidTr="00F1762B">
        <w:tc>
          <w:tcPr>
            <w:tcW w:w="517" w:type="pct"/>
          </w:tcPr>
          <w:p w14:paraId="18744878" w14:textId="5FB2E5D0" w:rsidR="003C6C25" w:rsidRPr="00F1762B" w:rsidRDefault="003C6C25" w:rsidP="00E05BB0">
            <w:pPr>
              <w:rPr>
                <w:sz w:val="15"/>
                <w:szCs w:val="15"/>
                <w:lang w:val="en-CA"/>
              </w:rPr>
            </w:pPr>
            <w:r w:rsidRPr="00F1762B">
              <w:rPr>
                <w:rFonts w:ascii="Calibri" w:hAnsi="Calibri"/>
                <w:sz w:val="15"/>
                <w:szCs w:val="15"/>
              </w:rPr>
              <w:t>Chen 2013</w:t>
            </w:r>
          </w:p>
        </w:tc>
        <w:tc>
          <w:tcPr>
            <w:tcW w:w="447" w:type="pct"/>
          </w:tcPr>
          <w:p w14:paraId="400CEA1A" w14:textId="2E26CA57" w:rsidR="003C6C25" w:rsidRPr="00F1762B" w:rsidRDefault="003C6C25" w:rsidP="00E05BB0">
            <w:pPr>
              <w:rPr>
                <w:sz w:val="15"/>
                <w:szCs w:val="15"/>
                <w:lang w:val="en-CA"/>
              </w:rPr>
            </w:pPr>
            <w:r w:rsidRPr="00F1762B">
              <w:rPr>
                <w:rFonts w:ascii="Calibri" w:hAnsi="Calibri"/>
                <w:sz w:val="15"/>
                <w:szCs w:val="15"/>
              </w:rPr>
              <w:t>Taiwan; population-based</w:t>
            </w:r>
          </w:p>
        </w:tc>
        <w:tc>
          <w:tcPr>
            <w:tcW w:w="491" w:type="pct"/>
          </w:tcPr>
          <w:p w14:paraId="4A7DBE5D" w14:textId="0C482049" w:rsidR="003C6C25" w:rsidRPr="00F1762B" w:rsidRDefault="003C6C25" w:rsidP="00E05BB0">
            <w:pPr>
              <w:rPr>
                <w:sz w:val="15"/>
                <w:szCs w:val="15"/>
                <w:lang w:val="en-CA"/>
              </w:rPr>
            </w:pPr>
            <w:r w:rsidRPr="00F1762B">
              <w:rPr>
                <w:rFonts w:ascii="Calibri" w:hAnsi="Calibri"/>
                <w:sz w:val="15"/>
                <w:szCs w:val="15"/>
              </w:rPr>
              <w:t>1997 to 2008; NA</w:t>
            </w:r>
          </w:p>
        </w:tc>
        <w:tc>
          <w:tcPr>
            <w:tcW w:w="620" w:type="pct"/>
          </w:tcPr>
          <w:p w14:paraId="54FCC43C" w14:textId="7695FE52" w:rsidR="003C6C25" w:rsidRPr="00F1762B" w:rsidRDefault="003C6C25" w:rsidP="00E05BB0">
            <w:pPr>
              <w:rPr>
                <w:sz w:val="15"/>
                <w:szCs w:val="15"/>
                <w:lang w:val="en-CA"/>
              </w:rPr>
            </w:pPr>
            <w:r w:rsidRPr="00F1762B">
              <w:rPr>
                <w:rFonts w:ascii="Calibri" w:hAnsi="Calibri"/>
                <w:sz w:val="15"/>
                <w:szCs w:val="15"/>
              </w:rPr>
              <w:t>NA; median 71.2</w:t>
            </w:r>
          </w:p>
        </w:tc>
        <w:tc>
          <w:tcPr>
            <w:tcW w:w="620" w:type="pct"/>
          </w:tcPr>
          <w:p w14:paraId="00011275" w14:textId="10BD8695" w:rsidR="003C6C25" w:rsidRPr="00F1762B" w:rsidRDefault="003C6C25" w:rsidP="00E05BB0">
            <w:pPr>
              <w:rPr>
                <w:sz w:val="15"/>
                <w:szCs w:val="15"/>
              </w:rPr>
            </w:pPr>
            <w:r w:rsidRPr="00F1762B">
              <w:rPr>
                <w:sz w:val="15"/>
                <w:szCs w:val="15"/>
              </w:rPr>
              <w:t>54.6</w:t>
            </w:r>
          </w:p>
        </w:tc>
        <w:tc>
          <w:tcPr>
            <w:tcW w:w="537" w:type="pct"/>
          </w:tcPr>
          <w:p w14:paraId="442DD21E" w14:textId="7F7BC775" w:rsidR="003C6C25" w:rsidRPr="00F1762B" w:rsidRDefault="003C6C25" w:rsidP="00E05BB0">
            <w:pPr>
              <w:rPr>
                <w:sz w:val="15"/>
                <w:szCs w:val="15"/>
                <w:lang w:val="en-CA"/>
              </w:rPr>
            </w:pPr>
            <w:r w:rsidRPr="00F1762B">
              <w:rPr>
                <w:sz w:val="15"/>
                <w:szCs w:val="15"/>
                <w:lang w:val="en-CA"/>
              </w:rPr>
              <w:t xml:space="preserve">Class 5, </w:t>
            </w:r>
            <w:r w:rsidRPr="00F1762B">
              <w:rPr>
                <w:sz w:val="15"/>
                <w:szCs w:val="15"/>
              </w:rPr>
              <w:t>rosiglitazone and pioglitazone vs no use of thiazolidinediones</w:t>
            </w:r>
          </w:p>
        </w:tc>
        <w:tc>
          <w:tcPr>
            <w:tcW w:w="471" w:type="pct"/>
          </w:tcPr>
          <w:p w14:paraId="2CE2AAE8" w14:textId="5E297E4C" w:rsidR="003C6C25" w:rsidRPr="00F1762B" w:rsidRDefault="002427B6" w:rsidP="00E05BB0">
            <w:pPr>
              <w:rPr>
                <w:sz w:val="15"/>
                <w:szCs w:val="15"/>
                <w:lang w:val="en-CA"/>
              </w:rPr>
            </w:pPr>
            <w:r w:rsidRPr="00F1762B">
              <w:rPr>
                <w:sz w:val="15"/>
                <w:szCs w:val="15"/>
                <w:lang w:val="en-CA"/>
              </w:rPr>
              <w:t>Colorectal cancer</w:t>
            </w:r>
          </w:p>
        </w:tc>
        <w:tc>
          <w:tcPr>
            <w:tcW w:w="785" w:type="pct"/>
          </w:tcPr>
          <w:p w14:paraId="43CEC793" w14:textId="3C0BB1FF" w:rsidR="003C6C25" w:rsidRPr="00F1762B" w:rsidRDefault="003C6C25" w:rsidP="00E05BB0">
            <w:pPr>
              <w:rPr>
                <w:sz w:val="15"/>
                <w:szCs w:val="15"/>
              </w:rPr>
            </w:pPr>
            <w:r w:rsidRPr="00F1762B">
              <w:rPr>
                <w:sz w:val="15"/>
                <w:szCs w:val="15"/>
              </w:rPr>
              <w:t>Matched on sex, age (i.e., with the same birth calendar year), and the age at the time of diabetes diagnosis (the same calendar year of the initial diabetes diagnosis date);</w:t>
            </w:r>
          </w:p>
          <w:p w14:paraId="017BCE93" w14:textId="77777777" w:rsidR="003C6C25" w:rsidRPr="00F1762B" w:rsidRDefault="003C6C25" w:rsidP="00E05BB0">
            <w:pPr>
              <w:rPr>
                <w:sz w:val="15"/>
                <w:szCs w:val="15"/>
              </w:rPr>
            </w:pPr>
          </w:p>
          <w:p w14:paraId="0EC35E1A" w14:textId="67A49A74" w:rsidR="003C6C25" w:rsidRPr="00F1762B" w:rsidRDefault="003C6C25" w:rsidP="00E05BB0">
            <w:pPr>
              <w:rPr>
                <w:sz w:val="15"/>
                <w:szCs w:val="15"/>
              </w:rPr>
            </w:pPr>
            <w:r w:rsidRPr="00F1762B">
              <w:rPr>
                <w:sz w:val="15"/>
                <w:szCs w:val="15"/>
              </w:rPr>
              <w:t>Adjusted for urbanization, income, colorectal polyp disorder, inflammatory bowel disease, hypertension, hyperlipidemia, biliary stone disease, alcohol-related disease, chronic kidney disease, diabetes-related complications, ischemic heart disease, cerebrovascular disease, heart failure, chronic obstructive pulmonary disease, and hormone therapy</w:t>
            </w:r>
          </w:p>
        </w:tc>
        <w:tc>
          <w:tcPr>
            <w:tcW w:w="307" w:type="pct"/>
          </w:tcPr>
          <w:p w14:paraId="77FDBA6C" w14:textId="43090C5E" w:rsidR="003C6C25" w:rsidRPr="00F1762B" w:rsidRDefault="003C6C25" w:rsidP="00E05BB0">
            <w:pPr>
              <w:rPr>
                <w:sz w:val="15"/>
                <w:szCs w:val="15"/>
                <w:lang w:val="en-CA"/>
              </w:rPr>
            </w:pPr>
            <w:r w:rsidRPr="00F1762B">
              <w:rPr>
                <w:rFonts w:ascii="Calibri" w:hAnsi="Calibri"/>
                <w:sz w:val="15"/>
                <w:szCs w:val="15"/>
              </w:rPr>
              <w:t>Low</w:t>
            </w:r>
          </w:p>
        </w:tc>
        <w:tc>
          <w:tcPr>
            <w:tcW w:w="204" w:type="pct"/>
          </w:tcPr>
          <w:p w14:paraId="7C2218C1" w14:textId="76C48D1F" w:rsidR="003C6C25" w:rsidRPr="00F1762B" w:rsidRDefault="003C6C25" w:rsidP="00E05BB0">
            <w:pPr>
              <w:rPr>
                <w:rFonts w:ascii="Calibri" w:hAnsi="Calibri"/>
                <w:sz w:val="15"/>
                <w:szCs w:val="15"/>
              </w:rPr>
            </w:pPr>
            <w:r w:rsidRPr="00F1762B">
              <w:rPr>
                <w:rFonts w:ascii="Calibri" w:hAnsi="Calibri"/>
                <w:sz w:val="15"/>
                <w:szCs w:val="15"/>
              </w:rPr>
              <w:t>8</w:t>
            </w:r>
          </w:p>
        </w:tc>
      </w:tr>
      <w:tr w:rsidR="00B7487B" w:rsidRPr="00F1762B" w14:paraId="1C45B961" w14:textId="431CA4C4" w:rsidTr="00F1762B">
        <w:tc>
          <w:tcPr>
            <w:tcW w:w="517" w:type="pct"/>
          </w:tcPr>
          <w:p w14:paraId="1796DEE2" w14:textId="15AC5017" w:rsidR="003C6C25" w:rsidRPr="00F1762B" w:rsidRDefault="003C6C25" w:rsidP="00E05BB0">
            <w:pPr>
              <w:rPr>
                <w:sz w:val="15"/>
                <w:szCs w:val="15"/>
                <w:lang w:val="en-CA"/>
              </w:rPr>
            </w:pPr>
            <w:r w:rsidRPr="00F1762B">
              <w:rPr>
                <w:rFonts w:ascii="Calibri" w:hAnsi="Calibri"/>
                <w:sz w:val="15"/>
                <w:szCs w:val="15"/>
              </w:rPr>
              <w:lastRenderedPageBreak/>
              <w:t>Smiechowski 2013b</w:t>
            </w:r>
          </w:p>
        </w:tc>
        <w:tc>
          <w:tcPr>
            <w:tcW w:w="447" w:type="pct"/>
          </w:tcPr>
          <w:p w14:paraId="11F149CA" w14:textId="212D28E6" w:rsidR="003C6C25" w:rsidRPr="00F1762B" w:rsidRDefault="003C6C25" w:rsidP="00E05BB0">
            <w:pPr>
              <w:rPr>
                <w:sz w:val="15"/>
                <w:szCs w:val="15"/>
                <w:lang w:val="en-CA"/>
              </w:rPr>
            </w:pPr>
            <w:r w:rsidRPr="00F1762B">
              <w:rPr>
                <w:rFonts w:ascii="Calibri" w:hAnsi="Calibri"/>
                <w:sz w:val="15"/>
                <w:szCs w:val="15"/>
              </w:rPr>
              <w:t>United Kingdom; population-based</w:t>
            </w:r>
          </w:p>
        </w:tc>
        <w:tc>
          <w:tcPr>
            <w:tcW w:w="491" w:type="pct"/>
          </w:tcPr>
          <w:p w14:paraId="70A87B02" w14:textId="2453C696" w:rsidR="003C6C25" w:rsidRPr="00F1762B" w:rsidRDefault="003C6C25" w:rsidP="00E05BB0">
            <w:pPr>
              <w:rPr>
                <w:sz w:val="15"/>
                <w:szCs w:val="15"/>
                <w:lang w:val="en-CA"/>
              </w:rPr>
            </w:pPr>
            <w:r w:rsidRPr="00F1762B">
              <w:rPr>
                <w:rFonts w:ascii="Calibri" w:hAnsi="Calibri"/>
                <w:sz w:val="15"/>
                <w:szCs w:val="15"/>
              </w:rPr>
              <w:t>1988 to 2009; mean 5.6</w:t>
            </w:r>
          </w:p>
        </w:tc>
        <w:tc>
          <w:tcPr>
            <w:tcW w:w="620" w:type="pct"/>
          </w:tcPr>
          <w:p w14:paraId="0A83F783" w14:textId="74ED6C3C" w:rsidR="003C6C25" w:rsidRPr="00F1762B" w:rsidRDefault="003C6C25" w:rsidP="00E05BB0">
            <w:pPr>
              <w:rPr>
                <w:sz w:val="15"/>
                <w:szCs w:val="15"/>
                <w:lang w:val="en-CA"/>
              </w:rPr>
            </w:pPr>
            <w:r w:rsidRPr="00F1762B">
              <w:rPr>
                <w:rFonts w:ascii="Calibri" w:hAnsi="Calibri"/>
                <w:sz w:val="15"/>
                <w:szCs w:val="15"/>
              </w:rPr>
              <w:t>NA; 73.1 (8.5) in lung cancer cases and 73.1 (8.3) in controls</w:t>
            </w:r>
          </w:p>
        </w:tc>
        <w:tc>
          <w:tcPr>
            <w:tcW w:w="620" w:type="pct"/>
          </w:tcPr>
          <w:p w14:paraId="03BB12C4" w14:textId="2C058286" w:rsidR="003C6C25" w:rsidRPr="00F1762B" w:rsidRDefault="003C6C25" w:rsidP="00E05BB0">
            <w:pPr>
              <w:rPr>
                <w:sz w:val="15"/>
                <w:szCs w:val="15"/>
                <w:lang w:val="en-CA"/>
              </w:rPr>
            </w:pPr>
            <w:r w:rsidRPr="00F1762B">
              <w:rPr>
                <w:sz w:val="15"/>
                <w:szCs w:val="15"/>
                <w:lang w:val="en-CA"/>
              </w:rPr>
              <w:t>65.1</w:t>
            </w:r>
          </w:p>
        </w:tc>
        <w:tc>
          <w:tcPr>
            <w:tcW w:w="537" w:type="pct"/>
          </w:tcPr>
          <w:p w14:paraId="3ACBA931" w14:textId="13B986C3" w:rsidR="003C6C25" w:rsidRPr="00F1762B" w:rsidRDefault="003C6C25" w:rsidP="00E05BB0">
            <w:pPr>
              <w:rPr>
                <w:sz w:val="15"/>
                <w:szCs w:val="15"/>
                <w:lang w:val="en-CA"/>
              </w:rPr>
            </w:pPr>
            <w:r w:rsidRPr="00F1762B">
              <w:rPr>
                <w:sz w:val="15"/>
                <w:szCs w:val="15"/>
                <w:lang w:val="en-CA"/>
              </w:rPr>
              <w:t>Class 1, metformin vs no use of metformin</w:t>
            </w:r>
          </w:p>
        </w:tc>
        <w:tc>
          <w:tcPr>
            <w:tcW w:w="471" w:type="pct"/>
          </w:tcPr>
          <w:p w14:paraId="32269B49" w14:textId="78DF06E4" w:rsidR="003C6C25" w:rsidRPr="00F1762B" w:rsidRDefault="002427B6" w:rsidP="00E05BB0">
            <w:pPr>
              <w:rPr>
                <w:sz w:val="15"/>
                <w:szCs w:val="15"/>
                <w:lang w:val="en-CA"/>
              </w:rPr>
            </w:pPr>
            <w:r w:rsidRPr="00F1762B">
              <w:rPr>
                <w:sz w:val="15"/>
                <w:szCs w:val="15"/>
                <w:lang w:val="en-CA"/>
              </w:rPr>
              <w:t>Lung cancer</w:t>
            </w:r>
          </w:p>
        </w:tc>
        <w:tc>
          <w:tcPr>
            <w:tcW w:w="785" w:type="pct"/>
          </w:tcPr>
          <w:p w14:paraId="29B6C170" w14:textId="34F956C7" w:rsidR="003C6C25" w:rsidRPr="00F1762B" w:rsidRDefault="003C6C25" w:rsidP="00E05BB0">
            <w:pPr>
              <w:rPr>
                <w:sz w:val="15"/>
                <w:szCs w:val="15"/>
              </w:rPr>
            </w:pPr>
            <w:r w:rsidRPr="00F1762B">
              <w:rPr>
                <w:sz w:val="15"/>
                <w:szCs w:val="15"/>
              </w:rPr>
              <w:t>Matched on year of birth (age), sex, calendar year of cohort entry, and duration of follow-up;</w:t>
            </w:r>
          </w:p>
          <w:p w14:paraId="05F43AD7" w14:textId="77777777" w:rsidR="003C6C25" w:rsidRPr="00F1762B" w:rsidRDefault="003C6C25" w:rsidP="00E05BB0">
            <w:pPr>
              <w:rPr>
                <w:sz w:val="15"/>
                <w:szCs w:val="15"/>
              </w:rPr>
            </w:pPr>
          </w:p>
          <w:p w14:paraId="0E201B3C" w14:textId="33C31BBC" w:rsidR="003C6C25" w:rsidRPr="00F1762B" w:rsidRDefault="003C6C25" w:rsidP="00E05BB0">
            <w:pPr>
              <w:rPr>
                <w:sz w:val="15"/>
                <w:szCs w:val="15"/>
              </w:rPr>
            </w:pPr>
            <w:r w:rsidRPr="00F1762B">
              <w:rPr>
                <w:sz w:val="15"/>
                <w:szCs w:val="15"/>
              </w:rPr>
              <w:t xml:space="preserve">Adjusted for diabetes duration, </w:t>
            </w:r>
            <w:r w:rsidRPr="00F1762B">
              <w:rPr>
                <w:sz w:val="15"/>
                <w:szCs w:val="15"/>
                <w:lang w:val="en-CA"/>
              </w:rPr>
              <w:t>HbA1c</w:t>
            </w:r>
            <w:r w:rsidRPr="00F1762B">
              <w:rPr>
                <w:sz w:val="15"/>
                <w:szCs w:val="15"/>
              </w:rPr>
              <w:t>, obesity, smoking, excessive alcohol use, previous cancer, chronic obstructive pulmonary disease, asthma, nonsteroidal anti-inflammatory drugs, aspirin, statins, and other antidiabetic drugs</w:t>
            </w:r>
          </w:p>
        </w:tc>
        <w:tc>
          <w:tcPr>
            <w:tcW w:w="307" w:type="pct"/>
          </w:tcPr>
          <w:p w14:paraId="00C18CDD" w14:textId="130D20A0" w:rsidR="003C6C25" w:rsidRPr="00F1762B" w:rsidRDefault="003C6C25" w:rsidP="00E05BB0">
            <w:pPr>
              <w:rPr>
                <w:sz w:val="15"/>
                <w:szCs w:val="15"/>
                <w:lang w:val="en-CA"/>
              </w:rPr>
            </w:pPr>
            <w:r w:rsidRPr="00F1762B">
              <w:rPr>
                <w:rFonts w:ascii="Calibri" w:hAnsi="Calibri"/>
                <w:sz w:val="15"/>
                <w:szCs w:val="15"/>
              </w:rPr>
              <w:t>Low</w:t>
            </w:r>
          </w:p>
        </w:tc>
        <w:tc>
          <w:tcPr>
            <w:tcW w:w="204" w:type="pct"/>
          </w:tcPr>
          <w:p w14:paraId="3CE9C866" w14:textId="6D66CF8D" w:rsidR="003C6C25" w:rsidRPr="00F1762B" w:rsidRDefault="003C6C25" w:rsidP="00E05BB0">
            <w:pPr>
              <w:rPr>
                <w:rFonts w:ascii="Calibri" w:hAnsi="Calibri"/>
                <w:sz w:val="15"/>
                <w:szCs w:val="15"/>
              </w:rPr>
            </w:pPr>
            <w:r w:rsidRPr="00F1762B">
              <w:rPr>
                <w:rFonts w:ascii="Calibri" w:hAnsi="Calibri"/>
                <w:sz w:val="15"/>
                <w:szCs w:val="15"/>
              </w:rPr>
              <w:t>7</w:t>
            </w:r>
          </w:p>
        </w:tc>
      </w:tr>
      <w:tr w:rsidR="00B7487B" w:rsidRPr="00F1762B" w14:paraId="78BF5434" w14:textId="6FB9B8AF" w:rsidTr="00F1762B">
        <w:tc>
          <w:tcPr>
            <w:tcW w:w="517" w:type="pct"/>
          </w:tcPr>
          <w:p w14:paraId="39E56F78" w14:textId="43F0DAE0" w:rsidR="003C6C25" w:rsidRPr="00F1762B" w:rsidRDefault="003C6C25" w:rsidP="00E05BB0">
            <w:pPr>
              <w:rPr>
                <w:sz w:val="15"/>
                <w:szCs w:val="15"/>
                <w:lang w:val="en-CA"/>
              </w:rPr>
            </w:pPr>
            <w:r w:rsidRPr="00F1762B">
              <w:rPr>
                <w:rFonts w:ascii="Calibri" w:hAnsi="Calibri"/>
                <w:sz w:val="15"/>
                <w:szCs w:val="15"/>
              </w:rPr>
              <w:t>Boxall 2016</w:t>
            </w:r>
          </w:p>
        </w:tc>
        <w:tc>
          <w:tcPr>
            <w:tcW w:w="447" w:type="pct"/>
          </w:tcPr>
          <w:p w14:paraId="31F21A89" w14:textId="5C86C95C" w:rsidR="003C6C25" w:rsidRPr="00F1762B" w:rsidRDefault="003C6C25" w:rsidP="00E05BB0">
            <w:pPr>
              <w:rPr>
                <w:sz w:val="15"/>
                <w:szCs w:val="15"/>
                <w:lang w:val="en-CA"/>
              </w:rPr>
            </w:pPr>
            <w:r w:rsidRPr="00F1762B">
              <w:rPr>
                <w:rFonts w:ascii="Calibri" w:hAnsi="Calibri"/>
                <w:sz w:val="15"/>
                <w:szCs w:val="15"/>
              </w:rPr>
              <w:t>United Kingdom; population-based</w:t>
            </w:r>
          </w:p>
        </w:tc>
        <w:tc>
          <w:tcPr>
            <w:tcW w:w="491" w:type="pct"/>
          </w:tcPr>
          <w:p w14:paraId="2FF0C3F3" w14:textId="0BD04F9D" w:rsidR="003C6C25" w:rsidRPr="00F1762B" w:rsidRDefault="003C6C25" w:rsidP="00E05BB0">
            <w:pPr>
              <w:rPr>
                <w:sz w:val="15"/>
                <w:szCs w:val="15"/>
                <w:lang w:val="en-CA"/>
              </w:rPr>
            </w:pPr>
            <w:r w:rsidRPr="00F1762B">
              <w:rPr>
                <w:rFonts w:ascii="Calibri" w:hAnsi="Calibri"/>
                <w:sz w:val="15"/>
                <w:szCs w:val="15"/>
              </w:rPr>
              <w:t>2001 to 2014; mean 5.2</w:t>
            </w:r>
          </w:p>
        </w:tc>
        <w:tc>
          <w:tcPr>
            <w:tcW w:w="620" w:type="pct"/>
          </w:tcPr>
          <w:p w14:paraId="429A145F" w14:textId="3841FF96" w:rsidR="003C6C25" w:rsidRPr="00F1762B" w:rsidRDefault="003C6C25" w:rsidP="00E05BB0">
            <w:pPr>
              <w:rPr>
                <w:sz w:val="15"/>
                <w:szCs w:val="15"/>
                <w:lang w:val="en-CA"/>
              </w:rPr>
            </w:pPr>
            <w:r w:rsidRPr="00F1762B">
              <w:rPr>
                <w:rFonts w:ascii="Calibri" w:hAnsi="Calibri"/>
                <w:sz w:val="15"/>
                <w:szCs w:val="15"/>
              </w:rPr>
              <w:t>40+; 70.3 in prostate cancer cases and 69.5 in controls</w:t>
            </w:r>
          </w:p>
        </w:tc>
        <w:tc>
          <w:tcPr>
            <w:tcW w:w="620" w:type="pct"/>
          </w:tcPr>
          <w:p w14:paraId="2C0C6B36" w14:textId="50901229" w:rsidR="003C6C25" w:rsidRPr="00F1762B" w:rsidRDefault="003C6C25" w:rsidP="00E05BB0">
            <w:pPr>
              <w:rPr>
                <w:sz w:val="15"/>
                <w:szCs w:val="15"/>
                <w:lang w:val="en-CA"/>
              </w:rPr>
            </w:pPr>
            <w:r w:rsidRPr="00F1762B">
              <w:rPr>
                <w:sz w:val="15"/>
                <w:szCs w:val="15"/>
                <w:lang w:val="en-CA"/>
              </w:rPr>
              <w:t>100.0</w:t>
            </w:r>
          </w:p>
        </w:tc>
        <w:tc>
          <w:tcPr>
            <w:tcW w:w="537" w:type="pct"/>
          </w:tcPr>
          <w:p w14:paraId="5596BB40" w14:textId="7A1EB0B0" w:rsidR="003C6C25" w:rsidRPr="00F1762B" w:rsidRDefault="003C6C25" w:rsidP="00E05BB0">
            <w:pPr>
              <w:rPr>
                <w:sz w:val="15"/>
                <w:szCs w:val="15"/>
                <w:lang w:val="en-CA"/>
              </w:rPr>
            </w:pPr>
            <w:r w:rsidRPr="00F1762B">
              <w:rPr>
                <w:sz w:val="15"/>
                <w:szCs w:val="15"/>
                <w:lang w:val="en-CA"/>
              </w:rPr>
              <w:t>Class 1, metformin vs no use of metformin;</w:t>
            </w:r>
          </w:p>
          <w:p w14:paraId="488776F7" w14:textId="77777777" w:rsidR="003C6C25" w:rsidRPr="00F1762B" w:rsidRDefault="003C6C25" w:rsidP="00E05BB0">
            <w:pPr>
              <w:rPr>
                <w:sz w:val="15"/>
                <w:szCs w:val="15"/>
                <w:lang w:val="en-CA"/>
              </w:rPr>
            </w:pPr>
          </w:p>
          <w:p w14:paraId="6253B887" w14:textId="066D4E1F" w:rsidR="003C6C25" w:rsidRPr="00F1762B" w:rsidRDefault="003C6C25" w:rsidP="00E05BB0">
            <w:pPr>
              <w:rPr>
                <w:sz w:val="15"/>
                <w:szCs w:val="15"/>
                <w:lang w:val="en-CA"/>
              </w:rPr>
            </w:pPr>
            <w:r w:rsidRPr="00F1762B">
              <w:rPr>
                <w:sz w:val="15"/>
                <w:szCs w:val="15"/>
                <w:lang w:val="en-CA"/>
              </w:rPr>
              <w:t>Class 4, sulfonylureas vs no use of sulfonylureas;</w:t>
            </w:r>
          </w:p>
          <w:p w14:paraId="2BD233DA" w14:textId="77777777" w:rsidR="003C6C25" w:rsidRPr="00F1762B" w:rsidRDefault="003C6C25" w:rsidP="00E05BB0">
            <w:pPr>
              <w:rPr>
                <w:sz w:val="15"/>
                <w:szCs w:val="15"/>
                <w:lang w:val="en-CA"/>
              </w:rPr>
            </w:pPr>
          </w:p>
          <w:p w14:paraId="5BF06186" w14:textId="2A5AAA3E" w:rsidR="003C6C25" w:rsidRPr="00F1762B" w:rsidRDefault="003C6C25" w:rsidP="00E05BB0">
            <w:pPr>
              <w:rPr>
                <w:sz w:val="15"/>
                <w:szCs w:val="15"/>
                <w:lang w:val="en-CA"/>
              </w:rPr>
            </w:pPr>
            <w:r w:rsidRPr="00F1762B">
              <w:rPr>
                <w:sz w:val="15"/>
                <w:szCs w:val="15"/>
                <w:lang w:val="en-CA"/>
              </w:rPr>
              <w:t>Class 5, pioglitazone or thiazolidinediones vs no use of pioglitazone or thiazolidinediones;</w:t>
            </w:r>
          </w:p>
          <w:p w14:paraId="638193EC" w14:textId="77777777" w:rsidR="003C6C25" w:rsidRPr="00F1762B" w:rsidRDefault="003C6C25" w:rsidP="00E05BB0">
            <w:pPr>
              <w:rPr>
                <w:sz w:val="15"/>
                <w:szCs w:val="15"/>
                <w:lang w:val="en-CA"/>
              </w:rPr>
            </w:pPr>
          </w:p>
          <w:p w14:paraId="7379C344" w14:textId="3E04D8B8" w:rsidR="003C6C25" w:rsidRPr="00F1762B" w:rsidRDefault="003C6C25" w:rsidP="00E05BB0">
            <w:pPr>
              <w:rPr>
                <w:sz w:val="15"/>
                <w:szCs w:val="15"/>
                <w:lang w:val="en-CA"/>
              </w:rPr>
            </w:pPr>
            <w:r w:rsidRPr="00F1762B">
              <w:rPr>
                <w:sz w:val="15"/>
                <w:szCs w:val="15"/>
                <w:lang w:val="en-CA"/>
              </w:rPr>
              <w:t>Class 6, insulins vs no use of insulins</w:t>
            </w:r>
          </w:p>
        </w:tc>
        <w:tc>
          <w:tcPr>
            <w:tcW w:w="471" w:type="pct"/>
          </w:tcPr>
          <w:p w14:paraId="214500F0" w14:textId="1F185E81" w:rsidR="003C6C25" w:rsidRPr="00F1762B" w:rsidRDefault="002427B6" w:rsidP="00E05BB0">
            <w:pPr>
              <w:rPr>
                <w:sz w:val="15"/>
                <w:szCs w:val="15"/>
                <w:lang w:val="en-CA"/>
              </w:rPr>
            </w:pPr>
            <w:r w:rsidRPr="00F1762B">
              <w:rPr>
                <w:sz w:val="15"/>
                <w:szCs w:val="15"/>
                <w:lang w:val="en-CA"/>
              </w:rPr>
              <w:t>Prostate cancer</w:t>
            </w:r>
          </w:p>
        </w:tc>
        <w:tc>
          <w:tcPr>
            <w:tcW w:w="785" w:type="pct"/>
          </w:tcPr>
          <w:p w14:paraId="6F41CD21" w14:textId="722C3AEC" w:rsidR="003C6C25" w:rsidRPr="00F1762B" w:rsidRDefault="003C6C25" w:rsidP="00E05BB0">
            <w:pPr>
              <w:rPr>
                <w:sz w:val="15"/>
                <w:szCs w:val="15"/>
              </w:rPr>
            </w:pPr>
            <w:r w:rsidRPr="00F1762B">
              <w:rPr>
                <w:sz w:val="15"/>
                <w:szCs w:val="15"/>
              </w:rPr>
              <w:t>Matched on age at cohort entry date ±3 years, cohort entry date ±6 months and region</w:t>
            </w:r>
          </w:p>
        </w:tc>
        <w:tc>
          <w:tcPr>
            <w:tcW w:w="307" w:type="pct"/>
          </w:tcPr>
          <w:p w14:paraId="4A6751F1" w14:textId="37564763" w:rsidR="003C6C25" w:rsidRPr="00F1762B" w:rsidRDefault="003C6C25" w:rsidP="00E05BB0">
            <w:pPr>
              <w:rPr>
                <w:sz w:val="15"/>
                <w:szCs w:val="15"/>
                <w:lang w:val="en-CA"/>
              </w:rPr>
            </w:pPr>
            <w:r w:rsidRPr="00F1762B">
              <w:rPr>
                <w:rFonts w:ascii="Calibri" w:hAnsi="Calibri"/>
                <w:sz w:val="15"/>
                <w:szCs w:val="15"/>
              </w:rPr>
              <w:t>Low</w:t>
            </w:r>
          </w:p>
        </w:tc>
        <w:tc>
          <w:tcPr>
            <w:tcW w:w="204" w:type="pct"/>
          </w:tcPr>
          <w:p w14:paraId="42EF044A" w14:textId="1C3546A4" w:rsidR="003C6C25" w:rsidRPr="00F1762B" w:rsidRDefault="003C6C25" w:rsidP="00E05BB0">
            <w:pPr>
              <w:rPr>
                <w:rFonts w:ascii="Calibri" w:hAnsi="Calibri"/>
                <w:sz w:val="15"/>
                <w:szCs w:val="15"/>
              </w:rPr>
            </w:pPr>
            <w:r w:rsidRPr="00F1762B">
              <w:rPr>
                <w:rFonts w:ascii="Calibri" w:hAnsi="Calibri"/>
                <w:sz w:val="15"/>
                <w:szCs w:val="15"/>
              </w:rPr>
              <w:t>7</w:t>
            </w:r>
          </w:p>
        </w:tc>
      </w:tr>
      <w:tr w:rsidR="00B7487B" w:rsidRPr="00F1762B" w14:paraId="4435161F" w14:textId="66846851" w:rsidTr="00F1762B">
        <w:tc>
          <w:tcPr>
            <w:tcW w:w="517" w:type="pct"/>
          </w:tcPr>
          <w:p w14:paraId="5F0E3DEF" w14:textId="2C8DE7EA" w:rsidR="003C6C25" w:rsidRPr="00F1762B" w:rsidRDefault="003C6C25" w:rsidP="00E05BB0">
            <w:pPr>
              <w:rPr>
                <w:sz w:val="15"/>
                <w:szCs w:val="15"/>
                <w:lang w:val="en-CA"/>
              </w:rPr>
            </w:pPr>
            <w:r w:rsidRPr="00F1762B">
              <w:rPr>
                <w:rFonts w:ascii="Calibri" w:hAnsi="Calibri"/>
                <w:sz w:val="15"/>
                <w:szCs w:val="15"/>
              </w:rPr>
              <w:t>Rosato 2016</w:t>
            </w:r>
          </w:p>
        </w:tc>
        <w:tc>
          <w:tcPr>
            <w:tcW w:w="447" w:type="pct"/>
          </w:tcPr>
          <w:p w14:paraId="406ADB28" w14:textId="24ADB9EF" w:rsidR="003C6C25" w:rsidRPr="00F1762B" w:rsidRDefault="003C6C25" w:rsidP="00E05BB0">
            <w:pPr>
              <w:rPr>
                <w:sz w:val="15"/>
                <w:szCs w:val="15"/>
                <w:lang w:val="en-CA"/>
              </w:rPr>
            </w:pPr>
            <w:r w:rsidRPr="00F1762B">
              <w:rPr>
                <w:rFonts w:ascii="Calibri" w:hAnsi="Calibri"/>
                <w:sz w:val="15"/>
                <w:szCs w:val="15"/>
              </w:rPr>
              <w:t>Italy and Spain; hospital-based and population-based, respectively</w:t>
            </w:r>
          </w:p>
        </w:tc>
        <w:tc>
          <w:tcPr>
            <w:tcW w:w="491" w:type="pct"/>
          </w:tcPr>
          <w:p w14:paraId="5E66657F" w14:textId="10C918C4" w:rsidR="003C6C25" w:rsidRPr="00F1762B" w:rsidRDefault="003C6C25" w:rsidP="00E05BB0">
            <w:pPr>
              <w:rPr>
                <w:sz w:val="15"/>
                <w:szCs w:val="15"/>
                <w:lang w:val="en-CA"/>
              </w:rPr>
            </w:pPr>
            <w:r w:rsidRPr="00F1762B">
              <w:rPr>
                <w:rFonts w:ascii="Calibri" w:hAnsi="Calibri"/>
                <w:sz w:val="15"/>
                <w:szCs w:val="15"/>
              </w:rPr>
              <w:t>2007 to 2013; NA</w:t>
            </w:r>
          </w:p>
        </w:tc>
        <w:tc>
          <w:tcPr>
            <w:tcW w:w="620" w:type="pct"/>
          </w:tcPr>
          <w:p w14:paraId="21A2F7C1" w14:textId="77777777" w:rsidR="003C6C25" w:rsidRPr="00F1762B" w:rsidRDefault="003C6C25" w:rsidP="00E05BB0">
            <w:pPr>
              <w:rPr>
                <w:rFonts w:ascii="Calibri" w:hAnsi="Calibri"/>
                <w:sz w:val="15"/>
                <w:szCs w:val="15"/>
              </w:rPr>
            </w:pPr>
            <w:r w:rsidRPr="00F1762B">
              <w:rPr>
                <w:rFonts w:ascii="Calibri" w:hAnsi="Calibri"/>
                <w:sz w:val="15"/>
                <w:szCs w:val="15"/>
              </w:rPr>
              <w:t>Study in Italy:</w:t>
            </w:r>
          </w:p>
          <w:p w14:paraId="5935334B" w14:textId="77777777" w:rsidR="003C6C25" w:rsidRPr="00F1762B" w:rsidRDefault="003C6C25" w:rsidP="00E05BB0">
            <w:pPr>
              <w:rPr>
                <w:rFonts w:ascii="Calibri" w:hAnsi="Calibri"/>
                <w:sz w:val="15"/>
                <w:szCs w:val="15"/>
              </w:rPr>
            </w:pPr>
            <w:r w:rsidRPr="00F1762B">
              <w:rPr>
                <w:rFonts w:ascii="Calibri" w:hAnsi="Calibri"/>
                <w:sz w:val="15"/>
                <w:szCs w:val="15"/>
              </w:rPr>
              <w:t>range 35 to 80, median 67.0 in colorectal cancer cases; range 31 to 80, median 66.0 in controls.</w:t>
            </w:r>
          </w:p>
          <w:p w14:paraId="7A535FD3" w14:textId="07015562" w:rsidR="003C6C25" w:rsidRPr="00F1762B" w:rsidRDefault="003C6C25" w:rsidP="00E05BB0">
            <w:pPr>
              <w:rPr>
                <w:rFonts w:ascii="Calibri" w:hAnsi="Calibri"/>
                <w:sz w:val="15"/>
                <w:szCs w:val="15"/>
              </w:rPr>
            </w:pPr>
            <w:r w:rsidRPr="00F1762B">
              <w:rPr>
                <w:rFonts w:ascii="Calibri" w:hAnsi="Calibri"/>
                <w:sz w:val="15"/>
                <w:szCs w:val="15"/>
              </w:rPr>
              <w:br/>
              <w:t>Study in Spain:</w:t>
            </w:r>
          </w:p>
          <w:p w14:paraId="19509C6B" w14:textId="4B396918" w:rsidR="003C6C25" w:rsidRPr="00F1762B" w:rsidRDefault="003C6C25" w:rsidP="00E05BB0">
            <w:pPr>
              <w:rPr>
                <w:rFonts w:ascii="Calibri" w:hAnsi="Calibri"/>
                <w:sz w:val="15"/>
                <w:szCs w:val="15"/>
              </w:rPr>
            </w:pPr>
            <w:r w:rsidRPr="00F1762B">
              <w:rPr>
                <w:rFonts w:ascii="Calibri" w:hAnsi="Calibri"/>
                <w:sz w:val="15"/>
                <w:szCs w:val="15"/>
              </w:rPr>
              <w:t>range 22 to 85, median 68.0 in colorectal cancer cases; range 28 to 85; median 66.0 in controls.</w:t>
            </w:r>
          </w:p>
        </w:tc>
        <w:tc>
          <w:tcPr>
            <w:tcW w:w="620" w:type="pct"/>
          </w:tcPr>
          <w:p w14:paraId="448D8232" w14:textId="2AF622DF" w:rsidR="003C6C25" w:rsidRPr="00F1762B" w:rsidRDefault="003C6C25" w:rsidP="00E05BB0">
            <w:pPr>
              <w:rPr>
                <w:sz w:val="15"/>
                <w:szCs w:val="15"/>
              </w:rPr>
            </w:pPr>
            <w:r w:rsidRPr="00F1762B">
              <w:rPr>
                <w:sz w:val="15"/>
                <w:szCs w:val="15"/>
              </w:rPr>
              <w:t>65.4 in colorectal cancer cases; 62.6 in controls</w:t>
            </w:r>
          </w:p>
        </w:tc>
        <w:tc>
          <w:tcPr>
            <w:tcW w:w="537" w:type="pct"/>
          </w:tcPr>
          <w:p w14:paraId="1C5350B9" w14:textId="7341E217" w:rsidR="003C6C25" w:rsidRPr="00F1762B" w:rsidRDefault="003C6C25" w:rsidP="00E05BB0">
            <w:pPr>
              <w:rPr>
                <w:sz w:val="15"/>
                <w:szCs w:val="15"/>
                <w:lang w:val="en-CA"/>
              </w:rPr>
            </w:pPr>
            <w:r w:rsidRPr="00F1762B">
              <w:rPr>
                <w:sz w:val="15"/>
                <w:szCs w:val="15"/>
                <w:lang w:val="en-CA"/>
              </w:rPr>
              <w:t>Class 1, metformin vs no use of metformin;</w:t>
            </w:r>
          </w:p>
          <w:p w14:paraId="68B9D2D9" w14:textId="77777777" w:rsidR="003C6C25" w:rsidRPr="00F1762B" w:rsidRDefault="003C6C25" w:rsidP="00E05BB0">
            <w:pPr>
              <w:rPr>
                <w:sz w:val="15"/>
                <w:szCs w:val="15"/>
                <w:lang w:val="en-CA"/>
              </w:rPr>
            </w:pPr>
          </w:p>
          <w:p w14:paraId="507409E9" w14:textId="418B76D4" w:rsidR="003C6C25" w:rsidRPr="00F1762B" w:rsidRDefault="003C6C25" w:rsidP="00E05BB0">
            <w:pPr>
              <w:rPr>
                <w:sz w:val="15"/>
                <w:szCs w:val="15"/>
                <w:lang w:val="en-CA"/>
              </w:rPr>
            </w:pPr>
            <w:r w:rsidRPr="00F1762B">
              <w:rPr>
                <w:sz w:val="15"/>
                <w:szCs w:val="15"/>
                <w:lang w:val="en-CA"/>
              </w:rPr>
              <w:t>Class 4, sulfonylurea derivatives vs no use of sulfonylurea derivatives;</w:t>
            </w:r>
          </w:p>
          <w:p w14:paraId="2242C9D6" w14:textId="77777777" w:rsidR="003C6C25" w:rsidRPr="00F1762B" w:rsidRDefault="003C6C25" w:rsidP="00E05BB0">
            <w:pPr>
              <w:rPr>
                <w:sz w:val="15"/>
                <w:szCs w:val="15"/>
                <w:lang w:val="en-CA"/>
              </w:rPr>
            </w:pPr>
          </w:p>
          <w:p w14:paraId="03C8A364" w14:textId="67B64D23" w:rsidR="003C6C25" w:rsidRPr="00F1762B" w:rsidRDefault="003C6C25" w:rsidP="00E05BB0">
            <w:pPr>
              <w:rPr>
                <w:sz w:val="15"/>
                <w:szCs w:val="15"/>
                <w:lang w:val="en-CA"/>
              </w:rPr>
            </w:pPr>
            <w:r w:rsidRPr="00F1762B">
              <w:rPr>
                <w:sz w:val="15"/>
                <w:szCs w:val="15"/>
                <w:lang w:val="en-CA"/>
              </w:rPr>
              <w:t>Class 6, insulin vs no use of insulin</w:t>
            </w:r>
          </w:p>
        </w:tc>
        <w:tc>
          <w:tcPr>
            <w:tcW w:w="471" w:type="pct"/>
          </w:tcPr>
          <w:p w14:paraId="4330E408" w14:textId="04EE3024" w:rsidR="003C6C25" w:rsidRPr="00F1762B" w:rsidRDefault="002427B6" w:rsidP="00E05BB0">
            <w:pPr>
              <w:rPr>
                <w:sz w:val="15"/>
                <w:szCs w:val="15"/>
                <w:lang w:val="en-CA"/>
              </w:rPr>
            </w:pPr>
            <w:r w:rsidRPr="00F1762B">
              <w:rPr>
                <w:sz w:val="15"/>
                <w:szCs w:val="15"/>
                <w:lang w:val="en-CA"/>
              </w:rPr>
              <w:t>Colorectal cancer</w:t>
            </w:r>
          </w:p>
        </w:tc>
        <w:tc>
          <w:tcPr>
            <w:tcW w:w="785" w:type="pct"/>
          </w:tcPr>
          <w:p w14:paraId="45A8E34B" w14:textId="5A39408F" w:rsidR="003C6C25" w:rsidRPr="00F1762B" w:rsidRDefault="003C6C25" w:rsidP="00E05BB0">
            <w:pPr>
              <w:rPr>
                <w:sz w:val="15"/>
                <w:szCs w:val="15"/>
              </w:rPr>
            </w:pPr>
            <w:r w:rsidRPr="00F1762B">
              <w:rPr>
                <w:sz w:val="15"/>
                <w:szCs w:val="15"/>
              </w:rPr>
              <w:t>Adjusted for study center, sex, age, education, tobacco smoking, alcohol drinking, body mass index, physical activity, statin use, and aspirin use</w:t>
            </w:r>
          </w:p>
        </w:tc>
        <w:tc>
          <w:tcPr>
            <w:tcW w:w="307" w:type="pct"/>
          </w:tcPr>
          <w:p w14:paraId="7B248CA8" w14:textId="2FE1110D" w:rsidR="003C6C25" w:rsidRPr="00F1762B" w:rsidRDefault="003C6C25" w:rsidP="00E05BB0">
            <w:pPr>
              <w:rPr>
                <w:sz w:val="15"/>
                <w:szCs w:val="15"/>
                <w:lang w:val="en-CA"/>
              </w:rPr>
            </w:pPr>
            <w:r w:rsidRPr="00F1762B">
              <w:rPr>
                <w:rFonts w:ascii="Calibri" w:hAnsi="Calibri"/>
                <w:sz w:val="15"/>
                <w:szCs w:val="15"/>
              </w:rPr>
              <w:t>Moderate</w:t>
            </w:r>
          </w:p>
        </w:tc>
        <w:tc>
          <w:tcPr>
            <w:tcW w:w="204" w:type="pct"/>
          </w:tcPr>
          <w:p w14:paraId="00A2D8AD" w14:textId="42E3C324" w:rsidR="003C6C25" w:rsidRPr="00F1762B" w:rsidRDefault="003C6C25" w:rsidP="00E05BB0">
            <w:pPr>
              <w:rPr>
                <w:rFonts w:ascii="Calibri" w:hAnsi="Calibri"/>
                <w:sz w:val="15"/>
                <w:szCs w:val="15"/>
              </w:rPr>
            </w:pPr>
            <w:r w:rsidRPr="00F1762B">
              <w:rPr>
                <w:rFonts w:ascii="Calibri" w:hAnsi="Calibri"/>
                <w:sz w:val="15"/>
                <w:szCs w:val="15"/>
              </w:rPr>
              <w:t>5</w:t>
            </w:r>
          </w:p>
        </w:tc>
      </w:tr>
      <w:tr w:rsidR="00B7487B" w:rsidRPr="00F1762B" w14:paraId="001A4887" w14:textId="025F11E2" w:rsidTr="00F1762B">
        <w:tc>
          <w:tcPr>
            <w:tcW w:w="517" w:type="pct"/>
          </w:tcPr>
          <w:p w14:paraId="439E7E4D" w14:textId="2E584DC0" w:rsidR="003C6C25" w:rsidRPr="00F1762B" w:rsidRDefault="003C6C25" w:rsidP="00E05BB0">
            <w:pPr>
              <w:rPr>
                <w:sz w:val="15"/>
                <w:szCs w:val="15"/>
                <w:lang w:val="en-CA"/>
              </w:rPr>
            </w:pPr>
            <w:r w:rsidRPr="00F1762B">
              <w:rPr>
                <w:rFonts w:ascii="Calibri" w:hAnsi="Calibri"/>
                <w:sz w:val="15"/>
                <w:szCs w:val="15"/>
              </w:rPr>
              <w:lastRenderedPageBreak/>
              <w:t>Miele 2015</w:t>
            </w:r>
          </w:p>
        </w:tc>
        <w:tc>
          <w:tcPr>
            <w:tcW w:w="447" w:type="pct"/>
          </w:tcPr>
          <w:p w14:paraId="32601E0D" w14:textId="4C8F1177" w:rsidR="003C6C25" w:rsidRPr="00F1762B" w:rsidRDefault="003C6C25" w:rsidP="00E05BB0">
            <w:pPr>
              <w:rPr>
                <w:sz w:val="15"/>
                <w:szCs w:val="15"/>
                <w:lang w:val="en-CA"/>
              </w:rPr>
            </w:pPr>
            <w:r w:rsidRPr="00F1762B">
              <w:rPr>
                <w:rFonts w:ascii="Calibri" w:hAnsi="Calibri"/>
                <w:sz w:val="15"/>
                <w:szCs w:val="15"/>
              </w:rPr>
              <w:t>Italy; hospital-based</w:t>
            </w:r>
          </w:p>
        </w:tc>
        <w:tc>
          <w:tcPr>
            <w:tcW w:w="491" w:type="pct"/>
          </w:tcPr>
          <w:p w14:paraId="2C6D968A" w14:textId="56DDC008" w:rsidR="003C6C25" w:rsidRPr="00F1762B" w:rsidRDefault="003C6C25" w:rsidP="00E05BB0">
            <w:pPr>
              <w:rPr>
                <w:sz w:val="15"/>
                <w:szCs w:val="15"/>
                <w:lang w:val="en-CA"/>
              </w:rPr>
            </w:pPr>
            <w:r w:rsidRPr="00F1762B">
              <w:rPr>
                <w:rFonts w:ascii="Calibri" w:hAnsi="Calibri"/>
                <w:sz w:val="15"/>
                <w:szCs w:val="15"/>
              </w:rPr>
              <w:t>2005 to 2012; NA</w:t>
            </w:r>
          </w:p>
        </w:tc>
        <w:tc>
          <w:tcPr>
            <w:tcW w:w="620" w:type="pct"/>
          </w:tcPr>
          <w:p w14:paraId="0335005B" w14:textId="7E7E6643" w:rsidR="003C6C25" w:rsidRPr="00F1762B" w:rsidRDefault="003C6C25" w:rsidP="00E05BB0">
            <w:pPr>
              <w:rPr>
                <w:sz w:val="15"/>
                <w:szCs w:val="15"/>
                <w:lang w:val="en-CA"/>
              </w:rPr>
            </w:pPr>
            <w:r w:rsidRPr="00F1762B">
              <w:rPr>
                <w:rFonts w:ascii="Calibri" w:hAnsi="Calibri"/>
                <w:sz w:val="15"/>
                <w:szCs w:val="15"/>
              </w:rPr>
              <w:t>44.3% of hepatocellular cancer cases and 33.7% of controls were at least 70</w:t>
            </w:r>
          </w:p>
        </w:tc>
        <w:tc>
          <w:tcPr>
            <w:tcW w:w="620" w:type="pct"/>
          </w:tcPr>
          <w:p w14:paraId="235B5CD5" w14:textId="515E552B" w:rsidR="003C6C25" w:rsidRPr="00F1762B" w:rsidRDefault="003C6C25" w:rsidP="00E05BB0">
            <w:pPr>
              <w:rPr>
                <w:sz w:val="15"/>
                <w:szCs w:val="15"/>
              </w:rPr>
            </w:pPr>
            <w:r w:rsidRPr="00F1762B">
              <w:rPr>
                <w:sz w:val="15"/>
                <w:szCs w:val="15"/>
              </w:rPr>
              <w:t>72.3 in liver cancer cases; 61.7 in controls</w:t>
            </w:r>
          </w:p>
        </w:tc>
        <w:tc>
          <w:tcPr>
            <w:tcW w:w="537" w:type="pct"/>
          </w:tcPr>
          <w:p w14:paraId="049105BD" w14:textId="77777777" w:rsidR="003C6C25" w:rsidRPr="00F1762B" w:rsidRDefault="003C6C25" w:rsidP="00E05BB0">
            <w:pPr>
              <w:rPr>
                <w:sz w:val="15"/>
                <w:szCs w:val="15"/>
                <w:lang w:val="en-CA"/>
              </w:rPr>
            </w:pPr>
            <w:r w:rsidRPr="00F1762B">
              <w:rPr>
                <w:sz w:val="15"/>
                <w:szCs w:val="15"/>
                <w:lang w:val="en-CA"/>
              </w:rPr>
              <w:t>Class 1, metformin vs no use of metformin;</w:t>
            </w:r>
          </w:p>
          <w:p w14:paraId="6EFB6773" w14:textId="77777777" w:rsidR="003C6C25" w:rsidRPr="00F1762B" w:rsidRDefault="003C6C25" w:rsidP="00E05BB0">
            <w:pPr>
              <w:rPr>
                <w:sz w:val="15"/>
                <w:szCs w:val="15"/>
                <w:lang w:val="en-CA"/>
              </w:rPr>
            </w:pPr>
          </w:p>
          <w:p w14:paraId="10CA94C1" w14:textId="57BA35F8" w:rsidR="003C6C25" w:rsidRPr="00F1762B" w:rsidRDefault="003C6C25" w:rsidP="00E05BB0">
            <w:pPr>
              <w:rPr>
                <w:sz w:val="15"/>
                <w:szCs w:val="15"/>
                <w:lang w:val="en-CA"/>
              </w:rPr>
            </w:pPr>
            <w:r w:rsidRPr="00F1762B">
              <w:rPr>
                <w:sz w:val="15"/>
                <w:szCs w:val="15"/>
                <w:lang w:val="en-CA"/>
              </w:rPr>
              <w:t>Class 4, sulfonylureas vs no use of sulfonylureas;</w:t>
            </w:r>
          </w:p>
          <w:p w14:paraId="4FF237C1" w14:textId="77777777" w:rsidR="003C6C25" w:rsidRPr="00F1762B" w:rsidRDefault="003C6C25" w:rsidP="00E05BB0">
            <w:pPr>
              <w:rPr>
                <w:sz w:val="15"/>
                <w:szCs w:val="15"/>
                <w:lang w:val="en-CA"/>
              </w:rPr>
            </w:pPr>
          </w:p>
          <w:p w14:paraId="03050C96" w14:textId="1DB54768" w:rsidR="003C6C25" w:rsidRPr="00F1762B" w:rsidRDefault="003C6C25" w:rsidP="00E05BB0">
            <w:pPr>
              <w:rPr>
                <w:sz w:val="15"/>
                <w:szCs w:val="15"/>
                <w:lang w:val="en-CA"/>
              </w:rPr>
            </w:pPr>
            <w:r w:rsidRPr="00F1762B">
              <w:rPr>
                <w:sz w:val="15"/>
                <w:szCs w:val="15"/>
                <w:lang w:val="en-CA"/>
              </w:rPr>
              <w:t>Class 6, insulin vs no use of insulin</w:t>
            </w:r>
          </w:p>
        </w:tc>
        <w:tc>
          <w:tcPr>
            <w:tcW w:w="471" w:type="pct"/>
          </w:tcPr>
          <w:p w14:paraId="73C07942" w14:textId="40B98E2C" w:rsidR="003C6C25" w:rsidRPr="00F1762B" w:rsidRDefault="002427B6" w:rsidP="00E05BB0">
            <w:pPr>
              <w:rPr>
                <w:sz w:val="15"/>
                <w:szCs w:val="15"/>
                <w:lang w:val="en-CA"/>
              </w:rPr>
            </w:pPr>
            <w:r w:rsidRPr="00F1762B">
              <w:rPr>
                <w:sz w:val="15"/>
                <w:szCs w:val="15"/>
                <w:lang w:val="en-CA"/>
              </w:rPr>
              <w:t>Liver cancer</w:t>
            </w:r>
          </w:p>
        </w:tc>
        <w:tc>
          <w:tcPr>
            <w:tcW w:w="785" w:type="pct"/>
          </w:tcPr>
          <w:p w14:paraId="39F8BD9C" w14:textId="0F19DD00" w:rsidR="003C6C25" w:rsidRPr="00F1762B" w:rsidRDefault="003C6C25" w:rsidP="00E05BB0">
            <w:pPr>
              <w:rPr>
                <w:sz w:val="15"/>
                <w:szCs w:val="15"/>
              </w:rPr>
            </w:pPr>
            <w:r w:rsidRPr="00F1762B">
              <w:rPr>
                <w:sz w:val="15"/>
                <w:szCs w:val="15"/>
              </w:rPr>
              <w:t>Age, sex, tobacco smoking, and alcohol drinking</w:t>
            </w:r>
          </w:p>
        </w:tc>
        <w:tc>
          <w:tcPr>
            <w:tcW w:w="307" w:type="pct"/>
          </w:tcPr>
          <w:p w14:paraId="168ED1FB" w14:textId="29273616" w:rsidR="003C6C25" w:rsidRPr="00F1762B" w:rsidRDefault="003C6C25" w:rsidP="00E05BB0">
            <w:pPr>
              <w:rPr>
                <w:sz w:val="15"/>
                <w:szCs w:val="15"/>
                <w:lang w:val="en-CA"/>
              </w:rPr>
            </w:pPr>
            <w:r w:rsidRPr="00F1762B">
              <w:rPr>
                <w:rFonts w:ascii="Calibri" w:hAnsi="Calibri"/>
                <w:sz w:val="15"/>
                <w:szCs w:val="15"/>
              </w:rPr>
              <w:t>Moderate</w:t>
            </w:r>
          </w:p>
        </w:tc>
        <w:tc>
          <w:tcPr>
            <w:tcW w:w="204" w:type="pct"/>
          </w:tcPr>
          <w:p w14:paraId="143DC4F3" w14:textId="36C21372" w:rsidR="003C6C25" w:rsidRPr="00F1762B" w:rsidRDefault="003C6C25" w:rsidP="00E05BB0">
            <w:pPr>
              <w:rPr>
                <w:rFonts w:ascii="Calibri" w:hAnsi="Calibri"/>
                <w:sz w:val="15"/>
                <w:szCs w:val="15"/>
              </w:rPr>
            </w:pPr>
            <w:r w:rsidRPr="00F1762B">
              <w:rPr>
                <w:rFonts w:ascii="Calibri" w:hAnsi="Calibri"/>
                <w:sz w:val="15"/>
                <w:szCs w:val="15"/>
              </w:rPr>
              <w:t>4</w:t>
            </w:r>
          </w:p>
        </w:tc>
      </w:tr>
      <w:tr w:rsidR="00B7487B" w:rsidRPr="00F1762B" w14:paraId="7DB7220A" w14:textId="20B965F2" w:rsidTr="00F1762B">
        <w:tc>
          <w:tcPr>
            <w:tcW w:w="517" w:type="pct"/>
          </w:tcPr>
          <w:p w14:paraId="0B5D1B51" w14:textId="2AF60DF7" w:rsidR="003C6C25" w:rsidRPr="00F1762B" w:rsidRDefault="003C6C25" w:rsidP="00E05BB0">
            <w:pPr>
              <w:rPr>
                <w:sz w:val="15"/>
                <w:szCs w:val="15"/>
                <w:lang w:val="en-CA"/>
              </w:rPr>
            </w:pPr>
            <w:r w:rsidRPr="00F1762B">
              <w:rPr>
                <w:rFonts w:ascii="Calibri" w:hAnsi="Calibri"/>
                <w:sz w:val="15"/>
                <w:szCs w:val="15"/>
              </w:rPr>
              <w:t>Bodmer 2012b</w:t>
            </w:r>
          </w:p>
        </w:tc>
        <w:tc>
          <w:tcPr>
            <w:tcW w:w="447" w:type="pct"/>
          </w:tcPr>
          <w:p w14:paraId="0DEDB5B7" w14:textId="39E7A50A" w:rsidR="003C6C25" w:rsidRPr="00F1762B" w:rsidRDefault="003C6C25" w:rsidP="00E05BB0">
            <w:pPr>
              <w:rPr>
                <w:sz w:val="15"/>
                <w:szCs w:val="15"/>
                <w:lang w:val="en-CA"/>
              </w:rPr>
            </w:pPr>
            <w:r w:rsidRPr="00F1762B">
              <w:rPr>
                <w:rFonts w:ascii="Calibri" w:hAnsi="Calibri"/>
                <w:sz w:val="15"/>
                <w:szCs w:val="15"/>
              </w:rPr>
              <w:t>United Kingdom; population-based</w:t>
            </w:r>
          </w:p>
        </w:tc>
        <w:tc>
          <w:tcPr>
            <w:tcW w:w="491" w:type="pct"/>
          </w:tcPr>
          <w:p w14:paraId="7360F3AD" w14:textId="55668062" w:rsidR="003C6C25" w:rsidRPr="00F1762B" w:rsidRDefault="003C6C25" w:rsidP="00E05BB0">
            <w:pPr>
              <w:rPr>
                <w:sz w:val="15"/>
                <w:szCs w:val="15"/>
                <w:lang w:val="en-CA"/>
              </w:rPr>
            </w:pPr>
            <w:r w:rsidRPr="00F1762B">
              <w:rPr>
                <w:rFonts w:ascii="Calibri" w:hAnsi="Calibri"/>
                <w:sz w:val="15"/>
                <w:szCs w:val="15"/>
              </w:rPr>
              <w:t>1995 to 2009; NA</w:t>
            </w:r>
          </w:p>
        </w:tc>
        <w:tc>
          <w:tcPr>
            <w:tcW w:w="620" w:type="pct"/>
          </w:tcPr>
          <w:p w14:paraId="69712C5E" w14:textId="058F9828" w:rsidR="003C6C25" w:rsidRPr="00F1762B" w:rsidRDefault="003C6C25" w:rsidP="00E05BB0">
            <w:pPr>
              <w:rPr>
                <w:sz w:val="15"/>
                <w:szCs w:val="15"/>
                <w:lang w:val="en-CA"/>
              </w:rPr>
            </w:pPr>
            <w:r w:rsidRPr="00F1762B">
              <w:rPr>
                <w:rFonts w:ascii="Calibri" w:hAnsi="Calibri"/>
                <w:sz w:val="15"/>
                <w:szCs w:val="15"/>
              </w:rPr>
              <w:t>&lt;90; 69.0 (10.3)</w:t>
            </w:r>
          </w:p>
        </w:tc>
        <w:tc>
          <w:tcPr>
            <w:tcW w:w="620" w:type="pct"/>
          </w:tcPr>
          <w:p w14:paraId="35C005C4" w14:textId="2FECA602" w:rsidR="003C6C25" w:rsidRPr="00F1762B" w:rsidRDefault="003C6C25" w:rsidP="00E05BB0">
            <w:pPr>
              <w:rPr>
                <w:sz w:val="15"/>
                <w:szCs w:val="15"/>
              </w:rPr>
            </w:pPr>
            <w:r w:rsidRPr="00F1762B">
              <w:rPr>
                <w:sz w:val="15"/>
                <w:szCs w:val="15"/>
              </w:rPr>
              <w:t>58.4 in lung cancer case; 58.5 in controls</w:t>
            </w:r>
          </w:p>
        </w:tc>
        <w:tc>
          <w:tcPr>
            <w:tcW w:w="537" w:type="pct"/>
          </w:tcPr>
          <w:p w14:paraId="2647A5AF" w14:textId="31C22497" w:rsidR="003C6C25" w:rsidRPr="00F1762B" w:rsidRDefault="003C6C25" w:rsidP="00E05BB0">
            <w:pPr>
              <w:rPr>
                <w:sz w:val="15"/>
                <w:szCs w:val="15"/>
                <w:lang w:val="en-CA"/>
              </w:rPr>
            </w:pPr>
            <w:r w:rsidRPr="00F1762B">
              <w:rPr>
                <w:sz w:val="15"/>
                <w:szCs w:val="15"/>
                <w:lang w:val="en-CA"/>
              </w:rPr>
              <w:t>Class 1, metformin vs no prior use of metformin;</w:t>
            </w:r>
          </w:p>
          <w:p w14:paraId="4F3B75D5" w14:textId="77777777" w:rsidR="003C6C25" w:rsidRPr="00F1762B" w:rsidRDefault="003C6C25" w:rsidP="00E05BB0">
            <w:pPr>
              <w:rPr>
                <w:sz w:val="15"/>
                <w:szCs w:val="15"/>
                <w:lang w:val="en-CA"/>
              </w:rPr>
            </w:pPr>
          </w:p>
          <w:p w14:paraId="1E255FEE" w14:textId="4E81323A" w:rsidR="003C6C25" w:rsidRPr="00F1762B" w:rsidRDefault="003C6C25" w:rsidP="00E05BB0">
            <w:pPr>
              <w:rPr>
                <w:sz w:val="15"/>
                <w:szCs w:val="15"/>
                <w:lang w:val="en-CA"/>
              </w:rPr>
            </w:pPr>
            <w:r w:rsidRPr="00F1762B">
              <w:rPr>
                <w:sz w:val="15"/>
                <w:szCs w:val="15"/>
                <w:lang w:val="en-CA"/>
              </w:rPr>
              <w:t>Class 4, sulfonylureas vs no prior use of Sulfonylureas;</w:t>
            </w:r>
          </w:p>
          <w:p w14:paraId="68905E0D" w14:textId="77777777" w:rsidR="003C6C25" w:rsidRPr="00F1762B" w:rsidRDefault="003C6C25" w:rsidP="00E05BB0">
            <w:pPr>
              <w:rPr>
                <w:sz w:val="15"/>
                <w:szCs w:val="15"/>
                <w:lang w:val="en-CA"/>
              </w:rPr>
            </w:pPr>
          </w:p>
          <w:p w14:paraId="22A9EE19" w14:textId="4D70C5EB" w:rsidR="003C6C25" w:rsidRPr="00F1762B" w:rsidRDefault="003C6C25" w:rsidP="00E05BB0">
            <w:pPr>
              <w:rPr>
                <w:sz w:val="15"/>
                <w:szCs w:val="15"/>
                <w:lang w:val="en-CA"/>
              </w:rPr>
            </w:pPr>
            <w:r w:rsidRPr="00F1762B">
              <w:rPr>
                <w:sz w:val="15"/>
                <w:szCs w:val="15"/>
                <w:lang w:val="en-CA"/>
              </w:rPr>
              <w:t>Class 6, insulin vs no prior use of insulin</w:t>
            </w:r>
          </w:p>
        </w:tc>
        <w:tc>
          <w:tcPr>
            <w:tcW w:w="471" w:type="pct"/>
          </w:tcPr>
          <w:p w14:paraId="6C1FE9E7" w14:textId="2990178F" w:rsidR="003C6C25" w:rsidRPr="00F1762B" w:rsidRDefault="009F4CCB" w:rsidP="00E05BB0">
            <w:pPr>
              <w:rPr>
                <w:sz w:val="15"/>
                <w:szCs w:val="15"/>
                <w:lang w:val="en-CA"/>
              </w:rPr>
            </w:pPr>
            <w:r w:rsidRPr="00F1762B">
              <w:rPr>
                <w:sz w:val="15"/>
                <w:szCs w:val="15"/>
                <w:lang w:val="en-CA"/>
              </w:rPr>
              <w:t>Lung cancer</w:t>
            </w:r>
          </w:p>
        </w:tc>
        <w:tc>
          <w:tcPr>
            <w:tcW w:w="785" w:type="pct"/>
          </w:tcPr>
          <w:p w14:paraId="24939C3C" w14:textId="60E7E2CB" w:rsidR="003C6C25" w:rsidRPr="00F1762B" w:rsidRDefault="003C6C25" w:rsidP="00E05BB0">
            <w:pPr>
              <w:rPr>
                <w:sz w:val="15"/>
                <w:szCs w:val="15"/>
              </w:rPr>
            </w:pPr>
            <w:r w:rsidRPr="00F1762B">
              <w:rPr>
                <w:sz w:val="15"/>
                <w:szCs w:val="15"/>
              </w:rPr>
              <w:t>Matched on age, sex, calendar time, general practice, and number of years of active history in the General Practice Research Database (GPRD);</w:t>
            </w:r>
          </w:p>
          <w:p w14:paraId="42472178" w14:textId="77777777" w:rsidR="003C6C25" w:rsidRPr="00F1762B" w:rsidRDefault="003C6C25" w:rsidP="00E05BB0">
            <w:pPr>
              <w:rPr>
                <w:sz w:val="15"/>
                <w:szCs w:val="15"/>
              </w:rPr>
            </w:pPr>
          </w:p>
          <w:p w14:paraId="1F5D454C" w14:textId="60F69A69" w:rsidR="003C6C25" w:rsidRPr="00F1762B" w:rsidRDefault="003C6C25" w:rsidP="00E05BB0">
            <w:pPr>
              <w:rPr>
                <w:sz w:val="15"/>
                <w:szCs w:val="15"/>
                <w:lang w:val="en-CA"/>
              </w:rPr>
            </w:pPr>
            <w:r w:rsidRPr="00F1762B">
              <w:rPr>
                <w:sz w:val="15"/>
                <w:szCs w:val="15"/>
              </w:rPr>
              <w:t xml:space="preserve">Adjusted for Sulfonylureas, insulin, </w:t>
            </w:r>
            <w:r w:rsidR="00B35CC0">
              <w:rPr>
                <w:sz w:val="15"/>
                <w:szCs w:val="15"/>
              </w:rPr>
              <w:t>body mass index</w:t>
            </w:r>
            <w:r w:rsidRPr="00F1762B">
              <w:rPr>
                <w:sz w:val="15"/>
                <w:szCs w:val="15"/>
              </w:rPr>
              <w:t>, and smoking (non-diabetic and diabetic people)</w:t>
            </w:r>
          </w:p>
        </w:tc>
        <w:tc>
          <w:tcPr>
            <w:tcW w:w="307" w:type="pct"/>
          </w:tcPr>
          <w:p w14:paraId="58382A2F" w14:textId="4407E1DD" w:rsidR="003C6C25" w:rsidRPr="00F1762B" w:rsidRDefault="003C6C25" w:rsidP="00E05BB0">
            <w:pPr>
              <w:rPr>
                <w:sz w:val="15"/>
                <w:szCs w:val="15"/>
                <w:lang w:val="en-CA"/>
              </w:rPr>
            </w:pPr>
            <w:r w:rsidRPr="00F1762B">
              <w:rPr>
                <w:rFonts w:ascii="Calibri" w:hAnsi="Calibri"/>
                <w:sz w:val="15"/>
                <w:szCs w:val="15"/>
              </w:rPr>
              <w:t>Low</w:t>
            </w:r>
          </w:p>
        </w:tc>
        <w:tc>
          <w:tcPr>
            <w:tcW w:w="204" w:type="pct"/>
          </w:tcPr>
          <w:p w14:paraId="0388C0EF" w14:textId="4E70CE4F" w:rsidR="003C6C25" w:rsidRPr="00F1762B" w:rsidRDefault="003C6C25" w:rsidP="00E05BB0">
            <w:pPr>
              <w:rPr>
                <w:rFonts w:ascii="Calibri" w:hAnsi="Calibri"/>
                <w:sz w:val="15"/>
                <w:szCs w:val="15"/>
              </w:rPr>
            </w:pPr>
            <w:r w:rsidRPr="00F1762B">
              <w:rPr>
                <w:rFonts w:ascii="Calibri" w:hAnsi="Calibri"/>
                <w:sz w:val="15"/>
                <w:szCs w:val="15"/>
              </w:rPr>
              <w:t>7</w:t>
            </w:r>
          </w:p>
        </w:tc>
      </w:tr>
      <w:tr w:rsidR="00B7487B" w:rsidRPr="00F1762B" w14:paraId="1DA62F82" w14:textId="305E3BA6" w:rsidTr="00F1762B">
        <w:tc>
          <w:tcPr>
            <w:tcW w:w="517" w:type="pct"/>
          </w:tcPr>
          <w:p w14:paraId="75A1D915" w14:textId="758456FD" w:rsidR="003C6C25" w:rsidRPr="00F1762B" w:rsidRDefault="003C6C25" w:rsidP="00E05BB0">
            <w:pPr>
              <w:rPr>
                <w:sz w:val="15"/>
                <w:szCs w:val="15"/>
                <w:lang w:val="en-CA"/>
              </w:rPr>
            </w:pPr>
            <w:r w:rsidRPr="00F1762B">
              <w:rPr>
                <w:rFonts w:ascii="Calibri" w:hAnsi="Calibri"/>
                <w:sz w:val="15"/>
                <w:szCs w:val="15"/>
              </w:rPr>
              <w:t>Bosetti 2015</w:t>
            </w:r>
          </w:p>
        </w:tc>
        <w:tc>
          <w:tcPr>
            <w:tcW w:w="447" w:type="pct"/>
          </w:tcPr>
          <w:p w14:paraId="5D11F9C8" w14:textId="06B34994" w:rsidR="003C6C25" w:rsidRPr="00F1762B" w:rsidRDefault="003C6C25" w:rsidP="00E05BB0">
            <w:pPr>
              <w:rPr>
                <w:sz w:val="15"/>
                <w:szCs w:val="15"/>
                <w:lang w:val="en-CA"/>
              </w:rPr>
            </w:pPr>
            <w:r w:rsidRPr="00F1762B">
              <w:rPr>
                <w:rFonts w:ascii="Calibri" w:hAnsi="Calibri"/>
                <w:sz w:val="15"/>
                <w:szCs w:val="15"/>
              </w:rPr>
              <w:t>Italy; population-based</w:t>
            </w:r>
          </w:p>
        </w:tc>
        <w:tc>
          <w:tcPr>
            <w:tcW w:w="491" w:type="pct"/>
          </w:tcPr>
          <w:p w14:paraId="15A850F0" w14:textId="5A34CBB8" w:rsidR="003C6C25" w:rsidRPr="00F1762B" w:rsidRDefault="003C6C25" w:rsidP="00E05BB0">
            <w:pPr>
              <w:rPr>
                <w:sz w:val="15"/>
                <w:szCs w:val="15"/>
                <w:lang w:val="en-CA"/>
              </w:rPr>
            </w:pPr>
            <w:r w:rsidRPr="00F1762B">
              <w:rPr>
                <w:rFonts w:ascii="Calibri" w:hAnsi="Calibri"/>
                <w:sz w:val="15"/>
                <w:szCs w:val="15"/>
              </w:rPr>
              <w:t>2000 to 2012; mean 6.0</w:t>
            </w:r>
          </w:p>
        </w:tc>
        <w:tc>
          <w:tcPr>
            <w:tcW w:w="620" w:type="pct"/>
          </w:tcPr>
          <w:p w14:paraId="7535D483" w14:textId="2FC3EA05" w:rsidR="003C6C25" w:rsidRPr="00F1762B" w:rsidRDefault="003C6C25" w:rsidP="00E05BB0">
            <w:pPr>
              <w:rPr>
                <w:sz w:val="15"/>
                <w:szCs w:val="15"/>
                <w:lang w:val="en-CA"/>
              </w:rPr>
            </w:pPr>
            <w:r w:rsidRPr="00F1762B">
              <w:rPr>
                <w:rFonts w:ascii="Calibri" w:hAnsi="Calibri"/>
                <w:sz w:val="15"/>
                <w:szCs w:val="15"/>
              </w:rPr>
              <w:t>NA; 65.2 (9.1) in hepatocellular cancer cases and 65.3 (9.0) in controls</w:t>
            </w:r>
          </w:p>
        </w:tc>
        <w:tc>
          <w:tcPr>
            <w:tcW w:w="620" w:type="pct"/>
          </w:tcPr>
          <w:p w14:paraId="2D2690D0" w14:textId="6D2920BD" w:rsidR="003C6C25" w:rsidRPr="00F1762B" w:rsidRDefault="003C6C25" w:rsidP="00E05BB0">
            <w:pPr>
              <w:rPr>
                <w:sz w:val="15"/>
                <w:szCs w:val="15"/>
              </w:rPr>
            </w:pPr>
            <w:r w:rsidRPr="00F1762B">
              <w:rPr>
                <w:sz w:val="15"/>
                <w:szCs w:val="15"/>
              </w:rPr>
              <w:t>75.2</w:t>
            </w:r>
          </w:p>
        </w:tc>
        <w:tc>
          <w:tcPr>
            <w:tcW w:w="537" w:type="pct"/>
          </w:tcPr>
          <w:p w14:paraId="122A0530" w14:textId="77777777" w:rsidR="003C6C25" w:rsidRPr="00F1762B" w:rsidRDefault="003C6C25" w:rsidP="00E05BB0">
            <w:pPr>
              <w:rPr>
                <w:sz w:val="15"/>
                <w:szCs w:val="15"/>
                <w:lang w:val="en-CA"/>
              </w:rPr>
            </w:pPr>
            <w:r w:rsidRPr="00F1762B">
              <w:rPr>
                <w:sz w:val="15"/>
                <w:szCs w:val="15"/>
                <w:lang w:val="en-CA"/>
              </w:rPr>
              <w:t>Class 1, metformin vs no use of metformin;</w:t>
            </w:r>
          </w:p>
          <w:p w14:paraId="68B16686" w14:textId="77777777" w:rsidR="003C6C25" w:rsidRPr="00F1762B" w:rsidRDefault="003C6C25" w:rsidP="00E05BB0">
            <w:pPr>
              <w:rPr>
                <w:sz w:val="15"/>
                <w:szCs w:val="15"/>
                <w:lang w:val="en-CA"/>
              </w:rPr>
            </w:pPr>
          </w:p>
          <w:p w14:paraId="165D2E29" w14:textId="77777777" w:rsidR="003C6C25" w:rsidRPr="00F1762B" w:rsidRDefault="003C6C25" w:rsidP="00E05BB0">
            <w:pPr>
              <w:rPr>
                <w:sz w:val="15"/>
                <w:szCs w:val="15"/>
                <w:lang w:val="en-CA"/>
              </w:rPr>
            </w:pPr>
            <w:r w:rsidRPr="00F1762B">
              <w:rPr>
                <w:sz w:val="15"/>
                <w:szCs w:val="15"/>
                <w:lang w:val="en-CA"/>
              </w:rPr>
              <w:t>Class 2, incretins vs no use of incretins;</w:t>
            </w:r>
          </w:p>
          <w:p w14:paraId="68F4B1C1" w14:textId="77777777" w:rsidR="003C6C25" w:rsidRPr="00F1762B" w:rsidRDefault="003C6C25" w:rsidP="00E05BB0">
            <w:pPr>
              <w:rPr>
                <w:sz w:val="15"/>
                <w:szCs w:val="15"/>
                <w:lang w:val="en-CA"/>
              </w:rPr>
            </w:pPr>
          </w:p>
          <w:p w14:paraId="5A614F1E" w14:textId="7A65A2F5" w:rsidR="003C6C25" w:rsidRPr="00F1762B" w:rsidRDefault="003C6C25" w:rsidP="00E05BB0">
            <w:pPr>
              <w:rPr>
                <w:sz w:val="15"/>
                <w:szCs w:val="15"/>
                <w:lang w:val="en-CA"/>
              </w:rPr>
            </w:pPr>
            <w:r w:rsidRPr="00F1762B">
              <w:rPr>
                <w:sz w:val="15"/>
                <w:szCs w:val="15"/>
                <w:lang w:val="en-CA"/>
              </w:rPr>
              <w:t>Class 3, alpha-glucosidase inhibitors vs no use of alpha-glucosidase inhibitors;</w:t>
            </w:r>
          </w:p>
          <w:p w14:paraId="4642552A" w14:textId="77777777" w:rsidR="003C6C25" w:rsidRPr="00F1762B" w:rsidRDefault="003C6C25" w:rsidP="00E05BB0">
            <w:pPr>
              <w:rPr>
                <w:sz w:val="15"/>
                <w:szCs w:val="15"/>
                <w:lang w:val="en-CA"/>
              </w:rPr>
            </w:pPr>
          </w:p>
          <w:p w14:paraId="1E2284B2" w14:textId="282981FF" w:rsidR="003C6C25" w:rsidRPr="00F1762B" w:rsidRDefault="003C6C25" w:rsidP="00E05BB0">
            <w:pPr>
              <w:rPr>
                <w:sz w:val="15"/>
                <w:szCs w:val="15"/>
                <w:lang w:val="en-CA"/>
              </w:rPr>
            </w:pPr>
            <w:r w:rsidRPr="00F1762B">
              <w:rPr>
                <w:sz w:val="15"/>
                <w:szCs w:val="15"/>
                <w:lang w:val="en-CA"/>
              </w:rPr>
              <w:t>Class 4, sulfonylureas or repaglinide vs no prior use of Sulfonylureas or repaglinide;</w:t>
            </w:r>
          </w:p>
          <w:p w14:paraId="2875C8AC" w14:textId="49A02C73" w:rsidR="003C6C25" w:rsidRPr="00F1762B" w:rsidRDefault="003C6C25" w:rsidP="00E05BB0">
            <w:pPr>
              <w:rPr>
                <w:sz w:val="15"/>
                <w:szCs w:val="15"/>
                <w:lang w:val="en-CA"/>
              </w:rPr>
            </w:pPr>
          </w:p>
          <w:p w14:paraId="20D619F0" w14:textId="5B6CEA2D" w:rsidR="003C6C25" w:rsidRPr="00F1762B" w:rsidRDefault="003C6C25" w:rsidP="00E05BB0">
            <w:pPr>
              <w:rPr>
                <w:sz w:val="15"/>
                <w:szCs w:val="15"/>
                <w:lang w:val="en-CA"/>
              </w:rPr>
            </w:pPr>
            <w:r w:rsidRPr="00F1762B">
              <w:rPr>
                <w:sz w:val="15"/>
                <w:szCs w:val="15"/>
                <w:lang w:val="en-CA"/>
              </w:rPr>
              <w:t>Class 5, thiazolidinediones vs no use of thiazolidinediones;</w:t>
            </w:r>
          </w:p>
          <w:p w14:paraId="220FB048" w14:textId="4EEA756D" w:rsidR="003C6C25" w:rsidRPr="00F1762B" w:rsidRDefault="003C6C25" w:rsidP="00E05BB0">
            <w:pPr>
              <w:rPr>
                <w:sz w:val="15"/>
                <w:szCs w:val="15"/>
                <w:lang w:val="en-CA"/>
              </w:rPr>
            </w:pPr>
          </w:p>
          <w:p w14:paraId="3B8E52B4" w14:textId="7C60B8AE" w:rsidR="003C6C25" w:rsidRPr="00F1762B" w:rsidRDefault="003C6C25" w:rsidP="00E05BB0">
            <w:pPr>
              <w:rPr>
                <w:sz w:val="15"/>
                <w:szCs w:val="15"/>
                <w:lang w:val="en-CA"/>
              </w:rPr>
            </w:pPr>
            <w:r w:rsidRPr="00F1762B">
              <w:rPr>
                <w:sz w:val="15"/>
                <w:szCs w:val="15"/>
                <w:lang w:val="en-CA"/>
              </w:rPr>
              <w:lastRenderedPageBreak/>
              <w:t>Class 6, Insulin or insulin analogs vs no use of insulin or insulin analogs</w:t>
            </w:r>
          </w:p>
        </w:tc>
        <w:tc>
          <w:tcPr>
            <w:tcW w:w="471" w:type="pct"/>
          </w:tcPr>
          <w:p w14:paraId="5E07A6BE" w14:textId="17E4A02B" w:rsidR="003C6C25" w:rsidRPr="00F1762B" w:rsidRDefault="009F4CCB" w:rsidP="00E05BB0">
            <w:pPr>
              <w:rPr>
                <w:sz w:val="15"/>
                <w:szCs w:val="15"/>
                <w:lang w:val="en-CA"/>
              </w:rPr>
            </w:pPr>
            <w:r w:rsidRPr="00F1762B">
              <w:rPr>
                <w:sz w:val="15"/>
                <w:szCs w:val="15"/>
                <w:lang w:val="en-CA"/>
              </w:rPr>
              <w:lastRenderedPageBreak/>
              <w:t>Liver cancer</w:t>
            </w:r>
          </w:p>
        </w:tc>
        <w:tc>
          <w:tcPr>
            <w:tcW w:w="785" w:type="pct"/>
          </w:tcPr>
          <w:p w14:paraId="3785A2AB" w14:textId="65ADF7A5" w:rsidR="003C6C25" w:rsidRPr="00F1762B" w:rsidRDefault="003C6C25" w:rsidP="00E05BB0">
            <w:pPr>
              <w:rPr>
                <w:sz w:val="15"/>
                <w:szCs w:val="15"/>
              </w:rPr>
            </w:pPr>
            <w:r w:rsidRPr="00F1762B">
              <w:rPr>
                <w:sz w:val="15"/>
                <w:szCs w:val="15"/>
              </w:rPr>
              <w:t>Matched on sex, age, date at cohort entry, and duration of follow-up;</w:t>
            </w:r>
          </w:p>
          <w:p w14:paraId="4E2BE494" w14:textId="77777777" w:rsidR="003C6C25" w:rsidRPr="00F1762B" w:rsidRDefault="003C6C25" w:rsidP="00E05BB0">
            <w:pPr>
              <w:rPr>
                <w:sz w:val="15"/>
                <w:szCs w:val="15"/>
              </w:rPr>
            </w:pPr>
          </w:p>
          <w:p w14:paraId="1359CA8B" w14:textId="2FD956C3" w:rsidR="003C6C25" w:rsidRPr="00F1762B" w:rsidRDefault="003C6C25" w:rsidP="00E05BB0">
            <w:pPr>
              <w:rPr>
                <w:sz w:val="15"/>
                <w:szCs w:val="15"/>
              </w:rPr>
            </w:pPr>
            <w:r w:rsidRPr="00F1762B">
              <w:rPr>
                <w:sz w:val="15"/>
                <w:szCs w:val="15"/>
              </w:rPr>
              <w:t>Adjusted for Charlson comorbidity index, cardio/cerebrovascular diseases, use of antihypertensive drugs, use of antiplatelet drugs, use of statins (in the 5 years before cohort entry), and for use of other antidiabetics (during follow-up)</w:t>
            </w:r>
          </w:p>
          <w:p w14:paraId="6694C1AE" w14:textId="77777777" w:rsidR="003C6C25" w:rsidRPr="00F1762B" w:rsidRDefault="003C6C25" w:rsidP="00E05BB0">
            <w:pPr>
              <w:rPr>
                <w:sz w:val="15"/>
                <w:szCs w:val="15"/>
                <w:lang w:val="en-CA"/>
              </w:rPr>
            </w:pPr>
          </w:p>
        </w:tc>
        <w:tc>
          <w:tcPr>
            <w:tcW w:w="307" w:type="pct"/>
          </w:tcPr>
          <w:p w14:paraId="73D7174F" w14:textId="34E009EB" w:rsidR="003C6C25" w:rsidRPr="00F1762B" w:rsidRDefault="003C6C25" w:rsidP="00E05BB0">
            <w:pPr>
              <w:rPr>
                <w:sz w:val="15"/>
                <w:szCs w:val="15"/>
                <w:lang w:val="en-CA"/>
              </w:rPr>
            </w:pPr>
            <w:r w:rsidRPr="00F1762B">
              <w:rPr>
                <w:rFonts w:ascii="Calibri" w:hAnsi="Calibri"/>
                <w:sz w:val="15"/>
                <w:szCs w:val="15"/>
              </w:rPr>
              <w:t>Low</w:t>
            </w:r>
          </w:p>
        </w:tc>
        <w:tc>
          <w:tcPr>
            <w:tcW w:w="204" w:type="pct"/>
          </w:tcPr>
          <w:p w14:paraId="2A230E95" w14:textId="58A79AFE" w:rsidR="003C6C25" w:rsidRPr="00F1762B" w:rsidRDefault="003C6C25" w:rsidP="00E05BB0">
            <w:pPr>
              <w:rPr>
                <w:rFonts w:ascii="Calibri" w:hAnsi="Calibri"/>
                <w:sz w:val="15"/>
                <w:szCs w:val="15"/>
              </w:rPr>
            </w:pPr>
            <w:r w:rsidRPr="00F1762B">
              <w:rPr>
                <w:rFonts w:ascii="Calibri" w:hAnsi="Calibri"/>
                <w:sz w:val="15"/>
                <w:szCs w:val="15"/>
              </w:rPr>
              <w:t>7</w:t>
            </w:r>
          </w:p>
        </w:tc>
      </w:tr>
      <w:tr w:rsidR="00B7487B" w:rsidRPr="00F1762B" w14:paraId="487DF00C" w14:textId="1DF33FF6" w:rsidTr="00F1762B">
        <w:tc>
          <w:tcPr>
            <w:tcW w:w="517" w:type="pct"/>
          </w:tcPr>
          <w:p w14:paraId="0B7940CF" w14:textId="2C758082" w:rsidR="003C6C25" w:rsidRPr="00F1762B" w:rsidRDefault="003C6C25" w:rsidP="00E05BB0">
            <w:pPr>
              <w:rPr>
                <w:sz w:val="15"/>
                <w:szCs w:val="15"/>
                <w:lang w:val="en-CA"/>
              </w:rPr>
            </w:pPr>
            <w:r w:rsidRPr="00F1762B">
              <w:rPr>
                <w:rFonts w:ascii="Calibri" w:hAnsi="Calibri"/>
                <w:sz w:val="15"/>
                <w:szCs w:val="15"/>
              </w:rPr>
              <w:t>Sehdev 2015</w:t>
            </w:r>
          </w:p>
        </w:tc>
        <w:tc>
          <w:tcPr>
            <w:tcW w:w="447" w:type="pct"/>
          </w:tcPr>
          <w:p w14:paraId="45B7E99D" w14:textId="6CF6BCE2" w:rsidR="003C6C25" w:rsidRPr="00F1762B" w:rsidRDefault="003C6C25" w:rsidP="00E05BB0">
            <w:pPr>
              <w:rPr>
                <w:sz w:val="15"/>
                <w:szCs w:val="15"/>
                <w:lang w:val="en-CA"/>
              </w:rPr>
            </w:pPr>
            <w:r w:rsidRPr="00F1762B">
              <w:rPr>
                <w:rFonts w:ascii="Calibri" w:hAnsi="Calibri"/>
                <w:sz w:val="15"/>
                <w:szCs w:val="15"/>
              </w:rPr>
              <w:t>United States; hospital-based</w:t>
            </w:r>
          </w:p>
        </w:tc>
        <w:tc>
          <w:tcPr>
            <w:tcW w:w="491" w:type="pct"/>
          </w:tcPr>
          <w:p w14:paraId="3B8A1084" w14:textId="7220EC65" w:rsidR="003C6C25" w:rsidRPr="00F1762B" w:rsidRDefault="003C6C25" w:rsidP="00E05BB0">
            <w:pPr>
              <w:rPr>
                <w:sz w:val="15"/>
                <w:szCs w:val="15"/>
                <w:lang w:val="en-CA"/>
              </w:rPr>
            </w:pPr>
            <w:r w:rsidRPr="00F1762B">
              <w:rPr>
                <w:rFonts w:ascii="Calibri" w:hAnsi="Calibri"/>
                <w:sz w:val="15"/>
                <w:szCs w:val="15"/>
              </w:rPr>
              <w:t>2005 to 2010; NA</w:t>
            </w:r>
          </w:p>
        </w:tc>
        <w:tc>
          <w:tcPr>
            <w:tcW w:w="620" w:type="pct"/>
          </w:tcPr>
          <w:p w14:paraId="3AA861AF" w14:textId="1777D446" w:rsidR="003C6C25" w:rsidRPr="00F1762B" w:rsidRDefault="003C6C25" w:rsidP="00E05BB0">
            <w:pPr>
              <w:rPr>
                <w:sz w:val="15"/>
                <w:szCs w:val="15"/>
                <w:lang w:val="en-CA"/>
              </w:rPr>
            </w:pPr>
            <w:r w:rsidRPr="00F1762B">
              <w:rPr>
                <w:rFonts w:ascii="Calibri" w:hAnsi="Calibri"/>
                <w:sz w:val="15"/>
                <w:szCs w:val="15"/>
              </w:rPr>
              <w:t>Range 26 to 64; mean 57.4 (5.5) in colorectal cancer cases; range 23 to 64; mean 55.23 (5.69) in controls</w:t>
            </w:r>
          </w:p>
        </w:tc>
        <w:tc>
          <w:tcPr>
            <w:tcW w:w="620" w:type="pct"/>
          </w:tcPr>
          <w:p w14:paraId="68B84639" w14:textId="222128DB" w:rsidR="003C6C25" w:rsidRPr="00F1762B" w:rsidRDefault="003C6C25" w:rsidP="00E05BB0">
            <w:pPr>
              <w:rPr>
                <w:sz w:val="15"/>
                <w:szCs w:val="15"/>
              </w:rPr>
            </w:pPr>
            <w:r w:rsidRPr="00F1762B">
              <w:rPr>
                <w:sz w:val="15"/>
                <w:szCs w:val="15"/>
              </w:rPr>
              <w:t>59.8</w:t>
            </w:r>
          </w:p>
        </w:tc>
        <w:tc>
          <w:tcPr>
            <w:tcW w:w="537" w:type="pct"/>
          </w:tcPr>
          <w:p w14:paraId="47B402F5" w14:textId="77777777" w:rsidR="003C6C25" w:rsidRPr="00F1762B" w:rsidRDefault="003C6C25" w:rsidP="00E05BB0">
            <w:pPr>
              <w:rPr>
                <w:sz w:val="15"/>
                <w:szCs w:val="15"/>
                <w:lang w:val="en-CA"/>
              </w:rPr>
            </w:pPr>
            <w:r w:rsidRPr="00F1762B">
              <w:rPr>
                <w:sz w:val="15"/>
                <w:szCs w:val="15"/>
                <w:lang w:val="en-CA"/>
              </w:rPr>
              <w:t>Class 1, metformin vs no use of metformin;</w:t>
            </w:r>
          </w:p>
          <w:p w14:paraId="587ECE72" w14:textId="1263E68B" w:rsidR="003C6C25" w:rsidRPr="00F1762B" w:rsidRDefault="003C6C25" w:rsidP="00E05BB0">
            <w:pPr>
              <w:rPr>
                <w:sz w:val="15"/>
                <w:szCs w:val="15"/>
                <w:lang w:val="en-CA"/>
              </w:rPr>
            </w:pPr>
          </w:p>
          <w:p w14:paraId="6F7D2273" w14:textId="4C80459E" w:rsidR="003C6C25" w:rsidRPr="00F1762B" w:rsidRDefault="003C6C25" w:rsidP="00E05BB0">
            <w:pPr>
              <w:rPr>
                <w:sz w:val="15"/>
                <w:szCs w:val="15"/>
                <w:lang w:val="en-CA"/>
              </w:rPr>
            </w:pPr>
            <w:r w:rsidRPr="00F1762B">
              <w:rPr>
                <w:sz w:val="15"/>
                <w:szCs w:val="15"/>
                <w:lang w:val="en-CA"/>
              </w:rPr>
              <w:t>Class 4, sulfonylurea vs no use of sulfonylurea;</w:t>
            </w:r>
          </w:p>
          <w:p w14:paraId="1D9023FC" w14:textId="2E9F8A38" w:rsidR="003C6C25" w:rsidRPr="00F1762B" w:rsidRDefault="003C6C25" w:rsidP="00E05BB0">
            <w:pPr>
              <w:rPr>
                <w:sz w:val="15"/>
                <w:szCs w:val="15"/>
                <w:lang w:val="en-CA"/>
              </w:rPr>
            </w:pPr>
          </w:p>
          <w:p w14:paraId="24CB8F9B" w14:textId="2599E07A" w:rsidR="003C6C25" w:rsidRPr="00F1762B" w:rsidRDefault="003C6C25" w:rsidP="00E05BB0">
            <w:pPr>
              <w:rPr>
                <w:sz w:val="15"/>
                <w:szCs w:val="15"/>
                <w:lang w:val="en-CA"/>
              </w:rPr>
            </w:pPr>
            <w:r w:rsidRPr="00F1762B">
              <w:rPr>
                <w:sz w:val="15"/>
                <w:szCs w:val="15"/>
                <w:lang w:val="en-CA"/>
              </w:rPr>
              <w:t>Class 5, thiazolidinediones cs no use of thiazolidinediones;</w:t>
            </w:r>
          </w:p>
          <w:p w14:paraId="2AE8FAE5" w14:textId="77777777" w:rsidR="003C6C25" w:rsidRPr="00F1762B" w:rsidRDefault="003C6C25" w:rsidP="00E05BB0">
            <w:pPr>
              <w:rPr>
                <w:sz w:val="15"/>
                <w:szCs w:val="15"/>
                <w:lang w:val="en-CA"/>
              </w:rPr>
            </w:pPr>
          </w:p>
          <w:p w14:paraId="006AD5C6" w14:textId="1B456624" w:rsidR="003C6C25" w:rsidRPr="00F1762B" w:rsidRDefault="003C6C25" w:rsidP="00E05BB0">
            <w:pPr>
              <w:rPr>
                <w:sz w:val="15"/>
                <w:szCs w:val="15"/>
                <w:lang w:val="en-CA"/>
              </w:rPr>
            </w:pPr>
            <w:r w:rsidRPr="00F1762B">
              <w:rPr>
                <w:sz w:val="15"/>
                <w:szCs w:val="15"/>
                <w:lang w:val="en-CA"/>
              </w:rPr>
              <w:t>Class 6, insulin vs no use of insulin</w:t>
            </w:r>
          </w:p>
        </w:tc>
        <w:tc>
          <w:tcPr>
            <w:tcW w:w="471" w:type="pct"/>
          </w:tcPr>
          <w:p w14:paraId="1D97B0F9" w14:textId="38E15595" w:rsidR="003C6C25" w:rsidRPr="00F1762B" w:rsidRDefault="00E002ED" w:rsidP="00E05BB0">
            <w:pPr>
              <w:rPr>
                <w:sz w:val="15"/>
                <w:szCs w:val="15"/>
                <w:lang w:val="en-CA"/>
              </w:rPr>
            </w:pPr>
            <w:r w:rsidRPr="00F1762B">
              <w:rPr>
                <w:sz w:val="15"/>
                <w:szCs w:val="15"/>
                <w:lang w:val="en-CA"/>
              </w:rPr>
              <w:t>Colorectal cancer</w:t>
            </w:r>
          </w:p>
        </w:tc>
        <w:tc>
          <w:tcPr>
            <w:tcW w:w="785" w:type="pct"/>
          </w:tcPr>
          <w:p w14:paraId="7844B70F" w14:textId="3BE891F8" w:rsidR="003C6C25" w:rsidRPr="00F1762B" w:rsidRDefault="003C6C25" w:rsidP="00E05BB0">
            <w:pPr>
              <w:rPr>
                <w:sz w:val="15"/>
                <w:szCs w:val="15"/>
              </w:rPr>
            </w:pPr>
            <w:r w:rsidRPr="00F1762B">
              <w:rPr>
                <w:sz w:val="15"/>
                <w:szCs w:val="15"/>
              </w:rPr>
              <w:t>Matched on age, sex, and geographical region;</w:t>
            </w:r>
          </w:p>
          <w:p w14:paraId="616994D5" w14:textId="77777777" w:rsidR="003C6C25" w:rsidRPr="00F1762B" w:rsidRDefault="003C6C25" w:rsidP="00E05BB0">
            <w:pPr>
              <w:rPr>
                <w:sz w:val="15"/>
                <w:szCs w:val="15"/>
              </w:rPr>
            </w:pPr>
          </w:p>
          <w:p w14:paraId="5F6D0218" w14:textId="640B1926" w:rsidR="003C6C25" w:rsidRPr="00F1762B" w:rsidRDefault="003C6C25" w:rsidP="00E05BB0">
            <w:pPr>
              <w:rPr>
                <w:sz w:val="15"/>
                <w:szCs w:val="15"/>
              </w:rPr>
            </w:pPr>
            <w:r w:rsidRPr="00F1762B">
              <w:rPr>
                <w:sz w:val="15"/>
                <w:szCs w:val="15"/>
              </w:rPr>
              <w:t>Adjusted for obesity, polycystic ovary disease, inflammatory bowel disease, sulfonylurea use, coronary artery disease, prescribed nonsteroidal antiinflammatory drugs (NSAIDs), insulin use, thiazolidinedione use, Charlson comorbidity index, number of hospital admissions, and number of outpatient visits</w:t>
            </w:r>
          </w:p>
        </w:tc>
        <w:tc>
          <w:tcPr>
            <w:tcW w:w="307" w:type="pct"/>
          </w:tcPr>
          <w:p w14:paraId="73F63C8D" w14:textId="527A0136" w:rsidR="003C6C25" w:rsidRPr="00F1762B" w:rsidRDefault="003C6C25" w:rsidP="00E05BB0">
            <w:pPr>
              <w:rPr>
                <w:sz w:val="15"/>
                <w:szCs w:val="15"/>
                <w:lang w:val="en-CA"/>
              </w:rPr>
            </w:pPr>
            <w:r w:rsidRPr="00F1762B">
              <w:rPr>
                <w:rFonts w:ascii="Calibri" w:hAnsi="Calibri"/>
                <w:sz w:val="15"/>
                <w:szCs w:val="15"/>
              </w:rPr>
              <w:t>Moderate</w:t>
            </w:r>
          </w:p>
        </w:tc>
        <w:tc>
          <w:tcPr>
            <w:tcW w:w="204" w:type="pct"/>
          </w:tcPr>
          <w:p w14:paraId="17E989B0" w14:textId="30F1EA80" w:rsidR="003C6C25" w:rsidRPr="00F1762B" w:rsidRDefault="003C6C25" w:rsidP="00E05BB0">
            <w:pPr>
              <w:rPr>
                <w:rFonts w:ascii="Calibri" w:hAnsi="Calibri"/>
                <w:sz w:val="15"/>
                <w:szCs w:val="15"/>
              </w:rPr>
            </w:pPr>
            <w:r w:rsidRPr="00F1762B">
              <w:rPr>
                <w:rFonts w:ascii="Calibri" w:hAnsi="Calibri"/>
                <w:sz w:val="15"/>
                <w:szCs w:val="15"/>
              </w:rPr>
              <w:t>6</w:t>
            </w:r>
          </w:p>
        </w:tc>
      </w:tr>
      <w:tr w:rsidR="00B7487B" w:rsidRPr="00F1762B" w14:paraId="2EB58831" w14:textId="7553E170" w:rsidTr="00F1762B">
        <w:tc>
          <w:tcPr>
            <w:tcW w:w="517" w:type="pct"/>
          </w:tcPr>
          <w:p w14:paraId="226EDBE5" w14:textId="6A1C7F9F" w:rsidR="003C6C25" w:rsidRPr="00F1762B" w:rsidRDefault="003C6C25" w:rsidP="00E05BB0">
            <w:pPr>
              <w:rPr>
                <w:sz w:val="15"/>
                <w:szCs w:val="15"/>
                <w:lang w:val="en-CA"/>
              </w:rPr>
            </w:pPr>
            <w:r w:rsidRPr="00F1762B">
              <w:rPr>
                <w:rFonts w:ascii="Calibri" w:hAnsi="Calibri"/>
                <w:sz w:val="15"/>
                <w:szCs w:val="15"/>
              </w:rPr>
              <w:t>Walker 2015</w:t>
            </w:r>
          </w:p>
        </w:tc>
        <w:tc>
          <w:tcPr>
            <w:tcW w:w="447" w:type="pct"/>
          </w:tcPr>
          <w:p w14:paraId="11F6AA60" w14:textId="67CFE427" w:rsidR="003C6C25" w:rsidRPr="00F1762B" w:rsidRDefault="003C6C25" w:rsidP="00E05BB0">
            <w:pPr>
              <w:rPr>
                <w:sz w:val="15"/>
                <w:szCs w:val="15"/>
                <w:lang w:val="en-CA"/>
              </w:rPr>
            </w:pPr>
            <w:r w:rsidRPr="00F1762B">
              <w:rPr>
                <w:rFonts w:ascii="Calibri" w:hAnsi="Calibri"/>
                <w:sz w:val="15"/>
                <w:szCs w:val="15"/>
              </w:rPr>
              <w:t>United States; hospital-based</w:t>
            </w:r>
          </w:p>
        </w:tc>
        <w:tc>
          <w:tcPr>
            <w:tcW w:w="491" w:type="pct"/>
          </w:tcPr>
          <w:p w14:paraId="3EF2D19C" w14:textId="1B5F639B" w:rsidR="003C6C25" w:rsidRPr="00F1762B" w:rsidRDefault="003C6C25" w:rsidP="00E05BB0">
            <w:pPr>
              <w:rPr>
                <w:sz w:val="15"/>
                <w:szCs w:val="15"/>
                <w:lang w:val="en-CA"/>
              </w:rPr>
            </w:pPr>
            <w:r w:rsidRPr="00F1762B">
              <w:rPr>
                <w:rFonts w:ascii="Calibri" w:hAnsi="Calibri"/>
                <w:sz w:val="15"/>
                <w:szCs w:val="15"/>
              </w:rPr>
              <w:t>2006 to 2011; NA</w:t>
            </w:r>
          </w:p>
        </w:tc>
        <w:tc>
          <w:tcPr>
            <w:tcW w:w="620" w:type="pct"/>
          </w:tcPr>
          <w:p w14:paraId="04601203" w14:textId="7C3B16A8" w:rsidR="003C6C25" w:rsidRPr="00F1762B" w:rsidRDefault="003C6C25" w:rsidP="00E05BB0">
            <w:pPr>
              <w:rPr>
                <w:sz w:val="15"/>
                <w:szCs w:val="15"/>
                <w:lang w:val="en-CA"/>
              </w:rPr>
            </w:pPr>
            <w:r w:rsidRPr="00F1762B">
              <w:rPr>
                <w:rFonts w:ascii="Calibri" w:hAnsi="Calibri"/>
                <w:sz w:val="15"/>
                <w:szCs w:val="15"/>
              </w:rPr>
              <w:t>21 to 85; 63.0 in pancreatic cancer cases and 60.0 in controls</w:t>
            </w:r>
          </w:p>
        </w:tc>
        <w:tc>
          <w:tcPr>
            <w:tcW w:w="620" w:type="pct"/>
          </w:tcPr>
          <w:p w14:paraId="749FA360" w14:textId="603E11C3" w:rsidR="003C6C25" w:rsidRPr="00F1762B" w:rsidRDefault="003C6C25" w:rsidP="00E05BB0">
            <w:pPr>
              <w:rPr>
                <w:sz w:val="15"/>
                <w:szCs w:val="15"/>
              </w:rPr>
            </w:pPr>
            <w:r w:rsidRPr="00F1762B">
              <w:rPr>
                <w:sz w:val="15"/>
                <w:szCs w:val="15"/>
              </w:rPr>
              <w:t>53.0 in pancreatic cancer cases; 48.30 in controls</w:t>
            </w:r>
          </w:p>
        </w:tc>
        <w:tc>
          <w:tcPr>
            <w:tcW w:w="537" w:type="pct"/>
          </w:tcPr>
          <w:p w14:paraId="03895960" w14:textId="64F302C7" w:rsidR="003C6C25" w:rsidRPr="00F1762B" w:rsidRDefault="003C6C25" w:rsidP="00E05BB0">
            <w:pPr>
              <w:rPr>
                <w:sz w:val="15"/>
                <w:szCs w:val="15"/>
                <w:lang w:val="en-CA"/>
              </w:rPr>
            </w:pPr>
            <w:r w:rsidRPr="00F1762B">
              <w:rPr>
                <w:sz w:val="15"/>
                <w:szCs w:val="15"/>
                <w:lang w:val="en-CA"/>
              </w:rPr>
              <w:t>Class 1, metformin to no use of metformin;</w:t>
            </w:r>
          </w:p>
          <w:p w14:paraId="43996E0A" w14:textId="4736595E" w:rsidR="003C6C25" w:rsidRPr="00F1762B" w:rsidRDefault="003C6C25" w:rsidP="00E05BB0">
            <w:pPr>
              <w:rPr>
                <w:sz w:val="15"/>
                <w:szCs w:val="15"/>
                <w:lang w:val="en-CA"/>
              </w:rPr>
            </w:pPr>
          </w:p>
          <w:p w14:paraId="7F23C5A1" w14:textId="506C20EF" w:rsidR="003C6C25" w:rsidRPr="00F1762B" w:rsidRDefault="003C6C25" w:rsidP="00E05BB0">
            <w:pPr>
              <w:rPr>
                <w:sz w:val="15"/>
                <w:szCs w:val="15"/>
                <w:lang w:val="en-CA"/>
              </w:rPr>
            </w:pPr>
            <w:r w:rsidRPr="00F1762B">
              <w:rPr>
                <w:sz w:val="15"/>
                <w:szCs w:val="15"/>
                <w:lang w:val="en-CA"/>
              </w:rPr>
              <w:t>Class 4, insulin secretagogues vs no use of insulin secretagogues;</w:t>
            </w:r>
          </w:p>
          <w:p w14:paraId="72875F75" w14:textId="77777777" w:rsidR="003C6C25" w:rsidRPr="00F1762B" w:rsidRDefault="003C6C25" w:rsidP="00E05BB0">
            <w:pPr>
              <w:rPr>
                <w:sz w:val="15"/>
                <w:szCs w:val="15"/>
                <w:lang w:val="en-CA"/>
              </w:rPr>
            </w:pPr>
          </w:p>
          <w:p w14:paraId="2EDA6423" w14:textId="5F3850F5" w:rsidR="003C6C25" w:rsidRPr="00F1762B" w:rsidRDefault="003C6C25" w:rsidP="00E05BB0">
            <w:pPr>
              <w:rPr>
                <w:sz w:val="15"/>
                <w:szCs w:val="15"/>
                <w:lang w:val="en-CA"/>
              </w:rPr>
            </w:pPr>
            <w:r w:rsidRPr="00F1762B">
              <w:rPr>
                <w:sz w:val="15"/>
                <w:szCs w:val="15"/>
                <w:lang w:val="en-CA"/>
              </w:rPr>
              <w:t>Class 5, thiazolidinediones cs no use of thiazolidinediones;</w:t>
            </w:r>
          </w:p>
          <w:p w14:paraId="3ECB5534" w14:textId="77777777" w:rsidR="003C6C25" w:rsidRPr="00F1762B" w:rsidRDefault="003C6C25" w:rsidP="00E05BB0">
            <w:pPr>
              <w:rPr>
                <w:sz w:val="15"/>
                <w:szCs w:val="15"/>
                <w:lang w:val="en-CA"/>
              </w:rPr>
            </w:pPr>
          </w:p>
          <w:p w14:paraId="2B4B931C" w14:textId="0E86A292" w:rsidR="003C6C25" w:rsidRPr="00F1762B" w:rsidRDefault="003C6C25" w:rsidP="00E05BB0">
            <w:pPr>
              <w:rPr>
                <w:sz w:val="15"/>
                <w:szCs w:val="15"/>
                <w:lang w:val="en-CA"/>
              </w:rPr>
            </w:pPr>
            <w:r w:rsidRPr="00F1762B">
              <w:rPr>
                <w:sz w:val="15"/>
                <w:szCs w:val="15"/>
                <w:lang w:val="en-CA"/>
              </w:rPr>
              <w:t>Class 6, insulin vs no use of insulin</w:t>
            </w:r>
          </w:p>
        </w:tc>
        <w:tc>
          <w:tcPr>
            <w:tcW w:w="471" w:type="pct"/>
          </w:tcPr>
          <w:p w14:paraId="0D576F1E" w14:textId="379D054E" w:rsidR="003C6C25" w:rsidRPr="00F1762B" w:rsidRDefault="00E002ED" w:rsidP="00E05BB0">
            <w:pPr>
              <w:rPr>
                <w:sz w:val="15"/>
                <w:szCs w:val="15"/>
                <w:lang w:val="en-CA"/>
              </w:rPr>
            </w:pPr>
            <w:r w:rsidRPr="00F1762B">
              <w:rPr>
                <w:sz w:val="15"/>
                <w:szCs w:val="15"/>
                <w:lang w:val="en-CA"/>
              </w:rPr>
              <w:t>Pancreatic cancer</w:t>
            </w:r>
          </w:p>
        </w:tc>
        <w:tc>
          <w:tcPr>
            <w:tcW w:w="785" w:type="pct"/>
          </w:tcPr>
          <w:p w14:paraId="6E4E927C" w14:textId="0E704F2F" w:rsidR="003C6C25" w:rsidRPr="00F1762B" w:rsidRDefault="003C6C25" w:rsidP="00E05BB0">
            <w:pPr>
              <w:rPr>
                <w:sz w:val="15"/>
                <w:szCs w:val="15"/>
              </w:rPr>
            </w:pPr>
            <w:r w:rsidRPr="00F1762B">
              <w:rPr>
                <w:sz w:val="15"/>
                <w:szCs w:val="15"/>
                <w:lang w:val="en-CA"/>
              </w:rPr>
              <w:t xml:space="preserve">Adjusted for </w:t>
            </w:r>
            <w:r w:rsidRPr="00F1762B">
              <w:rPr>
                <w:sz w:val="15"/>
                <w:szCs w:val="15"/>
              </w:rPr>
              <w:t>age, sex and other classes of diabetes drugs (insulin secretagogues, thiazolidinediones, and insulin)</w:t>
            </w:r>
          </w:p>
        </w:tc>
        <w:tc>
          <w:tcPr>
            <w:tcW w:w="307" w:type="pct"/>
          </w:tcPr>
          <w:p w14:paraId="57568EEA" w14:textId="21B9E829" w:rsidR="003C6C25" w:rsidRPr="00F1762B" w:rsidRDefault="003C6C25" w:rsidP="00E05BB0">
            <w:pPr>
              <w:rPr>
                <w:sz w:val="15"/>
                <w:szCs w:val="15"/>
                <w:lang w:val="en-CA"/>
              </w:rPr>
            </w:pPr>
            <w:r w:rsidRPr="00F1762B">
              <w:rPr>
                <w:rFonts w:ascii="Calibri" w:hAnsi="Calibri"/>
                <w:sz w:val="15"/>
                <w:szCs w:val="15"/>
              </w:rPr>
              <w:t>Moderate</w:t>
            </w:r>
          </w:p>
        </w:tc>
        <w:tc>
          <w:tcPr>
            <w:tcW w:w="204" w:type="pct"/>
          </w:tcPr>
          <w:p w14:paraId="2DFC8C99" w14:textId="4BBDFD60" w:rsidR="003C6C25" w:rsidRPr="00F1762B" w:rsidRDefault="003C6C25" w:rsidP="00E05BB0">
            <w:pPr>
              <w:rPr>
                <w:rFonts w:ascii="Calibri" w:hAnsi="Calibri"/>
                <w:sz w:val="15"/>
                <w:szCs w:val="15"/>
              </w:rPr>
            </w:pPr>
            <w:r w:rsidRPr="00F1762B">
              <w:rPr>
                <w:rFonts w:ascii="Calibri" w:hAnsi="Calibri"/>
                <w:sz w:val="15"/>
                <w:szCs w:val="15"/>
              </w:rPr>
              <w:t>4</w:t>
            </w:r>
          </w:p>
        </w:tc>
      </w:tr>
      <w:tr w:rsidR="00B7487B" w:rsidRPr="00F1762B" w14:paraId="6FE33171" w14:textId="4CAA920A" w:rsidTr="00F1762B">
        <w:tc>
          <w:tcPr>
            <w:tcW w:w="517" w:type="pct"/>
          </w:tcPr>
          <w:p w14:paraId="053689D5" w14:textId="07EACBB8" w:rsidR="003C6C25" w:rsidRPr="00F1762B" w:rsidRDefault="003C6C25" w:rsidP="00E05BB0">
            <w:pPr>
              <w:rPr>
                <w:sz w:val="15"/>
                <w:szCs w:val="15"/>
                <w:lang w:val="en-CA"/>
              </w:rPr>
            </w:pPr>
            <w:r w:rsidRPr="00F1762B">
              <w:rPr>
                <w:rFonts w:ascii="Calibri" w:hAnsi="Calibri"/>
                <w:sz w:val="15"/>
                <w:szCs w:val="15"/>
              </w:rPr>
              <w:t>Azoulay 2016</w:t>
            </w:r>
          </w:p>
        </w:tc>
        <w:tc>
          <w:tcPr>
            <w:tcW w:w="447" w:type="pct"/>
          </w:tcPr>
          <w:p w14:paraId="1852758A" w14:textId="271A572F" w:rsidR="003C6C25" w:rsidRPr="00F1762B" w:rsidRDefault="003C6C25" w:rsidP="00E05BB0">
            <w:pPr>
              <w:rPr>
                <w:sz w:val="15"/>
                <w:szCs w:val="15"/>
                <w:lang w:val="en-CA"/>
              </w:rPr>
            </w:pPr>
            <w:r w:rsidRPr="00F1762B">
              <w:rPr>
                <w:rFonts w:ascii="Calibri" w:hAnsi="Calibri"/>
                <w:sz w:val="15"/>
                <w:szCs w:val="15"/>
              </w:rPr>
              <w:t>Canada, United States, United Kingdom; population-based</w:t>
            </w:r>
          </w:p>
        </w:tc>
        <w:tc>
          <w:tcPr>
            <w:tcW w:w="491" w:type="pct"/>
          </w:tcPr>
          <w:p w14:paraId="2E73FBB6" w14:textId="0F8C1175" w:rsidR="003C6C25" w:rsidRPr="00F1762B" w:rsidRDefault="003C6C25" w:rsidP="00E05BB0">
            <w:pPr>
              <w:rPr>
                <w:sz w:val="15"/>
                <w:szCs w:val="15"/>
                <w:lang w:val="en-CA"/>
              </w:rPr>
            </w:pPr>
            <w:r w:rsidRPr="00F1762B">
              <w:rPr>
                <w:rFonts w:ascii="Calibri" w:hAnsi="Calibri"/>
                <w:sz w:val="15"/>
                <w:szCs w:val="15"/>
              </w:rPr>
              <w:t>2007 to 2013; NA</w:t>
            </w:r>
          </w:p>
        </w:tc>
        <w:tc>
          <w:tcPr>
            <w:tcW w:w="620" w:type="pct"/>
          </w:tcPr>
          <w:p w14:paraId="328C4105" w14:textId="3A33E1BB" w:rsidR="003C6C25" w:rsidRPr="00F1762B" w:rsidRDefault="003C6C25" w:rsidP="00E05BB0">
            <w:pPr>
              <w:rPr>
                <w:sz w:val="15"/>
                <w:szCs w:val="15"/>
                <w:lang w:val="en-CA"/>
              </w:rPr>
            </w:pPr>
            <w:r w:rsidRPr="00F1762B">
              <w:rPr>
                <w:rFonts w:ascii="Calibri" w:hAnsi="Calibri"/>
                <w:sz w:val="15"/>
                <w:szCs w:val="15"/>
              </w:rPr>
              <w:t>19+; 68.20 in pancreatic cancer cases and 68.10 in controls</w:t>
            </w:r>
          </w:p>
        </w:tc>
        <w:tc>
          <w:tcPr>
            <w:tcW w:w="620" w:type="pct"/>
          </w:tcPr>
          <w:p w14:paraId="49A736BB" w14:textId="25167471" w:rsidR="003C6C25" w:rsidRPr="00F1762B" w:rsidRDefault="003C6C25" w:rsidP="00E05BB0">
            <w:pPr>
              <w:rPr>
                <w:sz w:val="15"/>
                <w:szCs w:val="15"/>
              </w:rPr>
            </w:pPr>
            <w:r w:rsidRPr="00F1762B">
              <w:rPr>
                <w:sz w:val="15"/>
                <w:szCs w:val="15"/>
              </w:rPr>
              <w:t>50.9</w:t>
            </w:r>
          </w:p>
        </w:tc>
        <w:tc>
          <w:tcPr>
            <w:tcW w:w="537" w:type="pct"/>
          </w:tcPr>
          <w:p w14:paraId="2EEB7C93" w14:textId="595C999A" w:rsidR="003C6C25" w:rsidRPr="00F1762B" w:rsidRDefault="003C6C25" w:rsidP="00E05BB0">
            <w:pPr>
              <w:rPr>
                <w:sz w:val="15"/>
                <w:szCs w:val="15"/>
                <w:lang w:val="en-CA"/>
              </w:rPr>
            </w:pPr>
            <w:r w:rsidRPr="00F1762B">
              <w:rPr>
                <w:sz w:val="15"/>
                <w:szCs w:val="15"/>
                <w:lang w:val="en-CA"/>
              </w:rPr>
              <w:t>Class 2, dipeptidyl peptidase-4</w:t>
            </w:r>
            <w:r w:rsidRPr="00F1762B">
              <w:rPr>
                <w:sz w:val="15"/>
                <w:szCs w:val="15"/>
              </w:rPr>
              <w:t xml:space="preserve"> inhibitors (linagliptin, sitagliptin, vildagliptin, saxagliptin) or glucagon-like peptide-1 receptor agonists (exenatide, liraglutide) vs use of other diabetes medication(s)</w:t>
            </w:r>
          </w:p>
        </w:tc>
        <w:tc>
          <w:tcPr>
            <w:tcW w:w="471" w:type="pct"/>
          </w:tcPr>
          <w:p w14:paraId="1B16E8AC" w14:textId="1DE14273" w:rsidR="003C6C25" w:rsidRPr="00F1762B" w:rsidRDefault="00E002ED" w:rsidP="00E05BB0">
            <w:pPr>
              <w:rPr>
                <w:sz w:val="15"/>
                <w:szCs w:val="15"/>
                <w:lang w:val="en-CA"/>
              </w:rPr>
            </w:pPr>
            <w:r w:rsidRPr="00F1762B">
              <w:rPr>
                <w:sz w:val="15"/>
                <w:szCs w:val="15"/>
                <w:lang w:val="en-CA"/>
              </w:rPr>
              <w:t>Pancreatic cancer</w:t>
            </w:r>
          </w:p>
        </w:tc>
        <w:tc>
          <w:tcPr>
            <w:tcW w:w="785" w:type="pct"/>
          </w:tcPr>
          <w:p w14:paraId="38769B04" w14:textId="12259876" w:rsidR="003C6C25" w:rsidRPr="00F1762B" w:rsidRDefault="003C6C25" w:rsidP="00E05BB0">
            <w:pPr>
              <w:rPr>
                <w:sz w:val="15"/>
                <w:szCs w:val="15"/>
              </w:rPr>
            </w:pPr>
            <w:r w:rsidRPr="00F1762B">
              <w:rPr>
                <w:sz w:val="15"/>
                <w:szCs w:val="15"/>
              </w:rPr>
              <w:t>Matched on age (365 days either way), sex, date of entry to the study cohort (180 days either way), duration of treated diabetes before entry to the study cohort (defined as time between entry to the base cohort and entry to the study cohort; 90 days either way), and duration of follow-up;</w:t>
            </w:r>
          </w:p>
          <w:p w14:paraId="79E8F9EA" w14:textId="77777777" w:rsidR="003C6C25" w:rsidRPr="00F1762B" w:rsidRDefault="003C6C25" w:rsidP="00E05BB0">
            <w:pPr>
              <w:rPr>
                <w:sz w:val="15"/>
                <w:szCs w:val="15"/>
              </w:rPr>
            </w:pPr>
          </w:p>
          <w:p w14:paraId="1F6BFCC0" w14:textId="5DA239A4" w:rsidR="003C6C25" w:rsidRPr="00F1762B" w:rsidRDefault="003C6C25" w:rsidP="00E05BB0">
            <w:pPr>
              <w:rPr>
                <w:sz w:val="15"/>
                <w:szCs w:val="15"/>
              </w:rPr>
            </w:pPr>
            <w:r w:rsidRPr="00F1762B">
              <w:rPr>
                <w:sz w:val="15"/>
                <w:szCs w:val="15"/>
              </w:rPr>
              <w:t xml:space="preserve">Adjusted for alcohol related disorders, history of acute or </w:t>
            </w:r>
            <w:r w:rsidRPr="00F1762B">
              <w:rPr>
                <w:sz w:val="15"/>
                <w:szCs w:val="15"/>
              </w:rPr>
              <w:lastRenderedPageBreak/>
              <w:t>chronic pancreatitis, microvascular complications of diabetes (neuropathy, renal disease, retinopathy, and peripheral arteriopathy), number of hospital admissions, number of unique non-diabetic drugs in previous year, number of antidiabetic drugs received before entry to study cohort, ever use of statins.</w:t>
            </w:r>
          </w:p>
          <w:p w14:paraId="0B16868E" w14:textId="77777777" w:rsidR="003C6C25" w:rsidRPr="00F1762B" w:rsidRDefault="003C6C25" w:rsidP="00E05BB0">
            <w:pPr>
              <w:rPr>
                <w:sz w:val="15"/>
                <w:szCs w:val="15"/>
              </w:rPr>
            </w:pPr>
          </w:p>
          <w:p w14:paraId="58E8DD15" w14:textId="7BF514C6" w:rsidR="003C6C25" w:rsidRPr="00F1762B" w:rsidRDefault="003C6C25" w:rsidP="00E05BB0">
            <w:pPr>
              <w:rPr>
                <w:sz w:val="15"/>
                <w:szCs w:val="15"/>
              </w:rPr>
            </w:pPr>
            <w:r w:rsidRPr="00F1762B">
              <w:rPr>
                <w:sz w:val="15"/>
                <w:szCs w:val="15"/>
              </w:rPr>
              <w:t>In the clinical practice research datalink, models were further adjusted for body mass index, smoking status, and glycated hemoglobin a1c level (&lt;7. 0 % (53 mmol/mol), 7.1-8.0% (54-64 mmol/mol), &gt;8.0% (64 mmol/mol))</w:t>
            </w:r>
          </w:p>
        </w:tc>
        <w:tc>
          <w:tcPr>
            <w:tcW w:w="307" w:type="pct"/>
          </w:tcPr>
          <w:p w14:paraId="78765D38" w14:textId="7EC99468" w:rsidR="003C6C25" w:rsidRPr="00F1762B" w:rsidRDefault="003C6C25" w:rsidP="00E05BB0">
            <w:pPr>
              <w:rPr>
                <w:sz w:val="15"/>
                <w:szCs w:val="15"/>
                <w:lang w:val="en-CA"/>
              </w:rPr>
            </w:pPr>
            <w:r w:rsidRPr="00F1762B">
              <w:rPr>
                <w:rFonts w:ascii="Calibri" w:hAnsi="Calibri"/>
                <w:sz w:val="15"/>
                <w:szCs w:val="15"/>
              </w:rPr>
              <w:lastRenderedPageBreak/>
              <w:t>Low</w:t>
            </w:r>
          </w:p>
        </w:tc>
        <w:tc>
          <w:tcPr>
            <w:tcW w:w="204" w:type="pct"/>
          </w:tcPr>
          <w:p w14:paraId="46B155E9" w14:textId="52AE33A6" w:rsidR="003C6C25" w:rsidRPr="00F1762B" w:rsidRDefault="003C6C25" w:rsidP="00E05BB0">
            <w:pPr>
              <w:rPr>
                <w:rFonts w:ascii="Calibri" w:hAnsi="Calibri"/>
                <w:sz w:val="15"/>
                <w:szCs w:val="15"/>
              </w:rPr>
            </w:pPr>
            <w:r w:rsidRPr="00F1762B">
              <w:rPr>
                <w:rFonts w:ascii="Calibri" w:hAnsi="Calibri"/>
                <w:sz w:val="15"/>
                <w:szCs w:val="15"/>
              </w:rPr>
              <w:t>7</w:t>
            </w:r>
          </w:p>
        </w:tc>
      </w:tr>
      <w:tr w:rsidR="00B7487B" w:rsidRPr="00F1762B" w14:paraId="01E350C7" w14:textId="1C39A20A" w:rsidTr="00F1762B">
        <w:tc>
          <w:tcPr>
            <w:tcW w:w="517" w:type="pct"/>
          </w:tcPr>
          <w:p w14:paraId="79EC9EE1" w14:textId="7865204D" w:rsidR="003C6C25" w:rsidRPr="00F1762B" w:rsidRDefault="003C6C25" w:rsidP="00E05BB0">
            <w:pPr>
              <w:rPr>
                <w:sz w:val="15"/>
                <w:szCs w:val="15"/>
                <w:lang w:val="en-CA"/>
              </w:rPr>
            </w:pPr>
            <w:r w:rsidRPr="00F1762B">
              <w:rPr>
                <w:rFonts w:ascii="Calibri" w:hAnsi="Calibri"/>
                <w:sz w:val="15"/>
                <w:szCs w:val="15"/>
              </w:rPr>
              <w:t>Lu 2015</w:t>
            </w:r>
          </w:p>
        </w:tc>
        <w:tc>
          <w:tcPr>
            <w:tcW w:w="447" w:type="pct"/>
          </w:tcPr>
          <w:p w14:paraId="05980E0F" w14:textId="388F6431" w:rsidR="003C6C25" w:rsidRPr="00F1762B" w:rsidRDefault="003C6C25" w:rsidP="00E05BB0">
            <w:pPr>
              <w:rPr>
                <w:sz w:val="15"/>
                <w:szCs w:val="15"/>
                <w:lang w:val="en-CA"/>
              </w:rPr>
            </w:pPr>
            <w:r w:rsidRPr="00F1762B">
              <w:rPr>
                <w:rFonts w:ascii="Calibri" w:hAnsi="Calibri"/>
                <w:sz w:val="15"/>
                <w:szCs w:val="15"/>
              </w:rPr>
              <w:t>United Kingdom; population-based</w:t>
            </w:r>
          </w:p>
        </w:tc>
        <w:tc>
          <w:tcPr>
            <w:tcW w:w="491" w:type="pct"/>
          </w:tcPr>
          <w:p w14:paraId="356013B7" w14:textId="79B48AF5" w:rsidR="003C6C25" w:rsidRPr="00F1762B" w:rsidRDefault="003C6C25" w:rsidP="00E05BB0">
            <w:pPr>
              <w:rPr>
                <w:sz w:val="15"/>
                <w:szCs w:val="15"/>
                <w:lang w:val="en-CA"/>
              </w:rPr>
            </w:pPr>
            <w:r w:rsidRPr="00F1762B">
              <w:rPr>
                <w:rFonts w:ascii="Calibri" w:hAnsi="Calibri"/>
                <w:sz w:val="15"/>
                <w:szCs w:val="15"/>
              </w:rPr>
              <w:t>1996 to 2010; NA</w:t>
            </w:r>
          </w:p>
        </w:tc>
        <w:tc>
          <w:tcPr>
            <w:tcW w:w="620" w:type="pct"/>
          </w:tcPr>
          <w:p w14:paraId="41E12B26" w14:textId="54049B2A" w:rsidR="003C6C25" w:rsidRPr="00F1762B" w:rsidRDefault="003C6C25" w:rsidP="00E05BB0">
            <w:pPr>
              <w:rPr>
                <w:sz w:val="15"/>
                <w:szCs w:val="15"/>
                <w:lang w:val="en-CA"/>
              </w:rPr>
            </w:pPr>
            <w:r w:rsidRPr="00F1762B">
              <w:rPr>
                <w:rFonts w:ascii="Calibri" w:hAnsi="Calibri"/>
                <w:sz w:val="15"/>
                <w:szCs w:val="15"/>
              </w:rPr>
              <w:t>20 to 79; ~75% were &gt; 65</w:t>
            </w:r>
          </w:p>
        </w:tc>
        <w:tc>
          <w:tcPr>
            <w:tcW w:w="620" w:type="pct"/>
          </w:tcPr>
          <w:p w14:paraId="76411835" w14:textId="4910F7EB" w:rsidR="003C6C25" w:rsidRPr="00F1762B" w:rsidRDefault="003C6C25" w:rsidP="00E05BB0">
            <w:pPr>
              <w:rPr>
                <w:sz w:val="15"/>
                <w:szCs w:val="15"/>
              </w:rPr>
            </w:pPr>
            <w:r w:rsidRPr="00F1762B">
              <w:rPr>
                <w:sz w:val="15"/>
                <w:szCs w:val="15"/>
              </w:rPr>
              <w:t>58.0 in pancreatic cancer cases; 57.1 in controls</w:t>
            </w:r>
          </w:p>
        </w:tc>
        <w:tc>
          <w:tcPr>
            <w:tcW w:w="537" w:type="pct"/>
          </w:tcPr>
          <w:p w14:paraId="2EBA1BD0" w14:textId="04CFDE29" w:rsidR="003C6C25" w:rsidRPr="00F1762B" w:rsidRDefault="003C6C25" w:rsidP="00E05BB0">
            <w:pPr>
              <w:rPr>
                <w:sz w:val="15"/>
                <w:szCs w:val="15"/>
                <w:lang w:val="en-CA"/>
              </w:rPr>
            </w:pPr>
            <w:r w:rsidRPr="00F1762B">
              <w:rPr>
                <w:sz w:val="15"/>
                <w:szCs w:val="15"/>
                <w:lang w:val="en-CA"/>
              </w:rPr>
              <w:t>Class 1, metformin vs no use of metformin;</w:t>
            </w:r>
          </w:p>
          <w:p w14:paraId="7610422F" w14:textId="34C9C100" w:rsidR="003C6C25" w:rsidRPr="00F1762B" w:rsidRDefault="003C6C25" w:rsidP="00E05BB0">
            <w:pPr>
              <w:rPr>
                <w:sz w:val="15"/>
                <w:szCs w:val="15"/>
                <w:lang w:val="en-CA"/>
              </w:rPr>
            </w:pPr>
          </w:p>
          <w:p w14:paraId="6FED7987" w14:textId="5E176D2A" w:rsidR="003C6C25" w:rsidRPr="00F1762B" w:rsidRDefault="003C6C25" w:rsidP="00E05BB0">
            <w:pPr>
              <w:rPr>
                <w:sz w:val="15"/>
                <w:szCs w:val="15"/>
                <w:lang w:val="en-CA"/>
              </w:rPr>
            </w:pPr>
            <w:r w:rsidRPr="00F1762B">
              <w:rPr>
                <w:sz w:val="15"/>
                <w:szCs w:val="15"/>
                <w:lang w:val="en-CA"/>
              </w:rPr>
              <w:t>Class 4, sulfonylureas vs no use of sulfonylureas;</w:t>
            </w:r>
          </w:p>
          <w:p w14:paraId="600CCEB3" w14:textId="77777777" w:rsidR="003C6C25" w:rsidRPr="00F1762B" w:rsidRDefault="003C6C25" w:rsidP="00E05BB0">
            <w:pPr>
              <w:rPr>
                <w:sz w:val="15"/>
                <w:szCs w:val="15"/>
                <w:lang w:val="en-CA"/>
              </w:rPr>
            </w:pPr>
          </w:p>
          <w:p w14:paraId="3FEF2E97" w14:textId="43C3D1F4" w:rsidR="003C6C25" w:rsidRPr="00F1762B" w:rsidRDefault="003C6C25" w:rsidP="00E05BB0">
            <w:pPr>
              <w:rPr>
                <w:sz w:val="15"/>
                <w:szCs w:val="15"/>
                <w:lang w:val="en-CA"/>
              </w:rPr>
            </w:pPr>
            <w:r w:rsidRPr="00F1762B">
              <w:rPr>
                <w:sz w:val="15"/>
                <w:szCs w:val="15"/>
                <w:lang w:val="en-CA"/>
              </w:rPr>
              <w:t>Class 5, glitazones vs no use of glitazones;</w:t>
            </w:r>
          </w:p>
          <w:p w14:paraId="570735E4" w14:textId="77777777" w:rsidR="003C6C25" w:rsidRPr="00F1762B" w:rsidRDefault="003C6C25" w:rsidP="00E05BB0">
            <w:pPr>
              <w:rPr>
                <w:sz w:val="15"/>
                <w:szCs w:val="15"/>
                <w:lang w:val="en-CA"/>
              </w:rPr>
            </w:pPr>
          </w:p>
          <w:p w14:paraId="3A4AAD6E" w14:textId="4A5A547B" w:rsidR="003C6C25" w:rsidRPr="00F1762B" w:rsidRDefault="003C6C25" w:rsidP="00E05BB0">
            <w:pPr>
              <w:rPr>
                <w:sz w:val="15"/>
                <w:szCs w:val="15"/>
                <w:lang w:val="en-CA"/>
              </w:rPr>
            </w:pPr>
            <w:r w:rsidRPr="00F1762B">
              <w:rPr>
                <w:sz w:val="15"/>
                <w:szCs w:val="15"/>
                <w:lang w:val="en-CA"/>
              </w:rPr>
              <w:t>Class 6, insulin vs no use of insulin</w:t>
            </w:r>
          </w:p>
        </w:tc>
        <w:tc>
          <w:tcPr>
            <w:tcW w:w="471" w:type="pct"/>
          </w:tcPr>
          <w:p w14:paraId="5DEC1852" w14:textId="65BF09B2" w:rsidR="003C6C25" w:rsidRPr="00F1762B" w:rsidRDefault="00E002ED" w:rsidP="00E05BB0">
            <w:pPr>
              <w:rPr>
                <w:sz w:val="15"/>
                <w:szCs w:val="15"/>
                <w:lang w:val="en-CA"/>
              </w:rPr>
            </w:pPr>
            <w:r w:rsidRPr="00F1762B">
              <w:rPr>
                <w:sz w:val="15"/>
                <w:szCs w:val="15"/>
                <w:lang w:val="en-CA"/>
              </w:rPr>
              <w:t>Pancreatic cancer</w:t>
            </w:r>
          </w:p>
        </w:tc>
        <w:tc>
          <w:tcPr>
            <w:tcW w:w="785" w:type="pct"/>
          </w:tcPr>
          <w:p w14:paraId="456DE6F1" w14:textId="6F8E9D09" w:rsidR="003C6C25" w:rsidRPr="00F1762B" w:rsidRDefault="003C6C25" w:rsidP="00E05BB0">
            <w:pPr>
              <w:rPr>
                <w:sz w:val="15"/>
                <w:szCs w:val="15"/>
              </w:rPr>
            </w:pPr>
            <w:r w:rsidRPr="00F1762B">
              <w:rPr>
                <w:sz w:val="15"/>
                <w:szCs w:val="15"/>
              </w:rPr>
              <w:t xml:space="preserve">Adjusted for </w:t>
            </w:r>
            <w:r w:rsidR="00BE67A2">
              <w:rPr>
                <w:sz w:val="15"/>
                <w:szCs w:val="15"/>
              </w:rPr>
              <w:t>a</w:t>
            </w:r>
            <w:r w:rsidRPr="00F1762B">
              <w:rPr>
                <w:sz w:val="15"/>
                <w:szCs w:val="15"/>
              </w:rPr>
              <w:t>ge, sex, body mass index, smoking, alcohol drinking, Townsend deprivation index, calendar year, GP visit 1 year before index date, and diabetes</w:t>
            </w:r>
          </w:p>
        </w:tc>
        <w:tc>
          <w:tcPr>
            <w:tcW w:w="307" w:type="pct"/>
          </w:tcPr>
          <w:p w14:paraId="24418DA2" w14:textId="7A08AF39" w:rsidR="003C6C25" w:rsidRPr="00F1762B" w:rsidRDefault="003C6C25" w:rsidP="00E05BB0">
            <w:pPr>
              <w:rPr>
                <w:sz w:val="15"/>
                <w:szCs w:val="15"/>
                <w:lang w:val="en-CA"/>
              </w:rPr>
            </w:pPr>
            <w:r w:rsidRPr="00F1762B">
              <w:rPr>
                <w:rFonts w:ascii="Calibri" w:hAnsi="Calibri"/>
                <w:sz w:val="15"/>
                <w:szCs w:val="15"/>
              </w:rPr>
              <w:t>Low</w:t>
            </w:r>
          </w:p>
        </w:tc>
        <w:tc>
          <w:tcPr>
            <w:tcW w:w="204" w:type="pct"/>
          </w:tcPr>
          <w:p w14:paraId="6A0A1DAA" w14:textId="0000571A" w:rsidR="003C6C25" w:rsidRPr="00F1762B" w:rsidRDefault="003C6C25" w:rsidP="00E05BB0">
            <w:pPr>
              <w:rPr>
                <w:rFonts w:ascii="Calibri" w:hAnsi="Calibri"/>
                <w:sz w:val="15"/>
                <w:szCs w:val="15"/>
              </w:rPr>
            </w:pPr>
            <w:r w:rsidRPr="00F1762B">
              <w:rPr>
                <w:rFonts w:ascii="Calibri" w:hAnsi="Calibri"/>
                <w:sz w:val="15"/>
                <w:szCs w:val="15"/>
              </w:rPr>
              <w:t>8</w:t>
            </w:r>
          </w:p>
        </w:tc>
      </w:tr>
      <w:tr w:rsidR="00B7487B" w:rsidRPr="00F1762B" w14:paraId="4939BFBF" w14:textId="21210044" w:rsidTr="00F1762B">
        <w:tc>
          <w:tcPr>
            <w:tcW w:w="517" w:type="pct"/>
          </w:tcPr>
          <w:p w14:paraId="089E9C5E" w14:textId="26DED957" w:rsidR="003C6C25" w:rsidRPr="00F1762B" w:rsidRDefault="003C6C25" w:rsidP="00E05BB0">
            <w:pPr>
              <w:rPr>
                <w:sz w:val="15"/>
                <w:szCs w:val="15"/>
                <w:lang w:val="en-CA"/>
              </w:rPr>
            </w:pPr>
            <w:r w:rsidRPr="00F1762B">
              <w:rPr>
                <w:rFonts w:ascii="Calibri" w:hAnsi="Calibri"/>
                <w:sz w:val="15"/>
                <w:szCs w:val="15"/>
              </w:rPr>
              <w:t>Feng 2015</w:t>
            </w:r>
          </w:p>
        </w:tc>
        <w:tc>
          <w:tcPr>
            <w:tcW w:w="447" w:type="pct"/>
          </w:tcPr>
          <w:p w14:paraId="47E16CDC" w14:textId="557AB6BA" w:rsidR="003C6C25" w:rsidRPr="00F1762B" w:rsidRDefault="003C6C25" w:rsidP="00E05BB0">
            <w:pPr>
              <w:rPr>
                <w:sz w:val="15"/>
                <w:szCs w:val="15"/>
                <w:lang w:val="en-CA"/>
              </w:rPr>
            </w:pPr>
            <w:r w:rsidRPr="00F1762B">
              <w:rPr>
                <w:rFonts w:ascii="Calibri" w:hAnsi="Calibri"/>
                <w:sz w:val="15"/>
                <w:szCs w:val="15"/>
              </w:rPr>
              <w:t>Multicenter; hospital-based</w:t>
            </w:r>
          </w:p>
        </w:tc>
        <w:tc>
          <w:tcPr>
            <w:tcW w:w="491" w:type="pct"/>
          </w:tcPr>
          <w:p w14:paraId="2E1A12EC" w14:textId="1FB349F3" w:rsidR="003C6C25" w:rsidRPr="00F1762B" w:rsidRDefault="003C6C25" w:rsidP="00E05BB0">
            <w:pPr>
              <w:rPr>
                <w:sz w:val="15"/>
                <w:szCs w:val="15"/>
                <w:lang w:val="en-CA"/>
              </w:rPr>
            </w:pPr>
            <w:r w:rsidRPr="00F1762B">
              <w:rPr>
                <w:rFonts w:ascii="Calibri" w:hAnsi="Calibri"/>
                <w:sz w:val="15"/>
                <w:szCs w:val="15"/>
              </w:rPr>
              <w:t>NA (4 years); NA</w:t>
            </w:r>
          </w:p>
        </w:tc>
        <w:tc>
          <w:tcPr>
            <w:tcW w:w="620" w:type="pct"/>
          </w:tcPr>
          <w:p w14:paraId="3954BE94" w14:textId="1C5A1EF8" w:rsidR="003C6C25" w:rsidRPr="00F1762B" w:rsidRDefault="003C6C25" w:rsidP="00E05BB0">
            <w:pPr>
              <w:rPr>
                <w:sz w:val="15"/>
                <w:szCs w:val="15"/>
                <w:lang w:val="en-CA"/>
              </w:rPr>
            </w:pPr>
            <w:r w:rsidRPr="00F1762B">
              <w:rPr>
                <w:rFonts w:ascii="Calibri" w:hAnsi="Calibri"/>
                <w:sz w:val="15"/>
                <w:szCs w:val="15"/>
              </w:rPr>
              <w:t>58 to 70; median 64.0 (IQR: 59.0, 68.0) in people taking metformin</w:t>
            </w:r>
          </w:p>
        </w:tc>
        <w:tc>
          <w:tcPr>
            <w:tcW w:w="620" w:type="pct"/>
          </w:tcPr>
          <w:p w14:paraId="031FFB40" w14:textId="40FFE61A" w:rsidR="003C6C25" w:rsidRPr="00F1762B" w:rsidRDefault="003C6C25" w:rsidP="00E05BB0">
            <w:pPr>
              <w:rPr>
                <w:sz w:val="15"/>
                <w:szCs w:val="15"/>
              </w:rPr>
            </w:pPr>
            <w:r w:rsidRPr="00F1762B">
              <w:rPr>
                <w:sz w:val="15"/>
                <w:szCs w:val="15"/>
              </w:rPr>
              <w:t>100.0</w:t>
            </w:r>
          </w:p>
        </w:tc>
        <w:tc>
          <w:tcPr>
            <w:tcW w:w="537" w:type="pct"/>
          </w:tcPr>
          <w:p w14:paraId="7CF684A9" w14:textId="0CC79569" w:rsidR="003C6C25" w:rsidRPr="00F1762B" w:rsidRDefault="003C6C25" w:rsidP="00E05BB0">
            <w:pPr>
              <w:rPr>
                <w:sz w:val="15"/>
                <w:szCs w:val="15"/>
                <w:lang w:val="en-CA"/>
              </w:rPr>
            </w:pPr>
            <w:r w:rsidRPr="00F1762B">
              <w:rPr>
                <w:sz w:val="15"/>
                <w:szCs w:val="15"/>
                <w:lang w:val="en-CA"/>
              </w:rPr>
              <w:t>Class 1, metformin vs no use of metformin</w:t>
            </w:r>
          </w:p>
        </w:tc>
        <w:tc>
          <w:tcPr>
            <w:tcW w:w="471" w:type="pct"/>
          </w:tcPr>
          <w:p w14:paraId="184C535E" w14:textId="6CE3DC49" w:rsidR="003C6C25" w:rsidRPr="00F1762B" w:rsidRDefault="00E002ED" w:rsidP="00E05BB0">
            <w:pPr>
              <w:rPr>
                <w:sz w:val="15"/>
                <w:szCs w:val="15"/>
                <w:lang w:val="en-CA"/>
              </w:rPr>
            </w:pPr>
            <w:r w:rsidRPr="00F1762B">
              <w:rPr>
                <w:sz w:val="15"/>
                <w:szCs w:val="15"/>
                <w:lang w:val="en-CA"/>
              </w:rPr>
              <w:t>Prostate cancer</w:t>
            </w:r>
          </w:p>
        </w:tc>
        <w:tc>
          <w:tcPr>
            <w:tcW w:w="785" w:type="pct"/>
          </w:tcPr>
          <w:p w14:paraId="4326ED07" w14:textId="659A98A4" w:rsidR="003C6C25" w:rsidRPr="00F1762B" w:rsidRDefault="003C6C25" w:rsidP="00E05BB0">
            <w:pPr>
              <w:rPr>
                <w:sz w:val="15"/>
                <w:szCs w:val="15"/>
              </w:rPr>
            </w:pPr>
            <w:r w:rsidRPr="00F1762B">
              <w:rPr>
                <w:sz w:val="15"/>
                <w:szCs w:val="15"/>
              </w:rPr>
              <w:t>Adjusted for age, race, geographic region, prostate specific antigen levels, digital rectal examination findings, body mass index, prostate volume, family history of prostate cancer, coronary artery disease, smoking status, NSAIDs, statins, aspirin, and treatment group</w:t>
            </w:r>
          </w:p>
        </w:tc>
        <w:tc>
          <w:tcPr>
            <w:tcW w:w="307" w:type="pct"/>
          </w:tcPr>
          <w:p w14:paraId="47600201" w14:textId="402559A3" w:rsidR="003C6C25" w:rsidRPr="00F1762B" w:rsidRDefault="003C6C25" w:rsidP="00E05BB0">
            <w:pPr>
              <w:rPr>
                <w:sz w:val="15"/>
                <w:szCs w:val="15"/>
                <w:lang w:val="en-CA"/>
              </w:rPr>
            </w:pPr>
            <w:r w:rsidRPr="00F1762B">
              <w:rPr>
                <w:rFonts w:ascii="Calibri" w:hAnsi="Calibri"/>
                <w:sz w:val="15"/>
                <w:szCs w:val="15"/>
              </w:rPr>
              <w:t>Low</w:t>
            </w:r>
          </w:p>
        </w:tc>
        <w:tc>
          <w:tcPr>
            <w:tcW w:w="204" w:type="pct"/>
          </w:tcPr>
          <w:p w14:paraId="0A13EDB3" w14:textId="281A3439" w:rsidR="003C6C25" w:rsidRPr="00F1762B" w:rsidRDefault="003C6C25" w:rsidP="00E05BB0">
            <w:pPr>
              <w:rPr>
                <w:rFonts w:ascii="Calibri" w:hAnsi="Calibri"/>
                <w:sz w:val="15"/>
                <w:szCs w:val="15"/>
              </w:rPr>
            </w:pPr>
            <w:r w:rsidRPr="00F1762B">
              <w:rPr>
                <w:rFonts w:ascii="Calibri" w:hAnsi="Calibri"/>
                <w:sz w:val="15"/>
                <w:szCs w:val="15"/>
              </w:rPr>
              <w:t>7</w:t>
            </w:r>
          </w:p>
        </w:tc>
      </w:tr>
      <w:tr w:rsidR="00B7487B" w:rsidRPr="00F1762B" w14:paraId="1D549467" w14:textId="399299F6" w:rsidTr="00F1762B">
        <w:tc>
          <w:tcPr>
            <w:tcW w:w="517" w:type="pct"/>
          </w:tcPr>
          <w:p w14:paraId="477DE4FE" w14:textId="38B61504" w:rsidR="003C6C25" w:rsidRPr="00F1762B" w:rsidRDefault="003C6C25" w:rsidP="00E05BB0">
            <w:pPr>
              <w:rPr>
                <w:sz w:val="15"/>
                <w:szCs w:val="15"/>
                <w:lang w:val="en-CA"/>
              </w:rPr>
            </w:pPr>
            <w:r w:rsidRPr="00F1762B">
              <w:rPr>
                <w:rFonts w:ascii="Calibri" w:hAnsi="Calibri"/>
                <w:sz w:val="15"/>
                <w:szCs w:val="15"/>
              </w:rPr>
              <w:t>Cardel 2014</w:t>
            </w:r>
          </w:p>
        </w:tc>
        <w:tc>
          <w:tcPr>
            <w:tcW w:w="447" w:type="pct"/>
          </w:tcPr>
          <w:p w14:paraId="43C6BF9C" w14:textId="70037587" w:rsidR="003C6C25" w:rsidRPr="00F1762B" w:rsidRDefault="003C6C25" w:rsidP="00E05BB0">
            <w:pPr>
              <w:rPr>
                <w:sz w:val="15"/>
                <w:szCs w:val="15"/>
                <w:lang w:val="en-CA"/>
              </w:rPr>
            </w:pPr>
            <w:r w:rsidRPr="00F1762B">
              <w:rPr>
                <w:rFonts w:ascii="Calibri" w:hAnsi="Calibri"/>
                <w:sz w:val="15"/>
                <w:szCs w:val="15"/>
              </w:rPr>
              <w:t>Denmark; population-based</w:t>
            </w:r>
          </w:p>
        </w:tc>
        <w:tc>
          <w:tcPr>
            <w:tcW w:w="491" w:type="pct"/>
          </w:tcPr>
          <w:p w14:paraId="3AB1AD9F" w14:textId="4DE91737" w:rsidR="003C6C25" w:rsidRPr="00F1762B" w:rsidRDefault="003C6C25" w:rsidP="00E05BB0">
            <w:pPr>
              <w:rPr>
                <w:sz w:val="15"/>
                <w:szCs w:val="15"/>
                <w:lang w:val="en-CA"/>
              </w:rPr>
            </w:pPr>
            <w:r w:rsidRPr="00F1762B">
              <w:rPr>
                <w:rFonts w:ascii="Calibri" w:hAnsi="Calibri"/>
                <w:sz w:val="15"/>
                <w:szCs w:val="15"/>
              </w:rPr>
              <w:t>2000 to 2004 and 2005 to 2009; NA</w:t>
            </w:r>
          </w:p>
        </w:tc>
        <w:tc>
          <w:tcPr>
            <w:tcW w:w="620" w:type="pct"/>
          </w:tcPr>
          <w:p w14:paraId="4D5E8075" w14:textId="4A1C96A2" w:rsidR="003C6C25" w:rsidRPr="00F1762B" w:rsidRDefault="003C6C25" w:rsidP="00E05BB0">
            <w:pPr>
              <w:rPr>
                <w:sz w:val="15"/>
                <w:szCs w:val="15"/>
                <w:lang w:val="en-CA"/>
              </w:rPr>
            </w:pPr>
            <w:r w:rsidRPr="00F1762B">
              <w:rPr>
                <w:rFonts w:ascii="Calibri" w:hAnsi="Calibri"/>
                <w:sz w:val="15"/>
                <w:szCs w:val="15"/>
              </w:rPr>
              <w:t xml:space="preserve">NA; median 73.0 (IQR: 66.0, 80.0) in colorectal cancer </w:t>
            </w:r>
            <w:r w:rsidRPr="00F1762B">
              <w:rPr>
                <w:rFonts w:ascii="Calibri" w:hAnsi="Calibri"/>
                <w:sz w:val="15"/>
                <w:szCs w:val="15"/>
              </w:rPr>
              <w:lastRenderedPageBreak/>
              <w:t>cases and 69.0 (IQR: 61.0, 77.0) in controls</w:t>
            </w:r>
          </w:p>
        </w:tc>
        <w:tc>
          <w:tcPr>
            <w:tcW w:w="620" w:type="pct"/>
          </w:tcPr>
          <w:p w14:paraId="3D72DE39" w14:textId="206B102F" w:rsidR="003C6C25" w:rsidRPr="00F1762B" w:rsidRDefault="003C6C25" w:rsidP="00E05BB0">
            <w:pPr>
              <w:rPr>
                <w:sz w:val="15"/>
                <w:szCs w:val="15"/>
              </w:rPr>
            </w:pPr>
            <w:r w:rsidRPr="00F1762B">
              <w:rPr>
                <w:sz w:val="15"/>
                <w:szCs w:val="15"/>
              </w:rPr>
              <w:lastRenderedPageBreak/>
              <w:t>55.0</w:t>
            </w:r>
          </w:p>
        </w:tc>
        <w:tc>
          <w:tcPr>
            <w:tcW w:w="537" w:type="pct"/>
          </w:tcPr>
          <w:p w14:paraId="7AC402C0" w14:textId="51D811D7" w:rsidR="003C6C25" w:rsidRPr="00F1762B" w:rsidRDefault="003C6C25" w:rsidP="00E05BB0">
            <w:pPr>
              <w:rPr>
                <w:sz w:val="15"/>
                <w:szCs w:val="15"/>
                <w:lang w:val="en-CA"/>
              </w:rPr>
            </w:pPr>
            <w:r w:rsidRPr="00F1762B">
              <w:rPr>
                <w:sz w:val="15"/>
                <w:szCs w:val="15"/>
                <w:lang w:val="en-CA"/>
              </w:rPr>
              <w:t>Class 1, metformin vs no use of metformin</w:t>
            </w:r>
          </w:p>
        </w:tc>
        <w:tc>
          <w:tcPr>
            <w:tcW w:w="471" w:type="pct"/>
          </w:tcPr>
          <w:p w14:paraId="4CAA7BFB" w14:textId="7C86C890" w:rsidR="003C6C25" w:rsidRPr="00F1762B" w:rsidRDefault="00E002ED" w:rsidP="00E05BB0">
            <w:pPr>
              <w:rPr>
                <w:sz w:val="15"/>
                <w:szCs w:val="15"/>
                <w:lang w:val="en-CA"/>
              </w:rPr>
            </w:pPr>
            <w:r w:rsidRPr="00F1762B">
              <w:rPr>
                <w:sz w:val="15"/>
                <w:szCs w:val="15"/>
                <w:lang w:val="en-CA"/>
              </w:rPr>
              <w:t>Co</w:t>
            </w:r>
            <w:r w:rsidR="00E0024C" w:rsidRPr="00F1762B">
              <w:rPr>
                <w:sz w:val="15"/>
                <w:szCs w:val="15"/>
                <w:lang w:val="en-CA"/>
              </w:rPr>
              <w:t>l</w:t>
            </w:r>
            <w:r w:rsidRPr="00F1762B">
              <w:rPr>
                <w:sz w:val="15"/>
                <w:szCs w:val="15"/>
                <w:lang w:val="en-CA"/>
              </w:rPr>
              <w:t>orectal cancer</w:t>
            </w:r>
          </w:p>
        </w:tc>
        <w:tc>
          <w:tcPr>
            <w:tcW w:w="785" w:type="pct"/>
          </w:tcPr>
          <w:p w14:paraId="43632C51" w14:textId="56CD47EC" w:rsidR="003C6C25" w:rsidRPr="00F1762B" w:rsidRDefault="003C6C25" w:rsidP="00E05BB0">
            <w:pPr>
              <w:rPr>
                <w:sz w:val="15"/>
                <w:szCs w:val="15"/>
                <w:lang w:val="en-CA"/>
              </w:rPr>
            </w:pPr>
            <w:r w:rsidRPr="00F1762B">
              <w:rPr>
                <w:sz w:val="15"/>
                <w:szCs w:val="15"/>
                <w:lang w:val="en-CA"/>
              </w:rPr>
              <w:t xml:space="preserve">Adjusted for age, gender, calendar year, tobacco, obesity, alcohol use, aspirin, </w:t>
            </w:r>
            <w:r w:rsidRPr="00F1762B">
              <w:rPr>
                <w:sz w:val="15"/>
                <w:szCs w:val="15"/>
                <w:lang w:val="en-CA"/>
              </w:rPr>
              <w:lastRenderedPageBreak/>
              <w:t>NSAIDs, statins, glibenclamide, and gliclazide</w:t>
            </w:r>
          </w:p>
        </w:tc>
        <w:tc>
          <w:tcPr>
            <w:tcW w:w="307" w:type="pct"/>
          </w:tcPr>
          <w:p w14:paraId="4EA7FAFD" w14:textId="6F941BBE" w:rsidR="003C6C25" w:rsidRPr="00F1762B" w:rsidRDefault="003C6C25" w:rsidP="00E05BB0">
            <w:pPr>
              <w:rPr>
                <w:sz w:val="15"/>
                <w:szCs w:val="15"/>
                <w:lang w:val="en-CA"/>
              </w:rPr>
            </w:pPr>
            <w:r w:rsidRPr="00F1762B">
              <w:rPr>
                <w:rFonts w:ascii="Calibri" w:hAnsi="Calibri"/>
                <w:sz w:val="15"/>
                <w:szCs w:val="15"/>
              </w:rPr>
              <w:lastRenderedPageBreak/>
              <w:t>Low</w:t>
            </w:r>
          </w:p>
        </w:tc>
        <w:tc>
          <w:tcPr>
            <w:tcW w:w="204" w:type="pct"/>
          </w:tcPr>
          <w:p w14:paraId="4829331B" w14:textId="105235E5" w:rsidR="003C6C25" w:rsidRPr="00F1762B" w:rsidRDefault="003C6C25" w:rsidP="00E05BB0">
            <w:pPr>
              <w:rPr>
                <w:rFonts w:ascii="Calibri" w:hAnsi="Calibri"/>
                <w:sz w:val="15"/>
                <w:szCs w:val="15"/>
              </w:rPr>
            </w:pPr>
            <w:r w:rsidRPr="00F1762B">
              <w:rPr>
                <w:rFonts w:ascii="Calibri" w:hAnsi="Calibri"/>
                <w:sz w:val="15"/>
                <w:szCs w:val="15"/>
              </w:rPr>
              <w:t>7</w:t>
            </w:r>
          </w:p>
        </w:tc>
      </w:tr>
      <w:tr w:rsidR="00B7487B" w:rsidRPr="00F1762B" w14:paraId="16DDB47B" w14:textId="6F9A6A3F" w:rsidTr="00F1762B">
        <w:tc>
          <w:tcPr>
            <w:tcW w:w="517" w:type="pct"/>
          </w:tcPr>
          <w:p w14:paraId="50CDFAC0" w14:textId="2C805121" w:rsidR="003C6C25" w:rsidRPr="00F1762B" w:rsidRDefault="003C6C25" w:rsidP="00E05BB0">
            <w:pPr>
              <w:rPr>
                <w:sz w:val="15"/>
                <w:szCs w:val="15"/>
                <w:lang w:val="en-CA"/>
              </w:rPr>
            </w:pPr>
            <w:r w:rsidRPr="00F1762B">
              <w:rPr>
                <w:rFonts w:ascii="Calibri" w:hAnsi="Calibri"/>
                <w:sz w:val="15"/>
                <w:szCs w:val="15"/>
              </w:rPr>
              <w:t>Liao 2019</w:t>
            </w:r>
          </w:p>
        </w:tc>
        <w:tc>
          <w:tcPr>
            <w:tcW w:w="447" w:type="pct"/>
          </w:tcPr>
          <w:p w14:paraId="09196E98" w14:textId="4FC0B20E" w:rsidR="003C6C25" w:rsidRPr="00F1762B" w:rsidRDefault="003C6C25" w:rsidP="00E05BB0">
            <w:pPr>
              <w:rPr>
                <w:sz w:val="15"/>
                <w:szCs w:val="15"/>
              </w:rPr>
            </w:pPr>
            <w:r w:rsidRPr="00F1762B">
              <w:rPr>
                <w:sz w:val="15"/>
                <w:szCs w:val="15"/>
              </w:rPr>
              <w:t>Taiwan</w:t>
            </w:r>
            <w:r w:rsidRPr="00F1762B">
              <w:rPr>
                <w:rFonts w:ascii="Calibri" w:hAnsi="Calibri"/>
                <w:sz w:val="15"/>
                <w:szCs w:val="15"/>
              </w:rPr>
              <w:t>; population-based</w:t>
            </w:r>
          </w:p>
        </w:tc>
        <w:tc>
          <w:tcPr>
            <w:tcW w:w="491" w:type="pct"/>
          </w:tcPr>
          <w:p w14:paraId="2FB484B4" w14:textId="4046578E" w:rsidR="003C6C25" w:rsidRPr="00F1762B" w:rsidRDefault="003C6C25" w:rsidP="00E05BB0">
            <w:pPr>
              <w:rPr>
                <w:sz w:val="15"/>
                <w:szCs w:val="15"/>
              </w:rPr>
            </w:pPr>
            <w:r w:rsidRPr="00F1762B">
              <w:rPr>
                <w:sz w:val="15"/>
                <w:szCs w:val="15"/>
              </w:rPr>
              <w:t>2000 to 2011; NA</w:t>
            </w:r>
          </w:p>
        </w:tc>
        <w:tc>
          <w:tcPr>
            <w:tcW w:w="620" w:type="pct"/>
          </w:tcPr>
          <w:p w14:paraId="5DDC165B" w14:textId="6B354FF1" w:rsidR="003C6C25" w:rsidRPr="00F1762B" w:rsidRDefault="003C6C25" w:rsidP="00E05BB0">
            <w:pPr>
              <w:rPr>
                <w:sz w:val="15"/>
                <w:szCs w:val="15"/>
              </w:rPr>
            </w:pPr>
            <w:r w:rsidRPr="00F1762B">
              <w:rPr>
                <w:sz w:val="15"/>
                <w:szCs w:val="15"/>
              </w:rPr>
              <w:t>20 to 84; 68.2 (9.7) in colorectal cancer cases and 68.1 (9.6) in controls</w:t>
            </w:r>
          </w:p>
          <w:p w14:paraId="3B53ABCE" w14:textId="77777777" w:rsidR="003C6C25" w:rsidRPr="00F1762B" w:rsidRDefault="003C6C25" w:rsidP="00E05BB0">
            <w:pPr>
              <w:rPr>
                <w:sz w:val="15"/>
                <w:szCs w:val="15"/>
                <w:lang w:val="en-CA"/>
              </w:rPr>
            </w:pPr>
          </w:p>
        </w:tc>
        <w:tc>
          <w:tcPr>
            <w:tcW w:w="620" w:type="pct"/>
          </w:tcPr>
          <w:p w14:paraId="13F2E371" w14:textId="52821262" w:rsidR="003C6C25" w:rsidRPr="00F1762B" w:rsidRDefault="003C6C25" w:rsidP="00E05BB0">
            <w:pPr>
              <w:rPr>
                <w:sz w:val="15"/>
                <w:szCs w:val="15"/>
              </w:rPr>
            </w:pPr>
            <w:r w:rsidRPr="00F1762B">
              <w:rPr>
                <w:sz w:val="15"/>
                <w:szCs w:val="15"/>
              </w:rPr>
              <w:t>56.0 in colorectal cancer cases; 55.2 in controls</w:t>
            </w:r>
          </w:p>
        </w:tc>
        <w:tc>
          <w:tcPr>
            <w:tcW w:w="537" w:type="pct"/>
          </w:tcPr>
          <w:p w14:paraId="680C2537" w14:textId="0667E088" w:rsidR="003C6C25" w:rsidRPr="00F1762B" w:rsidRDefault="003C6C25" w:rsidP="00E05BB0">
            <w:pPr>
              <w:rPr>
                <w:sz w:val="15"/>
                <w:szCs w:val="15"/>
                <w:lang w:val="en-CA"/>
              </w:rPr>
            </w:pPr>
            <w:r w:rsidRPr="00F1762B">
              <w:rPr>
                <w:sz w:val="15"/>
                <w:szCs w:val="15"/>
                <w:lang w:val="en-CA"/>
              </w:rPr>
              <w:t>Class 5, thiazolidinediones (pioglitazone and rosiglitazone) vs no use of thiazolidinediones</w:t>
            </w:r>
          </w:p>
        </w:tc>
        <w:tc>
          <w:tcPr>
            <w:tcW w:w="471" w:type="pct"/>
          </w:tcPr>
          <w:p w14:paraId="34FC8D8A" w14:textId="59C939D1" w:rsidR="003C6C25" w:rsidRPr="00F1762B" w:rsidRDefault="00C2734E" w:rsidP="00E05BB0">
            <w:pPr>
              <w:rPr>
                <w:sz w:val="15"/>
                <w:szCs w:val="15"/>
                <w:lang w:val="en-CA"/>
              </w:rPr>
            </w:pPr>
            <w:r w:rsidRPr="00F1762B">
              <w:rPr>
                <w:sz w:val="15"/>
                <w:szCs w:val="15"/>
                <w:lang w:val="en-CA"/>
              </w:rPr>
              <w:t>Colorectal cancer</w:t>
            </w:r>
          </w:p>
        </w:tc>
        <w:tc>
          <w:tcPr>
            <w:tcW w:w="785" w:type="pct"/>
          </w:tcPr>
          <w:p w14:paraId="57CEC9D0" w14:textId="4AC1667C" w:rsidR="003C6C25" w:rsidRPr="00F1762B" w:rsidRDefault="003C6C25" w:rsidP="00E05BB0">
            <w:pPr>
              <w:rPr>
                <w:sz w:val="15"/>
                <w:szCs w:val="15"/>
              </w:rPr>
            </w:pPr>
            <w:r w:rsidRPr="00F1762B">
              <w:rPr>
                <w:sz w:val="15"/>
                <w:szCs w:val="15"/>
              </w:rPr>
              <w:t>Adjusted for other anti-diabetic drugs and alcohol-related disease</w:t>
            </w:r>
          </w:p>
        </w:tc>
        <w:tc>
          <w:tcPr>
            <w:tcW w:w="307" w:type="pct"/>
          </w:tcPr>
          <w:p w14:paraId="332112DF" w14:textId="36244F8C" w:rsidR="003C6C25" w:rsidRPr="00F1762B" w:rsidRDefault="003C6C25" w:rsidP="00E05BB0">
            <w:pPr>
              <w:rPr>
                <w:sz w:val="15"/>
                <w:szCs w:val="15"/>
                <w:lang w:val="en-CA"/>
              </w:rPr>
            </w:pPr>
            <w:r w:rsidRPr="00F1762B">
              <w:rPr>
                <w:sz w:val="15"/>
                <w:szCs w:val="15"/>
                <w:lang w:val="en-CA"/>
              </w:rPr>
              <w:t>Moderate</w:t>
            </w:r>
          </w:p>
        </w:tc>
        <w:tc>
          <w:tcPr>
            <w:tcW w:w="204" w:type="pct"/>
          </w:tcPr>
          <w:p w14:paraId="11EAF21E" w14:textId="3CEA4285" w:rsidR="003C6C25" w:rsidRPr="00F1762B" w:rsidRDefault="003C6C25" w:rsidP="00E05BB0">
            <w:pPr>
              <w:rPr>
                <w:sz w:val="15"/>
                <w:szCs w:val="15"/>
                <w:lang w:val="en-CA"/>
              </w:rPr>
            </w:pPr>
            <w:r w:rsidRPr="00F1762B">
              <w:rPr>
                <w:rFonts w:ascii="Calibri" w:hAnsi="Calibri"/>
                <w:sz w:val="15"/>
                <w:szCs w:val="15"/>
              </w:rPr>
              <w:t>6</w:t>
            </w:r>
          </w:p>
        </w:tc>
      </w:tr>
      <w:tr w:rsidR="00B7487B" w:rsidRPr="00F1762B" w14:paraId="4EE9AAC6" w14:textId="7D572CDB" w:rsidTr="00F1762B">
        <w:tc>
          <w:tcPr>
            <w:tcW w:w="517" w:type="pct"/>
          </w:tcPr>
          <w:p w14:paraId="52618064" w14:textId="78943476" w:rsidR="003C6C25" w:rsidRPr="00F1762B" w:rsidRDefault="003C6C25" w:rsidP="00E05BB0">
            <w:pPr>
              <w:rPr>
                <w:sz w:val="15"/>
                <w:szCs w:val="15"/>
                <w:lang w:val="en-CA"/>
              </w:rPr>
            </w:pPr>
            <w:r w:rsidRPr="00F1762B">
              <w:rPr>
                <w:rFonts w:ascii="Calibri" w:hAnsi="Calibri"/>
                <w:sz w:val="15"/>
                <w:szCs w:val="15"/>
              </w:rPr>
              <w:t>Shin 2020</w:t>
            </w:r>
          </w:p>
        </w:tc>
        <w:tc>
          <w:tcPr>
            <w:tcW w:w="447" w:type="pct"/>
          </w:tcPr>
          <w:p w14:paraId="01874E87" w14:textId="2E7BA039" w:rsidR="003C6C25" w:rsidRPr="00F1762B" w:rsidRDefault="003C6C25" w:rsidP="00E05BB0">
            <w:pPr>
              <w:rPr>
                <w:sz w:val="15"/>
                <w:szCs w:val="15"/>
                <w:lang w:val="en-CA"/>
              </w:rPr>
            </w:pPr>
            <w:r w:rsidRPr="00F1762B">
              <w:rPr>
                <w:rFonts w:ascii="Calibri" w:hAnsi="Calibri"/>
                <w:sz w:val="15"/>
                <w:szCs w:val="15"/>
              </w:rPr>
              <w:t>South Korea; population-based</w:t>
            </w:r>
          </w:p>
        </w:tc>
        <w:tc>
          <w:tcPr>
            <w:tcW w:w="491" w:type="pct"/>
          </w:tcPr>
          <w:p w14:paraId="3EDC4E7C" w14:textId="156FDDA7" w:rsidR="003C6C25" w:rsidRPr="00F1762B" w:rsidRDefault="003C6C25" w:rsidP="00E05BB0">
            <w:pPr>
              <w:rPr>
                <w:sz w:val="15"/>
                <w:szCs w:val="15"/>
                <w:lang w:val="en-CA"/>
              </w:rPr>
            </w:pPr>
            <w:r w:rsidRPr="00F1762B">
              <w:rPr>
                <w:rFonts w:ascii="Calibri" w:hAnsi="Calibri"/>
                <w:sz w:val="15"/>
                <w:szCs w:val="15"/>
              </w:rPr>
              <w:t>2007 to 2014; NA</w:t>
            </w:r>
          </w:p>
        </w:tc>
        <w:tc>
          <w:tcPr>
            <w:tcW w:w="620" w:type="pct"/>
          </w:tcPr>
          <w:p w14:paraId="24BBC2CB" w14:textId="17AE9239" w:rsidR="003C6C25" w:rsidRPr="00F1762B" w:rsidRDefault="003C6C25" w:rsidP="00E05BB0">
            <w:pPr>
              <w:rPr>
                <w:sz w:val="15"/>
                <w:szCs w:val="15"/>
                <w:lang w:val="en-CA"/>
              </w:rPr>
            </w:pPr>
            <w:r w:rsidRPr="00F1762B">
              <w:rPr>
                <w:rFonts w:ascii="Calibri" w:hAnsi="Calibri"/>
                <w:sz w:val="15"/>
                <w:szCs w:val="15"/>
              </w:rPr>
              <w:t>30+; 61.3 (9.5) in colorectal cancer cases and 61.4 (9.1) in controls</w:t>
            </w:r>
          </w:p>
        </w:tc>
        <w:tc>
          <w:tcPr>
            <w:tcW w:w="620" w:type="pct"/>
          </w:tcPr>
          <w:p w14:paraId="522C9939" w14:textId="03B32C4E" w:rsidR="003C6C25" w:rsidRPr="00F1762B" w:rsidRDefault="003C6C25" w:rsidP="00E05BB0">
            <w:pPr>
              <w:rPr>
                <w:sz w:val="15"/>
                <w:szCs w:val="15"/>
              </w:rPr>
            </w:pPr>
            <w:r w:rsidRPr="00F1762B">
              <w:rPr>
                <w:sz w:val="15"/>
                <w:szCs w:val="15"/>
              </w:rPr>
              <w:t>65.3 in colorectal cancer cases; 23.5 in controls</w:t>
            </w:r>
          </w:p>
        </w:tc>
        <w:tc>
          <w:tcPr>
            <w:tcW w:w="537" w:type="pct"/>
          </w:tcPr>
          <w:p w14:paraId="42752FDF" w14:textId="77777777" w:rsidR="003C6C25" w:rsidRPr="00F1762B" w:rsidRDefault="003C6C25" w:rsidP="00E05BB0">
            <w:pPr>
              <w:rPr>
                <w:sz w:val="15"/>
                <w:szCs w:val="15"/>
                <w:lang w:val="en-CA"/>
              </w:rPr>
            </w:pPr>
            <w:r w:rsidRPr="00F1762B">
              <w:rPr>
                <w:sz w:val="15"/>
                <w:szCs w:val="15"/>
                <w:lang w:val="en-CA"/>
              </w:rPr>
              <w:t>Class 1, metformin vs no use of metformin;</w:t>
            </w:r>
          </w:p>
          <w:p w14:paraId="1D1968BD" w14:textId="77777777" w:rsidR="003C6C25" w:rsidRPr="00F1762B" w:rsidRDefault="003C6C25" w:rsidP="00E05BB0">
            <w:pPr>
              <w:rPr>
                <w:sz w:val="15"/>
                <w:szCs w:val="15"/>
                <w:lang w:val="en-CA"/>
              </w:rPr>
            </w:pPr>
          </w:p>
          <w:p w14:paraId="2D585B61" w14:textId="77777777" w:rsidR="003C6C25" w:rsidRPr="00F1762B" w:rsidRDefault="003C6C25" w:rsidP="00E05BB0">
            <w:pPr>
              <w:rPr>
                <w:sz w:val="15"/>
                <w:szCs w:val="15"/>
                <w:lang w:val="en-CA"/>
              </w:rPr>
            </w:pPr>
            <w:r w:rsidRPr="00F1762B">
              <w:rPr>
                <w:sz w:val="15"/>
                <w:szCs w:val="15"/>
                <w:lang w:val="en-CA"/>
              </w:rPr>
              <w:t>Class 2, dipeptidyl peptidase-4 inhibitor vs no use of dipeptidyl peptidase-4 inhibitor;</w:t>
            </w:r>
          </w:p>
          <w:p w14:paraId="3F153D02" w14:textId="77777777" w:rsidR="003C6C25" w:rsidRPr="00F1762B" w:rsidRDefault="003C6C25" w:rsidP="00E05BB0">
            <w:pPr>
              <w:rPr>
                <w:sz w:val="15"/>
                <w:szCs w:val="15"/>
                <w:lang w:val="en-CA"/>
              </w:rPr>
            </w:pPr>
          </w:p>
          <w:p w14:paraId="6AF4250B" w14:textId="5A1D7FD2" w:rsidR="003C6C25" w:rsidRPr="00F1762B" w:rsidRDefault="003C6C25" w:rsidP="00E05BB0">
            <w:pPr>
              <w:rPr>
                <w:sz w:val="15"/>
                <w:szCs w:val="15"/>
                <w:lang w:val="en-CA"/>
              </w:rPr>
            </w:pPr>
            <w:r w:rsidRPr="00F1762B">
              <w:rPr>
                <w:sz w:val="15"/>
                <w:szCs w:val="15"/>
                <w:lang w:val="en-CA"/>
              </w:rPr>
              <w:t>Class 3, alpha-glucosidase inhibitor vs no use of alpha-glucosidase inhibitor;</w:t>
            </w:r>
          </w:p>
          <w:p w14:paraId="6F3AFACA" w14:textId="77777777" w:rsidR="003C6C25" w:rsidRPr="00F1762B" w:rsidRDefault="003C6C25" w:rsidP="00E05BB0">
            <w:pPr>
              <w:rPr>
                <w:sz w:val="15"/>
                <w:szCs w:val="15"/>
                <w:lang w:val="en-CA"/>
              </w:rPr>
            </w:pPr>
          </w:p>
          <w:p w14:paraId="53B4158F" w14:textId="38BD80E5" w:rsidR="003C6C25" w:rsidRPr="00F1762B" w:rsidRDefault="003C6C25" w:rsidP="00E05BB0">
            <w:pPr>
              <w:rPr>
                <w:sz w:val="15"/>
                <w:szCs w:val="15"/>
                <w:lang w:val="en-CA"/>
              </w:rPr>
            </w:pPr>
            <w:r w:rsidRPr="00F1762B">
              <w:rPr>
                <w:sz w:val="15"/>
                <w:szCs w:val="15"/>
                <w:lang w:val="en-CA"/>
              </w:rPr>
              <w:t>Class 4, sulfonylurea or meglitinide vs no use of sulfonylurea or meglitinide;</w:t>
            </w:r>
          </w:p>
          <w:p w14:paraId="6683E2BB" w14:textId="77777777" w:rsidR="003C6C25" w:rsidRPr="00F1762B" w:rsidRDefault="003C6C25" w:rsidP="00E05BB0">
            <w:pPr>
              <w:rPr>
                <w:sz w:val="15"/>
                <w:szCs w:val="15"/>
                <w:lang w:val="en-CA"/>
              </w:rPr>
            </w:pPr>
          </w:p>
          <w:p w14:paraId="75BC1642" w14:textId="5906905B" w:rsidR="003C6C25" w:rsidRPr="00F1762B" w:rsidRDefault="003C6C25" w:rsidP="00E05BB0">
            <w:pPr>
              <w:rPr>
                <w:sz w:val="15"/>
                <w:szCs w:val="15"/>
                <w:lang w:val="en-CA"/>
              </w:rPr>
            </w:pPr>
            <w:r w:rsidRPr="00F1762B">
              <w:rPr>
                <w:sz w:val="15"/>
                <w:szCs w:val="15"/>
                <w:lang w:val="en-CA"/>
              </w:rPr>
              <w:t>Class 5, thiazolidinedione vs no use of thiazolidinedione;</w:t>
            </w:r>
          </w:p>
          <w:p w14:paraId="0B4DDCBF" w14:textId="77777777" w:rsidR="003C6C25" w:rsidRPr="00F1762B" w:rsidRDefault="003C6C25" w:rsidP="00E05BB0">
            <w:pPr>
              <w:rPr>
                <w:sz w:val="15"/>
                <w:szCs w:val="15"/>
                <w:lang w:val="en-CA"/>
              </w:rPr>
            </w:pPr>
          </w:p>
          <w:p w14:paraId="13FEF162" w14:textId="6BDCD19E" w:rsidR="003C6C25" w:rsidRPr="00F1762B" w:rsidRDefault="003C6C25" w:rsidP="00E05BB0">
            <w:pPr>
              <w:rPr>
                <w:sz w:val="15"/>
                <w:szCs w:val="15"/>
                <w:lang w:val="en-CA"/>
              </w:rPr>
            </w:pPr>
            <w:r w:rsidRPr="00F1762B">
              <w:rPr>
                <w:sz w:val="15"/>
                <w:szCs w:val="15"/>
                <w:lang w:val="en-CA"/>
              </w:rPr>
              <w:t>Class 6, insulin vs no use of insulin</w:t>
            </w:r>
          </w:p>
        </w:tc>
        <w:tc>
          <w:tcPr>
            <w:tcW w:w="471" w:type="pct"/>
          </w:tcPr>
          <w:p w14:paraId="367EEFA1" w14:textId="17BBEA5C" w:rsidR="003C6C25" w:rsidRPr="00F1762B" w:rsidRDefault="00C2734E" w:rsidP="00E05BB0">
            <w:pPr>
              <w:rPr>
                <w:sz w:val="15"/>
                <w:szCs w:val="15"/>
                <w:lang w:val="en-CA"/>
              </w:rPr>
            </w:pPr>
            <w:r w:rsidRPr="00F1762B">
              <w:rPr>
                <w:sz w:val="15"/>
                <w:szCs w:val="15"/>
                <w:lang w:val="en-CA"/>
              </w:rPr>
              <w:t>Colorectal cancer</w:t>
            </w:r>
          </w:p>
        </w:tc>
        <w:tc>
          <w:tcPr>
            <w:tcW w:w="785" w:type="pct"/>
          </w:tcPr>
          <w:p w14:paraId="11EA6662" w14:textId="3BE4650A" w:rsidR="003C6C25" w:rsidRPr="00F1762B" w:rsidRDefault="003C6C25" w:rsidP="00E05BB0">
            <w:pPr>
              <w:rPr>
                <w:sz w:val="15"/>
                <w:szCs w:val="15"/>
              </w:rPr>
            </w:pPr>
            <w:r w:rsidRPr="00F1762B">
              <w:rPr>
                <w:sz w:val="15"/>
                <w:szCs w:val="15"/>
              </w:rPr>
              <w:t>Matched on age, sex, and the year of diagnosis of type 2 diabetes;</w:t>
            </w:r>
          </w:p>
          <w:p w14:paraId="3B5231DB" w14:textId="77777777" w:rsidR="003C6C25" w:rsidRPr="00F1762B" w:rsidRDefault="003C6C25" w:rsidP="00E05BB0">
            <w:pPr>
              <w:rPr>
                <w:sz w:val="15"/>
                <w:szCs w:val="15"/>
              </w:rPr>
            </w:pPr>
          </w:p>
          <w:p w14:paraId="3EBBC1B7" w14:textId="0EC908A5" w:rsidR="003C6C25" w:rsidRPr="00F1762B" w:rsidRDefault="003C6C25" w:rsidP="00E05BB0">
            <w:pPr>
              <w:rPr>
                <w:sz w:val="15"/>
                <w:szCs w:val="15"/>
              </w:rPr>
            </w:pPr>
            <w:r w:rsidRPr="00F1762B">
              <w:rPr>
                <w:sz w:val="15"/>
                <w:szCs w:val="15"/>
              </w:rPr>
              <w:t>Adjusted for smoking, drinking, waist circumference, exercise, insulin use, and the time from diabetes mellitus diagnosis to index date</w:t>
            </w:r>
          </w:p>
        </w:tc>
        <w:tc>
          <w:tcPr>
            <w:tcW w:w="307" w:type="pct"/>
          </w:tcPr>
          <w:p w14:paraId="4403553C" w14:textId="035DEA29" w:rsidR="003C6C25" w:rsidRPr="00F1762B" w:rsidRDefault="003C6C25" w:rsidP="00E05BB0">
            <w:pPr>
              <w:rPr>
                <w:sz w:val="15"/>
                <w:szCs w:val="15"/>
                <w:lang w:val="en-CA"/>
              </w:rPr>
            </w:pPr>
            <w:r w:rsidRPr="00F1762B">
              <w:rPr>
                <w:sz w:val="15"/>
                <w:szCs w:val="15"/>
                <w:lang w:val="en-CA"/>
              </w:rPr>
              <w:t>Low</w:t>
            </w:r>
          </w:p>
        </w:tc>
        <w:tc>
          <w:tcPr>
            <w:tcW w:w="204" w:type="pct"/>
          </w:tcPr>
          <w:p w14:paraId="1460C419" w14:textId="0206C83B" w:rsidR="003C6C25" w:rsidRPr="00F1762B" w:rsidRDefault="003C6C25" w:rsidP="00E05BB0">
            <w:pPr>
              <w:rPr>
                <w:sz w:val="15"/>
                <w:szCs w:val="15"/>
                <w:lang w:val="en-CA"/>
              </w:rPr>
            </w:pPr>
            <w:r w:rsidRPr="00F1762B">
              <w:rPr>
                <w:rFonts w:ascii="Calibri" w:hAnsi="Calibri"/>
                <w:sz w:val="15"/>
                <w:szCs w:val="15"/>
              </w:rPr>
              <w:t>7</w:t>
            </w:r>
          </w:p>
        </w:tc>
      </w:tr>
      <w:tr w:rsidR="00B7487B" w:rsidRPr="00F1762B" w14:paraId="6D1043EC" w14:textId="5F4FB458" w:rsidTr="00F1762B">
        <w:tc>
          <w:tcPr>
            <w:tcW w:w="517" w:type="pct"/>
          </w:tcPr>
          <w:p w14:paraId="75494ECF" w14:textId="68AD9401" w:rsidR="003C6C25" w:rsidRPr="00F1762B" w:rsidRDefault="003C6C25" w:rsidP="00E05BB0">
            <w:pPr>
              <w:rPr>
                <w:sz w:val="15"/>
                <w:szCs w:val="15"/>
                <w:lang w:val="en-CA"/>
              </w:rPr>
            </w:pPr>
            <w:r w:rsidRPr="00F1762B">
              <w:rPr>
                <w:rFonts w:ascii="Calibri" w:hAnsi="Calibri"/>
                <w:sz w:val="15"/>
                <w:szCs w:val="15"/>
              </w:rPr>
              <w:t>Lee 2019b</w:t>
            </w:r>
          </w:p>
        </w:tc>
        <w:tc>
          <w:tcPr>
            <w:tcW w:w="447" w:type="pct"/>
          </w:tcPr>
          <w:p w14:paraId="18615616" w14:textId="57BE7C14" w:rsidR="003C6C25" w:rsidRPr="00F1762B" w:rsidRDefault="003C6C25" w:rsidP="00E05BB0">
            <w:pPr>
              <w:rPr>
                <w:sz w:val="15"/>
                <w:szCs w:val="15"/>
                <w:lang w:val="en-CA"/>
              </w:rPr>
            </w:pPr>
            <w:r w:rsidRPr="00F1762B">
              <w:rPr>
                <w:rFonts w:ascii="Calibri" w:hAnsi="Calibri"/>
                <w:sz w:val="15"/>
                <w:szCs w:val="15"/>
              </w:rPr>
              <w:t>South Korea; population-based</w:t>
            </w:r>
          </w:p>
        </w:tc>
        <w:tc>
          <w:tcPr>
            <w:tcW w:w="491" w:type="pct"/>
          </w:tcPr>
          <w:p w14:paraId="69303945" w14:textId="16F1B2C6" w:rsidR="003C6C25" w:rsidRPr="00F1762B" w:rsidRDefault="003C6C25" w:rsidP="00E05BB0">
            <w:pPr>
              <w:rPr>
                <w:sz w:val="15"/>
                <w:szCs w:val="15"/>
                <w:lang w:val="en-CA"/>
              </w:rPr>
            </w:pPr>
            <w:r w:rsidRPr="00F1762B">
              <w:rPr>
                <w:rFonts w:ascii="Calibri" w:hAnsi="Calibri"/>
                <w:sz w:val="15"/>
                <w:szCs w:val="15"/>
              </w:rPr>
              <w:t>2002 to 2013; NA</w:t>
            </w:r>
          </w:p>
        </w:tc>
        <w:tc>
          <w:tcPr>
            <w:tcW w:w="620" w:type="pct"/>
          </w:tcPr>
          <w:p w14:paraId="7A11FD81" w14:textId="17C67C93" w:rsidR="003C6C25" w:rsidRPr="00F1762B" w:rsidRDefault="003C6C25" w:rsidP="00E05BB0">
            <w:pPr>
              <w:rPr>
                <w:sz w:val="15"/>
                <w:szCs w:val="15"/>
                <w:lang w:val="en-CA"/>
              </w:rPr>
            </w:pPr>
            <w:r w:rsidRPr="00F1762B">
              <w:rPr>
                <w:rFonts w:ascii="Calibri" w:hAnsi="Calibri"/>
                <w:sz w:val="15"/>
                <w:szCs w:val="15"/>
              </w:rPr>
              <w:t>40+; &gt;50% were 60+</w:t>
            </w:r>
          </w:p>
        </w:tc>
        <w:tc>
          <w:tcPr>
            <w:tcW w:w="620" w:type="pct"/>
          </w:tcPr>
          <w:p w14:paraId="1F373E38" w14:textId="62406BD5" w:rsidR="003C6C25" w:rsidRPr="00F1762B" w:rsidRDefault="003C6C25" w:rsidP="00E05BB0">
            <w:pPr>
              <w:rPr>
                <w:sz w:val="15"/>
                <w:szCs w:val="15"/>
              </w:rPr>
            </w:pPr>
            <w:r w:rsidRPr="00F1762B">
              <w:rPr>
                <w:sz w:val="15"/>
                <w:szCs w:val="15"/>
              </w:rPr>
              <w:t>80.5</w:t>
            </w:r>
          </w:p>
        </w:tc>
        <w:tc>
          <w:tcPr>
            <w:tcW w:w="537" w:type="pct"/>
          </w:tcPr>
          <w:p w14:paraId="255AA3AA" w14:textId="11627D15" w:rsidR="003C6C25" w:rsidRPr="00F1762B" w:rsidRDefault="003C6C25" w:rsidP="00E05BB0">
            <w:pPr>
              <w:rPr>
                <w:sz w:val="15"/>
                <w:szCs w:val="15"/>
                <w:lang w:val="en-CA"/>
              </w:rPr>
            </w:pPr>
            <w:r w:rsidRPr="00F1762B">
              <w:rPr>
                <w:sz w:val="15"/>
                <w:szCs w:val="15"/>
                <w:lang w:val="en-CA"/>
              </w:rPr>
              <w:t>Class 4, sulfonylurea vs never use of sulfonylurea</w:t>
            </w:r>
          </w:p>
        </w:tc>
        <w:tc>
          <w:tcPr>
            <w:tcW w:w="471" w:type="pct"/>
          </w:tcPr>
          <w:p w14:paraId="214588E0" w14:textId="1F1A8053" w:rsidR="003C6C25" w:rsidRPr="00F1762B" w:rsidRDefault="00C2734E" w:rsidP="00E05BB0">
            <w:pPr>
              <w:rPr>
                <w:sz w:val="15"/>
                <w:szCs w:val="15"/>
                <w:lang w:val="en-CA"/>
              </w:rPr>
            </w:pPr>
            <w:r w:rsidRPr="00F1762B">
              <w:rPr>
                <w:sz w:val="15"/>
                <w:szCs w:val="15"/>
                <w:lang w:val="en-CA"/>
              </w:rPr>
              <w:t>Liver cancer</w:t>
            </w:r>
          </w:p>
        </w:tc>
        <w:tc>
          <w:tcPr>
            <w:tcW w:w="785" w:type="pct"/>
          </w:tcPr>
          <w:p w14:paraId="4D625D53" w14:textId="4E3D17C7" w:rsidR="003C6C25" w:rsidRPr="00F1762B" w:rsidRDefault="003C6C25" w:rsidP="00E05BB0">
            <w:pPr>
              <w:rPr>
                <w:sz w:val="15"/>
                <w:szCs w:val="15"/>
              </w:rPr>
            </w:pPr>
            <w:r w:rsidRPr="00F1762B">
              <w:rPr>
                <w:sz w:val="15"/>
                <w:szCs w:val="15"/>
              </w:rPr>
              <w:t>Matched on the age at the index date (defined as the date 1 year before the Hepatocellular Carcinoma diagnosis), sex, and the year of the diabetes diagnosis;</w:t>
            </w:r>
          </w:p>
          <w:p w14:paraId="7A44531D" w14:textId="77777777" w:rsidR="003C6C25" w:rsidRPr="00F1762B" w:rsidRDefault="003C6C25" w:rsidP="00E05BB0">
            <w:pPr>
              <w:rPr>
                <w:sz w:val="15"/>
                <w:szCs w:val="15"/>
              </w:rPr>
            </w:pPr>
          </w:p>
          <w:p w14:paraId="03A0C43B" w14:textId="4D2B5BE1" w:rsidR="003C6C25" w:rsidRPr="00F1762B" w:rsidRDefault="003C6C25" w:rsidP="00E05BB0">
            <w:pPr>
              <w:rPr>
                <w:sz w:val="15"/>
                <w:szCs w:val="15"/>
              </w:rPr>
            </w:pPr>
            <w:r w:rsidRPr="00F1762B">
              <w:rPr>
                <w:sz w:val="15"/>
                <w:szCs w:val="15"/>
              </w:rPr>
              <w:t xml:space="preserve">Adjusted for </w:t>
            </w:r>
            <w:r w:rsidR="00CB65AB">
              <w:rPr>
                <w:sz w:val="15"/>
                <w:szCs w:val="15"/>
              </w:rPr>
              <w:t>a</w:t>
            </w:r>
            <w:r w:rsidRPr="00F1762B">
              <w:rPr>
                <w:sz w:val="15"/>
                <w:szCs w:val="15"/>
              </w:rPr>
              <w:t xml:space="preserve">lcoholic liver disease, chronic viral hepatitis, liver cirrhosis, chronic lower respiratory </w:t>
            </w:r>
            <w:r w:rsidRPr="00F1762B">
              <w:rPr>
                <w:sz w:val="15"/>
                <w:szCs w:val="15"/>
              </w:rPr>
              <w:lastRenderedPageBreak/>
              <w:t>disease, history of previous cancer, Charlson comorbidity index, household income level, residential area, aspirin use, statin use, and other anti-diabetic agent (insulin, glinide, metformin, thiazolidinedione, dipeptidyl depeptidase-4 inhibitor) use</w:t>
            </w:r>
          </w:p>
        </w:tc>
        <w:tc>
          <w:tcPr>
            <w:tcW w:w="307" w:type="pct"/>
          </w:tcPr>
          <w:p w14:paraId="4994D084" w14:textId="0A88DFE1" w:rsidR="003C6C25" w:rsidRPr="00F1762B" w:rsidRDefault="003C6C25" w:rsidP="00E05BB0">
            <w:pPr>
              <w:rPr>
                <w:sz w:val="15"/>
                <w:szCs w:val="15"/>
                <w:lang w:val="en-CA"/>
              </w:rPr>
            </w:pPr>
            <w:r w:rsidRPr="00F1762B">
              <w:rPr>
                <w:sz w:val="15"/>
                <w:szCs w:val="15"/>
                <w:lang w:val="en-CA"/>
              </w:rPr>
              <w:lastRenderedPageBreak/>
              <w:t>Moderate</w:t>
            </w:r>
          </w:p>
        </w:tc>
        <w:tc>
          <w:tcPr>
            <w:tcW w:w="204" w:type="pct"/>
          </w:tcPr>
          <w:p w14:paraId="0FC675D4" w14:textId="593C1FBA" w:rsidR="003C6C25" w:rsidRPr="00F1762B" w:rsidRDefault="003C6C25" w:rsidP="00E05BB0">
            <w:pPr>
              <w:rPr>
                <w:sz w:val="15"/>
                <w:szCs w:val="15"/>
                <w:lang w:val="en-CA"/>
              </w:rPr>
            </w:pPr>
            <w:r w:rsidRPr="00F1762B">
              <w:rPr>
                <w:rFonts w:ascii="Calibri" w:hAnsi="Calibri"/>
                <w:sz w:val="15"/>
                <w:szCs w:val="15"/>
              </w:rPr>
              <w:t>5</w:t>
            </w:r>
          </w:p>
        </w:tc>
      </w:tr>
      <w:tr w:rsidR="00B7487B" w:rsidRPr="00F1762B" w14:paraId="102A5F5E" w14:textId="4BA30208" w:rsidTr="00F1762B">
        <w:tc>
          <w:tcPr>
            <w:tcW w:w="517" w:type="pct"/>
          </w:tcPr>
          <w:p w14:paraId="240AAB20" w14:textId="2BDB83A4" w:rsidR="003C6C25" w:rsidRPr="00F1762B" w:rsidRDefault="003C6C25" w:rsidP="00E05BB0">
            <w:pPr>
              <w:rPr>
                <w:sz w:val="15"/>
                <w:szCs w:val="15"/>
                <w:lang w:val="en-CA"/>
              </w:rPr>
            </w:pPr>
            <w:r w:rsidRPr="00F1762B">
              <w:rPr>
                <w:rFonts w:ascii="Calibri" w:hAnsi="Calibri"/>
                <w:sz w:val="15"/>
                <w:szCs w:val="15"/>
              </w:rPr>
              <w:t>Demb 2019</w:t>
            </w:r>
          </w:p>
        </w:tc>
        <w:tc>
          <w:tcPr>
            <w:tcW w:w="447" w:type="pct"/>
          </w:tcPr>
          <w:p w14:paraId="48539DCD" w14:textId="06F82E57" w:rsidR="003C6C25" w:rsidRPr="00F1762B" w:rsidRDefault="003C6C25" w:rsidP="00E05BB0">
            <w:pPr>
              <w:rPr>
                <w:sz w:val="15"/>
                <w:szCs w:val="15"/>
                <w:lang w:val="en-CA"/>
              </w:rPr>
            </w:pPr>
            <w:r w:rsidRPr="00F1762B">
              <w:rPr>
                <w:rFonts w:ascii="Calibri" w:hAnsi="Calibri"/>
                <w:sz w:val="15"/>
                <w:szCs w:val="15"/>
              </w:rPr>
              <w:t>United States; US Veterans</w:t>
            </w:r>
          </w:p>
        </w:tc>
        <w:tc>
          <w:tcPr>
            <w:tcW w:w="491" w:type="pct"/>
          </w:tcPr>
          <w:p w14:paraId="4AD99DA2" w14:textId="568EEC00" w:rsidR="003C6C25" w:rsidRPr="00F1762B" w:rsidRDefault="003C6C25" w:rsidP="00E05BB0">
            <w:pPr>
              <w:rPr>
                <w:sz w:val="15"/>
                <w:szCs w:val="15"/>
                <w:lang w:val="en-CA"/>
              </w:rPr>
            </w:pPr>
            <w:r w:rsidRPr="00F1762B">
              <w:rPr>
                <w:rFonts w:ascii="Calibri" w:hAnsi="Calibri"/>
                <w:sz w:val="15"/>
                <w:szCs w:val="15"/>
              </w:rPr>
              <w:t>NA; NA</w:t>
            </w:r>
          </w:p>
        </w:tc>
        <w:tc>
          <w:tcPr>
            <w:tcW w:w="620" w:type="pct"/>
          </w:tcPr>
          <w:p w14:paraId="198139BA" w14:textId="1E5A8134" w:rsidR="003C6C25" w:rsidRPr="00F1762B" w:rsidRDefault="003C6C25" w:rsidP="00E05BB0">
            <w:pPr>
              <w:rPr>
                <w:sz w:val="15"/>
                <w:szCs w:val="15"/>
                <w:lang w:val="en-CA"/>
              </w:rPr>
            </w:pPr>
            <w:r w:rsidRPr="00F1762B">
              <w:rPr>
                <w:rFonts w:ascii="Calibri" w:hAnsi="Calibri"/>
                <w:sz w:val="15"/>
                <w:szCs w:val="15"/>
              </w:rPr>
              <w:t>NA; median 69.0 (IQR: 62.0, 76.0) in colorectal cancer cases and 63.0 (IQR: 58.0, 70.0) in controls;</w:t>
            </w:r>
          </w:p>
        </w:tc>
        <w:tc>
          <w:tcPr>
            <w:tcW w:w="620" w:type="pct"/>
          </w:tcPr>
          <w:p w14:paraId="0D90614D" w14:textId="65CA32C6" w:rsidR="003C6C25" w:rsidRPr="00F1762B" w:rsidRDefault="003C6C25" w:rsidP="00E05BB0">
            <w:pPr>
              <w:rPr>
                <w:sz w:val="15"/>
                <w:szCs w:val="15"/>
              </w:rPr>
            </w:pPr>
            <w:r w:rsidRPr="00F1762B">
              <w:rPr>
                <w:sz w:val="15"/>
                <w:szCs w:val="15"/>
              </w:rPr>
              <w:t>99 in colorectal cancer cases; 97 in controls</w:t>
            </w:r>
          </w:p>
        </w:tc>
        <w:tc>
          <w:tcPr>
            <w:tcW w:w="537" w:type="pct"/>
          </w:tcPr>
          <w:p w14:paraId="76F17A72" w14:textId="5993FA04" w:rsidR="003C6C25" w:rsidRPr="00F1762B" w:rsidRDefault="003C6C25" w:rsidP="00E05BB0">
            <w:pPr>
              <w:rPr>
                <w:sz w:val="15"/>
                <w:szCs w:val="15"/>
                <w:lang w:val="en-CA"/>
              </w:rPr>
            </w:pPr>
            <w:r w:rsidRPr="00F1762B">
              <w:rPr>
                <w:sz w:val="15"/>
                <w:szCs w:val="15"/>
                <w:lang w:val="en-CA"/>
              </w:rPr>
              <w:t>Class 1, metformin vs no use of metformin</w:t>
            </w:r>
          </w:p>
        </w:tc>
        <w:tc>
          <w:tcPr>
            <w:tcW w:w="471" w:type="pct"/>
          </w:tcPr>
          <w:p w14:paraId="28F35F73" w14:textId="56B9ACC5" w:rsidR="003C6C25" w:rsidRPr="00F1762B" w:rsidRDefault="00C2734E" w:rsidP="00E05BB0">
            <w:pPr>
              <w:rPr>
                <w:sz w:val="15"/>
                <w:szCs w:val="15"/>
                <w:lang w:val="en-CA"/>
              </w:rPr>
            </w:pPr>
            <w:r w:rsidRPr="00F1762B">
              <w:rPr>
                <w:sz w:val="15"/>
                <w:szCs w:val="15"/>
                <w:lang w:val="en-CA"/>
              </w:rPr>
              <w:t>Colorectal cancer</w:t>
            </w:r>
          </w:p>
        </w:tc>
        <w:tc>
          <w:tcPr>
            <w:tcW w:w="785" w:type="pct"/>
          </w:tcPr>
          <w:p w14:paraId="1BA19852" w14:textId="2DB6157E" w:rsidR="003C6C25" w:rsidRPr="00F1762B" w:rsidRDefault="003C6C25" w:rsidP="00E05BB0">
            <w:pPr>
              <w:rPr>
                <w:sz w:val="15"/>
                <w:szCs w:val="15"/>
              </w:rPr>
            </w:pPr>
            <w:r w:rsidRPr="00F1762B">
              <w:rPr>
                <w:sz w:val="15"/>
                <w:szCs w:val="15"/>
                <w:lang w:val="en-CA"/>
              </w:rPr>
              <w:t xml:space="preserve">Adjusted for </w:t>
            </w:r>
            <w:r w:rsidRPr="00F1762B">
              <w:rPr>
                <w:sz w:val="15"/>
                <w:szCs w:val="15"/>
              </w:rPr>
              <w:t>Age, sex, race/ethnicity, body mass index, smoking status, and aspirin exposure</w:t>
            </w:r>
          </w:p>
        </w:tc>
        <w:tc>
          <w:tcPr>
            <w:tcW w:w="307" w:type="pct"/>
          </w:tcPr>
          <w:p w14:paraId="215D3797" w14:textId="104778AB" w:rsidR="003C6C25" w:rsidRPr="00F1762B" w:rsidRDefault="003C6C25" w:rsidP="00E05BB0">
            <w:pPr>
              <w:rPr>
                <w:sz w:val="15"/>
                <w:szCs w:val="15"/>
                <w:lang w:val="en-CA"/>
              </w:rPr>
            </w:pPr>
            <w:r w:rsidRPr="00F1762B">
              <w:rPr>
                <w:sz w:val="15"/>
                <w:szCs w:val="15"/>
                <w:lang w:val="en-CA"/>
              </w:rPr>
              <w:t>Moderate</w:t>
            </w:r>
          </w:p>
        </w:tc>
        <w:tc>
          <w:tcPr>
            <w:tcW w:w="204" w:type="pct"/>
          </w:tcPr>
          <w:p w14:paraId="4791D9B4" w14:textId="729A076C" w:rsidR="003C6C25" w:rsidRPr="00F1762B" w:rsidRDefault="003C6C25" w:rsidP="00E05BB0">
            <w:pPr>
              <w:rPr>
                <w:sz w:val="15"/>
                <w:szCs w:val="15"/>
                <w:lang w:val="en-CA"/>
              </w:rPr>
            </w:pPr>
            <w:r w:rsidRPr="00F1762B">
              <w:rPr>
                <w:rFonts w:ascii="Calibri" w:hAnsi="Calibri"/>
                <w:sz w:val="15"/>
                <w:szCs w:val="15"/>
              </w:rPr>
              <w:t>6</w:t>
            </w:r>
          </w:p>
        </w:tc>
      </w:tr>
      <w:tr w:rsidR="00B7487B" w:rsidRPr="00F1762B" w14:paraId="156217A2" w14:textId="41599E57" w:rsidTr="00F1762B">
        <w:tc>
          <w:tcPr>
            <w:tcW w:w="517" w:type="pct"/>
          </w:tcPr>
          <w:p w14:paraId="3B42A51C" w14:textId="1F55F429" w:rsidR="003C6C25" w:rsidRPr="00F1762B" w:rsidRDefault="003C6C25" w:rsidP="00E05BB0">
            <w:pPr>
              <w:rPr>
                <w:sz w:val="15"/>
                <w:szCs w:val="15"/>
                <w:lang w:val="en-CA"/>
              </w:rPr>
            </w:pPr>
            <w:r w:rsidRPr="00F1762B">
              <w:rPr>
                <w:rFonts w:ascii="Calibri" w:hAnsi="Calibri"/>
                <w:sz w:val="15"/>
                <w:szCs w:val="15"/>
              </w:rPr>
              <w:t>Hosio 2019</w:t>
            </w:r>
          </w:p>
        </w:tc>
        <w:tc>
          <w:tcPr>
            <w:tcW w:w="447" w:type="pct"/>
          </w:tcPr>
          <w:p w14:paraId="06C4EB2F" w14:textId="41AAEF25" w:rsidR="003C6C25" w:rsidRPr="00F1762B" w:rsidRDefault="003C6C25" w:rsidP="00E05BB0">
            <w:pPr>
              <w:rPr>
                <w:sz w:val="15"/>
                <w:szCs w:val="15"/>
                <w:lang w:val="en-CA"/>
              </w:rPr>
            </w:pPr>
            <w:r w:rsidRPr="00F1762B">
              <w:rPr>
                <w:rFonts w:ascii="Calibri" w:hAnsi="Calibri"/>
                <w:sz w:val="15"/>
                <w:szCs w:val="15"/>
              </w:rPr>
              <w:t>Finland; population-based</w:t>
            </w:r>
          </w:p>
        </w:tc>
        <w:tc>
          <w:tcPr>
            <w:tcW w:w="491" w:type="pct"/>
          </w:tcPr>
          <w:p w14:paraId="4B7F0C8A" w14:textId="605D04A5" w:rsidR="003C6C25" w:rsidRPr="00F1762B" w:rsidRDefault="003C6C25" w:rsidP="00E05BB0">
            <w:pPr>
              <w:rPr>
                <w:sz w:val="15"/>
                <w:szCs w:val="15"/>
                <w:lang w:val="en-CA"/>
              </w:rPr>
            </w:pPr>
            <w:r w:rsidRPr="00F1762B">
              <w:rPr>
                <w:rFonts w:ascii="Calibri" w:hAnsi="Calibri"/>
                <w:sz w:val="15"/>
                <w:szCs w:val="15"/>
              </w:rPr>
              <w:t>1996 to 2011; mean 5.4</w:t>
            </w:r>
          </w:p>
        </w:tc>
        <w:tc>
          <w:tcPr>
            <w:tcW w:w="620" w:type="pct"/>
          </w:tcPr>
          <w:p w14:paraId="6410F940" w14:textId="4667867D" w:rsidR="003C6C25" w:rsidRPr="00F1762B" w:rsidRDefault="003C6C25" w:rsidP="00E05BB0">
            <w:pPr>
              <w:rPr>
                <w:rFonts w:ascii="Calibri" w:hAnsi="Calibri"/>
                <w:sz w:val="15"/>
                <w:szCs w:val="15"/>
              </w:rPr>
            </w:pPr>
            <w:r w:rsidRPr="00F1762B">
              <w:rPr>
                <w:rFonts w:ascii="Calibri" w:hAnsi="Calibri"/>
                <w:sz w:val="15"/>
                <w:szCs w:val="15"/>
              </w:rPr>
              <w:t>40+; ~50% aged &gt; 70</w:t>
            </w:r>
          </w:p>
        </w:tc>
        <w:tc>
          <w:tcPr>
            <w:tcW w:w="620" w:type="pct"/>
          </w:tcPr>
          <w:p w14:paraId="7A36F466" w14:textId="5A6B05C9" w:rsidR="003C6C25" w:rsidRPr="00F1762B" w:rsidRDefault="003C6C25" w:rsidP="00E05BB0">
            <w:pPr>
              <w:rPr>
                <w:sz w:val="15"/>
                <w:szCs w:val="15"/>
              </w:rPr>
            </w:pPr>
            <w:r w:rsidRPr="00F1762B">
              <w:rPr>
                <w:sz w:val="15"/>
                <w:szCs w:val="15"/>
              </w:rPr>
              <w:t>NA</w:t>
            </w:r>
          </w:p>
        </w:tc>
        <w:tc>
          <w:tcPr>
            <w:tcW w:w="537" w:type="pct"/>
          </w:tcPr>
          <w:p w14:paraId="335A95EC" w14:textId="77777777" w:rsidR="003C6C25" w:rsidRPr="00F1762B" w:rsidRDefault="003C6C25" w:rsidP="00E05BB0">
            <w:pPr>
              <w:rPr>
                <w:sz w:val="15"/>
                <w:szCs w:val="15"/>
                <w:lang w:val="en-CA"/>
              </w:rPr>
            </w:pPr>
            <w:r w:rsidRPr="00F1762B">
              <w:rPr>
                <w:sz w:val="15"/>
                <w:szCs w:val="15"/>
                <w:lang w:val="en-CA"/>
              </w:rPr>
              <w:t>Class 1, metformin vs no use of metformin;</w:t>
            </w:r>
          </w:p>
          <w:p w14:paraId="7CBDC170" w14:textId="77777777" w:rsidR="003C6C25" w:rsidRPr="00F1762B" w:rsidRDefault="003C6C25" w:rsidP="00E05BB0">
            <w:pPr>
              <w:rPr>
                <w:sz w:val="15"/>
                <w:szCs w:val="15"/>
                <w:lang w:val="en-CA"/>
              </w:rPr>
            </w:pPr>
          </w:p>
          <w:p w14:paraId="294AD954" w14:textId="35EFE0B3" w:rsidR="003C6C25" w:rsidRPr="00F1762B" w:rsidRDefault="003C6C25" w:rsidP="00E05BB0">
            <w:pPr>
              <w:rPr>
                <w:sz w:val="15"/>
                <w:szCs w:val="15"/>
                <w:lang w:val="en-CA"/>
              </w:rPr>
            </w:pPr>
            <w:r w:rsidRPr="00F1762B">
              <w:rPr>
                <w:sz w:val="15"/>
                <w:szCs w:val="15"/>
                <w:lang w:val="en-CA"/>
              </w:rPr>
              <w:t>Class 6, insulin vs no use of insulin</w:t>
            </w:r>
          </w:p>
        </w:tc>
        <w:tc>
          <w:tcPr>
            <w:tcW w:w="471" w:type="pct"/>
          </w:tcPr>
          <w:p w14:paraId="37803120" w14:textId="2C25D962" w:rsidR="003C6C25" w:rsidRPr="00F1762B" w:rsidRDefault="00C2734E" w:rsidP="00E05BB0">
            <w:pPr>
              <w:rPr>
                <w:sz w:val="15"/>
                <w:szCs w:val="15"/>
                <w:lang w:val="en-CA"/>
              </w:rPr>
            </w:pPr>
            <w:r w:rsidRPr="00F1762B">
              <w:rPr>
                <w:sz w:val="15"/>
                <w:szCs w:val="15"/>
                <w:lang w:val="en-CA"/>
              </w:rPr>
              <w:t>Breast cancer</w:t>
            </w:r>
          </w:p>
        </w:tc>
        <w:tc>
          <w:tcPr>
            <w:tcW w:w="785" w:type="pct"/>
          </w:tcPr>
          <w:p w14:paraId="4BE968A6" w14:textId="34A5D198" w:rsidR="003C6C25" w:rsidRPr="00F1762B" w:rsidRDefault="003C6C25" w:rsidP="00E05BB0">
            <w:pPr>
              <w:rPr>
                <w:sz w:val="15"/>
                <w:szCs w:val="15"/>
              </w:rPr>
            </w:pPr>
            <w:r w:rsidRPr="00F1762B">
              <w:rPr>
                <w:sz w:val="15"/>
                <w:szCs w:val="15"/>
              </w:rPr>
              <w:t>Matched on age and duration of diabetes</w:t>
            </w:r>
          </w:p>
        </w:tc>
        <w:tc>
          <w:tcPr>
            <w:tcW w:w="307" w:type="pct"/>
          </w:tcPr>
          <w:p w14:paraId="546081D8" w14:textId="7948F6AC" w:rsidR="003C6C25" w:rsidRPr="00F1762B" w:rsidRDefault="003C6C25" w:rsidP="00E05BB0">
            <w:pPr>
              <w:rPr>
                <w:sz w:val="15"/>
                <w:szCs w:val="15"/>
                <w:lang w:val="en-CA"/>
              </w:rPr>
            </w:pPr>
            <w:r w:rsidRPr="00F1762B">
              <w:rPr>
                <w:sz w:val="15"/>
                <w:szCs w:val="15"/>
                <w:lang w:val="en-CA"/>
              </w:rPr>
              <w:t>Moderate</w:t>
            </w:r>
          </w:p>
        </w:tc>
        <w:tc>
          <w:tcPr>
            <w:tcW w:w="204" w:type="pct"/>
          </w:tcPr>
          <w:p w14:paraId="261C422E" w14:textId="1A1BBDD0" w:rsidR="003C6C25" w:rsidRPr="00F1762B" w:rsidRDefault="003C6C25" w:rsidP="00E05BB0">
            <w:pPr>
              <w:rPr>
                <w:sz w:val="15"/>
                <w:szCs w:val="15"/>
                <w:lang w:val="en-CA"/>
              </w:rPr>
            </w:pPr>
            <w:r w:rsidRPr="00F1762B">
              <w:rPr>
                <w:rFonts w:ascii="Calibri" w:hAnsi="Calibri"/>
                <w:sz w:val="15"/>
                <w:szCs w:val="15"/>
              </w:rPr>
              <w:t>6</w:t>
            </w:r>
          </w:p>
        </w:tc>
      </w:tr>
    </w:tbl>
    <w:p w14:paraId="4A5D9864" w14:textId="77777777" w:rsidR="009731AE" w:rsidRPr="00E05BB0" w:rsidRDefault="009731AE">
      <w:pPr>
        <w:rPr>
          <w:lang w:val="en-CA"/>
        </w:rPr>
      </w:pPr>
    </w:p>
    <w:sectPr w:rsidR="009731AE" w:rsidRPr="00E05BB0" w:rsidSect="00C1251E">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207"/>
  <w:hideSpellingErrors/>
  <w:hideGrammaticalError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774"/>
    <w:rsid w:val="00005DA6"/>
    <w:rsid w:val="000133BA"/>
    <w:rsid w:val="000140CE"/>
    <w:rsid w:val="000238F5"/>
    <w:rsid w:val="000267D1"/>
    <w:rsid w:val="00042187"/>
    <w:rsid w:val="00047ADF"/>
    <w:rsid w:val="00051776"/>
    <w:rsid w:val="00057C95"/>
    <w:rsid w:val="00057CD9"/>
    <w:rsid w:val="00065975"/>
    <w:rsid w:val="0006676F"/>
    <w:rsid w:val="00073201"/>
    <w:rsid w:val="00073FB7"/>
    <w:rsid w:val="00086C04"/>
    <w:rsid w:val="000A08C3"/>
    <w:rsid w:val="000B58AD"/>
    <w:rsid w:val="000B610F"/>
    <w:rsid w:val="000C49B7"/>
    <w:rsid w:val="000D06BC"/>
    <w:rsid w:val="000D5EED"/>
    <w:rsid w:val="000E0380"/>
    <w:rsid w:val="000F4A68"/>
    <w:rsid w:val="000F4F71"/>
    <w:rsid w:val="000F5054"/>
    <w:rsid w:val="000F5264"/>
    <w:rsid w:val="001003BA"/>
    <w:rsid w:val="00102475"/>
    <w:rsid w:val="00105FAC"/>
    <w:rsid w:val="00111B10"/>
    <w:rsid w:val="00124036"/>
    <w:rsid w:val="00133A79"/>
    <w:rsid w:val="00140A2D"/>
    <w:rsid w:val="00145C6F"/>
    <w:rsid w:val="00147DAE"/>
    <w:rsid w:val="00151068"/>
    <w:rsid w:val="00151CA0"/>
    <w:rsid w:val="001544F2"/>
    <w:rsid w:val="0015486D"/>
    <w:rsid w:val="00175698"/>
    <w:rsid w:val="00182533"/>
    <w:rsid w:val="00187A9C"/>
    <w:rsid w:val="00191E26"/>
    <w:rsid w:val="0019493F"/>
    <w:rsid w:val="00195185"/>
    <w:rsid w:val="001A1832"/>
    <w:rsid w:val="001B6766"/>
    <w:rsid w:val="001B6D5C"/>
    <w:rsid w:val="001C2FC1"/>
    <w:rsid w:val="001C7EE7"/>
    <w:rsid w:val="001D26DC"/>
    <w:rsid w:val="001D29BC"/>
    <w:rsid w:val="001E2602"/>
    <w:rsid w:val="001E3FEF"/>
    <w:rsid w:val="001F14AA"/>
    <w:rsid w:val="001F2BD2"/>
    <w:rsid w:val="00200967"/>
    <w:rsid w:val="0020177A"/>
    <w:rsid w:val="00206DDA"/>
    <w:rsid w:val="00207B80"/>
    <w:rsid w:val="002160CA"/>
    <w:rsid w:val="0022050A"/>
    <w:rsid w:val="00235923"/>
    <w:rsid w:val="002427B6"/>
    <w:rsid w:val="00254ECF"/>
    <w:rsid w:val="00262264"/>
    <w:rsid w:val="00262F08"/>
    <w:rsid w:val="00277006"/>
    <w:rsid w:val="0028009B"/>
    <w:rsid w:val="002A2E2A"/>
    <w:rsid w:val="002B054F"/>
    <w:rsid w:val="002B16FC"/>
    <w:rsid w:val="002B1A5D"/>
    <w:rsid w:val="002B21C6"/>
    <w:rsid w:val="002B3FB2"/>
    <w:rsid w:val="002B3FBD"/>
    <w:rsid w:val="002B71D2"/>
    <w:rsid w:val="002C5BF4"/>
    <w:rsid w:val="002C6408"/>
    <w:rsid w:val="002D2974"/>
    <w:rsid w:val="002D5725"/>
    <w:rsid w:val="002D72FF"/>
    <w:rsid w:val="002E6C5A"/>
    <w:rsid w:val="002E6E7B"/>
    <w:rsid w:val="002E7C35"/>
    <w:rsid w:val="002F4B6E"/>
    <w:rsid w:val="002F75AC"/>
    <w:rsid w:val="00321309"/>
    <w:rsid w:val="00321400"/>
    <w:rsid w:val="00343738"/>
    <w:rsid w:val="00343E94"/>
    <w:rsid w:val="00357767"/>
    <w:rsid w:val="003579D8"/>
    <w:rsid w:val="00370522"/>
    <w:rsid w:val="00375359"/>
    <w:rsid w:val="003871AD"/>
    <w:rsid w:val="00391DF6"/>
    <w:rsid w:val="00396573"/>
    <w:rsid w:val="003968E4"/>
    <w:rsid w:val="00397D07"/>
    <w:rsid w:val="003A2763"/>
    <w:rsid w:val="003A725D"/>
    <w:rsid w:val="003B1687"/>
    <w:rsid w:val="003B1B54"/>
    <w:rsid w:val="003B4842"/>
    <w:rsid w:val="003C6C25"/>
    <w:rsid w:val="003D13A0"/>
    <w:rsid w:val="003D4FD0"/>
    <w:rsid w:val="003D5629"/>
    <w:rsid w:val="003D6782"/>
    <w:rsid w:val="003E1F9C"/>
    <w:rsid w:val="003E5AE8"/>
    <w:rsid w:val="003E7C0D"/>
    <w:rsid w:val="003F7C45"/>
    <w:rsid w:val="0040781E"/>
    <w:rsid w:val="00413A22"/>
    <w:rsid w:val="004206DC"/>
    <w:rsid w:val="004216B0"/>
    <w:rsid w:val="00423BA5"/>
    <w:rsid w:val="00431167"/>
    <w:rsid w:val="00433601"/>
    <w:rsid w:val="00440E43"/>
    <w:rsid w:val="0044138B"/>
    <w:rsid w:val="00442279"/>
    <w:rsid w:val="004471F6"/>
    <w:rsid w:val="004510F5"/>
    <w:rsid w:val="00460345"/>
    <w:rsid w:val="0046154C"/>
    <w:rsid w:val="00471700"/>
    <w:rsid w:val="0047190F"/>
    <w:rsid w:val="00472D46"/>
    <w:rsid w:val="00476D98"/>
    <w:rsid w:val="00477B25"/>
    <w:rsid w:val="00481955"/>
    <w:rsid w:val="0048350E"/>
    <w:rsid w:val="00487644"/>
    <w:rsid w:val="004979AA"/>
    <w:rsid w:val="004A06F9"/>
    <w:rsid w:val="004A291D"/>
    <w:rsid w:val="004F7381"/>
    <w:rsid w:val="00500F48"/>
    <w:rsid w:val="005104B0"/>
    <w:rsid w:val="0051168E"/>
    <w:rsid w:val="00514FE7"/>
    <w:rsid w:val="005239FB"/>
    <w:rsid w:val="00523F1B"/>
    <w:rsid w:val="0052703F"/>
    <w:rsid w:val="0054068D"/>
    <w:rsid w:val="00545F74"/>
    <w:rsid w:val="00550658"/>
    <w:rsid w:val="00554156"/>
    <w:rsid w:val="0057488C"/>
    <w:rsid w:val="00575C86"/>
    <w:rsid w:val="00576018"/>
    <w:rsid w:val="00590807"/>
    <w:rsid w:val="00591200"/>
    <w:rsid w:val="005A1806"/>
    <w:rsid w:val="005A3BFF"/>
    <w:rsid w:val="005A41F1"/>
    <w:rsid w:val="005C1BE8"/>
    <w:rsid w:val="005D1073"/>
    <w:rsid w:val="005D23B4"/>
    <w:rsid w:val="005D2BEA"/>
    <w:rsid w:val="005E1DFC"/>
    <w:rsid w:val="005F10E0"/>
    <w:rsid w:val="005F37F9"/>
    <w:rsid w:val="00605719"/>
    <w:rsid w:val="00605B46"/>
    <w:rsid w:val="006100E7"/>
    <w:rsid w:val="006144C2"/>
    <w:rsid w:val="006147E5"/>
    <w:rsid w:val="00621195"/>
    <w:rsid w:val="00625493"/>
    <w:rsid w:val="006377C3"/>
    <w:rsid w:val="00637FE2"/>
    <w:rsid w:val="00640BF8"/>
    <w:rsid w:val="006449C8"/>
    <w:rsid w:val="00644EA5"/>
    <w:rsid w:val="006461DB"/>
    <w:rsid w:val="0065043E"/>
    <w:rsid w:val="006522AA"/>
    <w:rsid w:val="006533AA"/>
    <w:rsid w:val="006557A1"/>
    <w:rsid w:val="00661433"/>
    <w:rsid w:val="006626CE"/>
    <w:rsid w:val="00665E92"/>
    <w:rsid w:val="006676D7"/>
    <w:rsid w:val="00671494"/>
    <w:rsid w:val="00680621"/>
    <w:rsid w:val="0068757E"/>
    <w:rsid w:val="0068799B"/>
    <w:rsid w:val="006B0891"/>
    <w:rsid w:val="006B5616"/>
    <w:rsid w:val="006C12F0"/>
    <w:rsid w:val="006C6864"/>
    <w:rsid w:val="006D2E02"/>
    <w:rsid w:val="006D608C"/>
    <w:rsid w:val="006F17CE"/>
    <w:rsid w:val="006F1D93"/>
    <w:rsid w:val="007013A7"/>
    <w:rsid w:val="00710C5A"/>
    <w:rsid w:val="00715A15"/>
    <w:rsid w:val="00716DD7"/>
    <w:rsid w:val="0072281D"/>
    <w:rsid w:val="00724885"/>
    <w:rsid w:val="00732074"/>
    <w:rsid w:val="007338C1"/>
    <w:rsid w:val="00744B67"/>
    <w:rsid w:val="00745189"/>
    <w:rsid w:val="007567C6"/>
    <w:rsid w:val="00764A20"/>
    <w:rsid w:val="00766615"/>
    <w:rsid w:val="00774F96"/>
    <w:rsid w:val="007773AC"/>
    <w:rsid w:val="00784A41"/>
    <w:rsid w:val="00786DCA"/>
    <w:rsid w:val="007903D8"/>
    <w:rsid w:val="0079193F"/>
    <w:rsid w:val="007A22BC"/>
    <w:rsid w:val="007A7882"/>
    <w:rsid w:val="007B01AD"/>
    <w:rsid w:val="007B699F"/>
    <w:rsid w:val="007C0520"/>
    <w:rsid w:val="007C79B0"/>
    <w:rsid w:val="007D11AC"/>
    <w:rsid w:val="007D3F8B"/>
    <w:rsid w:val="007D7FCD"/>
    <w:rsid w:val="007E117B"/>
    <w:rsid w:val="007E4CE6"/>
    <w:rsid w:val="007E7FD6"/>
    <w:rsid w:val="00800EB3"/>
    <w:rsid w:val="008050E3"/>
    <w:rsid w:val="00805EFA"/>
    <w:rsid w:val="0080703C"/>
    <w:rsid w:val="00810713"/>
    <w:rsid w:val="0081152B"/>
    <w:rsid w:val="00827557"/>
    <w:rsid w:val="00834E1F"/>
    <w:rsid w:val="008362A5"/>
    <w:rsid w:val="0083716A"/>
    <w:rsid w:val="008410D0"/>
    <w:rsid w:val="00852087"/>
    <w:rsid w:val="00853811"/>
    <w:rsid w:val="00855FD2"/>
    <w:rsid w:val="00861513"/>
    <w:rsid w:val="00861A8F"/>
    <w:rsid w:val="008721DE"/>
    <w:rsid w:val="0087284F"/>
    <w:rsid w:val="008744B8"/>
    <w:rsid w:val="00887D5F"/>
    <w:rsid w:val="00894D6E"/>
    <w:rsid w:val="008A64B5"/>
    <w:rsid w:val="008B40BE"/>
    <w:rsid w:val="008B6F49"/>
    <w:rsid w:val="008C008E"/>
    <w:rsid w:val="008C2107"/>
    <w:rsid w:val="008D01FE"/>
    <w:rsid w:val="008D73FE"/>
    <w:rsid w:val="008E17CB"/>
    <w:rsid w:val="008E724E"/>
    <w:rsid w:val="009019E3"/>
    <w:rsid w:val="009041CF"/>
    <w:rsid w:val="00915A41"/>
    <w:rsid w:val="00917243"/>
    <w:rsid w:val="00917FB8"/>
    <w:rsid w:val="00926595"/>
    <w:rsid w:val="0093330C"/>
    <w:rsid w:val="00943304"/>
    <w:rsid w:val="00944995"/>
    <w:rsid w:val="00946F36"/>
    <w:rsid w:val="00953431"/>
    <w:rsid w:val="009556E3"/>
    <w:rsid w:val="00955D0B"/>
    <w:rsid w:val="00963155"/>
    <w:rsid w:val="009731AE"/>
    <w:rsid w:val="0097356C"/>
    <w:rsid w:val="00980B32"/>
    <w:rsid w:val="00991CBE"/>
    <w:rsid w:val="00991E01"/>
    <w:rsid w:val="009954C4"/>
    <w:rsid w:val="009978AD"/>
    <w:rsid w:val="009B46D1"/>
    <w:rsid w:val="009C3477"/>
    <w:rsid w:val="009C5A49"/>
    <w:rsid w:val="009C6131"/>
    <w:rsid w:val="009D1FFC"/>
    <w:rsid w:val="009D576D"/>
    <w:rsid w:val="009E52CB"/>
    <w:rsid w:val="009E5B73"/>
    <w:rsid w:val="009F1B70"/>
    <w:rsid w:val="009F3D95"/>
    <w:rsid w:val="009F4CCB"/>
    <w:rsid w:val="009F57FC"/>
    <w:rsid w:val="00A06CB3"/>
    <w:rsid w:val="00A102A0"/>
    <w:rsid w:val="00A36DCB"/>
    <w:rsid w:val="00A36FD5"/>
    <w:rsid w:val="00A37865"/>
    <w:rsid w:val="00A412AA"/>
    <w:rsid w:val="00A41D67"/>
    <w:rsid w:val="00A54865"/>
    <w:rsid w:val="00A54BD0"/>
    <w:rsid w:val="00A579D1"/>
    <w:rsid w:val="00A61495"/>
    <w:rsid w:val="00A718BA"/>
    <w:rsid w:val="00A76635"/>
    <w:rsid w:val="00A84774"/>
    <w:rsid w:val="00A91BF6"/>
    <w:rsid w:val="00AA62D3"/>
    <w:rsid w:val="00AA653A"/>
    <w:rsid w:val="00AA695D"/>
    <w:rsid w:val="00AB79BB"/>
    <w:rsid w:val="00AC770E"/>
    <w:rsid w:val="00AD4DAA"/>
    <w:rsid w:val="00AD5974"/>
    <w:rsid w:val="00AE04E2"/>
    <w:rsid w:val="00AF3476"/>
    <w:rsid w:val="00AF3A81"/>
    <w:rsid w:val="00AF7CA2"/>
    <w:rsid w:val="00B06579"/>
    <w:rsid w:val="00B13DBA"/>
    <w:rsid w:val="00B151EC"/>
    <w:rsid w:val="00B200ED"/>
    <w:rsid w:val="00B215F6"/>
    <w:rsid w:val="00B23017"/>
    <w:rsid w:val="00B23E18"/>
    <w:rsid w:val="00B336BA"/>
    <w:rsid w:val="00B35CC0"/>
    <w:rsid w:val="00B4142A"/>
    <w:rsid w:val="00B43A5B"/>
    <w:rsid w:val="00B46BDE"/>
    <w:rsid w:val="00B52D36"/>
    <w:rsid w:val="00B56A10"/>
    <w:rsid w:val="00B61A23"/>
    <w:rsid w:val="00B63688"/>
    <w:rsid w:val="00B64A7B"/>
    <w:rsid w:val="00B7274B"/>
    <w:rsid w:val="00B7487B"/>
    <w:rsid w:val="00B74F00"/>
    <w:rsid w:val="00B75DC8"/>
    <w:rsid w:val="00B85188"/>
    <w:rsid w:val="00B94492"/>
    <w:rsid w:val="00B97E02"/>
    <w:rsid w:val="00BB3237"/>
    <w:rsid w:val="00BB50D1"/>
    <w:rsid w:val="00BD1DC4"/>
    <w:rsid w:val="00BE67A2"/>
    <w:rsid w:val="00BF74F5"/>
    <w:rsid w:val="00C068F5"/>
    <w:rsid w:val="00C11033"/>
    <w:rsid w:val="00C11EA7"/>
    <w:rsid w:val="00C1251E"/>
    <w:rsid w:val="00C1314D"/>
    <w:rsid w:val="00C214E2"/>
    <w:rsid w:val="00C23880"/>
    <w:rsid w:val="00C270C9"/>
    <w:rsid w:val="00C2734E"/>
    <w:rsid w:val="00C35AF1"/>
    <w:rsid w:val="00C55343"/>
    <w:rsid w:val="00C57C76"/>
    <w:rsid w:val="00C62D45"/>
    <w:rsid w:val="00C700E7"/>
    <w:rsid w:val="00C73ED2"/>
    <w:rsid w:val="00C76258"/>
    <w:rsid w:val="00C82F23"/>
    <w:rsid w:val="00C86865"/>
    <w:rsid w:val="00C9023A"/>
    <w:rsid w:val="00C965FA"/>
    <w:rsid w:val="00CA41A8"/>
    <w:rsid w:val="00CB3A1C"/>
    <w:rsid w:val="00CB593B"/>
    <w:rsid w:val="00CB5C2B"/>
    <w:rsid w:val="00CB65AB"/>
    <w:rsid w:val="00CB7DF6"/>
    <w:rsid w:val="00CC66C6"/>
    <w:rsid w:val="00CD44F6"/>
    <w:rsid w:val="00CE5B3B"/>
    <w:rsid w:val="00CF1039"/>
    <w:rsid w:val="00CF519D"/>
    <w:rsid w:val="00CF7DDD"/>
    <w:rsid w:val="00D01711"/>
    <w:rsid w:val="00D01982"/>
    <w:rsid w:val="00D02947"/>
    <w:rsid w:val="00D073E2"/>
    <w:rsid w:val="00D13FDA"/>
    <w:rsid w:val="00D1405D"/>
    <w:rsid w:val="00D15551"/>
    <w:rsid w:val="00D3328C"/>
    <w:rsid w:val="00D3478D"/>
    <w:rsid w:val="00D40081"/>
    <w:rsid w:val="00D52B2E"/>
    <w:rsid w:val="00D52B93"/>
    <w:rsid w:val="00D61096"/>
    <w:rsid w:val="00D61E75"/>
    <w:rsid w:val="00D9129D"/>
    <w:rsid w:val="00D92F45"/>
    <w:rsid w:val="00DA2D0C"/>
    <w:rsid w:val="00DA4998"/>
    <w:rsid w:val="00DA58A4"/>
    <w:rsid w:val="00DB3183"/>
    <w:rsid w:val="00DB3E8C"/>
    <w:rsid w:val="00DB6A40"/>
    <w:rsid w:val="00DC0D2C"/>
    <w:rsid w:val="00DC42FB"/>
    <w:rsid w:val="00DC5627"/>
    <w:rsid w:val="00DD006E"/>
    <w:rsid w:val="00DD6727"/>
    <w:rsid w:val="00DE2915"/>
    <w:rsid w:val="00DF4FDC"/>
    <w:rsid w:val="00E0024C"/>
    <w:rsid w:val="00E002ED"/>
    <w:rsid w:val="00E03562"/>
    <w:rsid w:val="00E05BB0"/>
    <w:rsid w:val="00E201F0"/>
    <w:rsid w:val="00E213A7"/>
    <w:rsid w:val="00E25A78"/>
    <w:rsid w:val="00E263CB"/>
    <w:rsid w:val="00E2798B"/>
    <w:rsid w:val="00E27E71"/>
    <w:rsid w:val="00E31D4E"/>
    <w:rsid w:val="00E354F8"/>
    <w:rsid w:val="00E44172"/>
    <w:rsid w:val="00E4580D"/>
    <w:rsid w:val="00E45DF1"/>
    <w:rsid w:val="00E50AA0"/>
    <w:rsid w:val="00E549EB"/>
    <w:rsid w:val="00E55038"/>
    <w:rsid w:val="00E759D8"/>
    <w:rsid w:val="00E76C34"/>
    <w:rsid w:val="00E81A47"/>
    <w:rsid w:val="00E81F33"/>
    <w:rsid w:val="00E828AC"/>
    <w:rsid w:val="00E866DA"/>
    <w:rsid w:val="00E90771"/>
    <w:rsid w:val="00E970EF"/>
    <w:rsid w:val="00EA79B1"/>
    <w:rsid w:val="00EB6E03"/>
    <w:rsid w:val="00EC08DA"/>
    <w:rsid w:val="00EC3470"/>
    <w:rsid w:val="00EC5D1D"/>
    <w:rsid w:val="00ED24A2"/>
    <w:rsid w:val="00EE34DD"/>
    <w:rsid w:val="00EE3BFE"/>
    <w:rsid w:val="00F04107"/>
    <w:rsid w:val="00F06610"/>
    <w:rsid w:val="00F06F8F"/>
    <w:rsid w:val="00F14733"/>
    <w:rsid w:val="00F1753B"/>
    <w:rsid w:val="00F1762B"/>
    <w:rsid w:val="00F21CF1"/>
    <w:rsid w:val="00F31B38"/>
    <w:rsid w:val="00F32401"/>
    <w:rsid w:val="00F40ABB"/>
    <w:rsid w:val="00F47F9E"/>
    <w:rsid w:val="00F6447F"/>
    <w:rsid w:val="00F64CA5"/>
    <w:rsid w:val="00F71B05"/>
    <w:rsid w:val="00F73E57"/>
    <w:rsid w:val="00F77A24"/>
    <w:rsid w:val="00F83D5E"/>
    <w:rsid w:val="00F84F83"/>
    <w:rsid w:val="00F90F0A"/>
    <w:rsid w:val="00F9693A"/>
    <w:rsid w:val="00FA58DE"/>
    <w:rsid w:val="00FC7CC0"/>
    <w:rsid w:val="00FD6364"/>
    <w:rsid w:val="00FE11AE"/>
    <w:rsid w:val="00FE4DEE"/>
    <w:rsid w:val="00FE7BF8"/>
    <w:rsid w:val="00FF22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C2178"/>
  <w14:defaultImageDpi w14:val="32767"/>
  <w15:chartTrackingRefBased/>
  <w15:docId w15:val="{F80F5797-F017-584C-BB15-8994195D3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744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847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E1DF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E1DFC"/>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0B610F"/>
    <w:rPr>
      <w:sz w:val="16"/>
      <w:szCs w:val="16"/>
    </w:rPr>
  </w:style>
  <w:style w:type="paragraph" w:styleId="CommentText">
    <w:name w:val="annotation text"/>
    <w:basedOn w:val="Normal"/>
    <w:link w:val="CommentTextChar"/>
    <w:uiPriority w:val="99"/>
    <w:semiHidden/>
    <w:unhideWhenUsed/>
    <w:rsid w:val="000B610F"/>
    <w:rPr>
      <w:sz w:val="20"/>
      <w:szCs w:val="20"/>
    </w:rPr>
  </w:style>
  <w:style w:type="character" w:customStyle="1" w:styleId="CommentTextChar">
    <w:name w:val="Comment Text Char"/>
    <w:basedOn w:val="DefaultParagraphFont"/>
    <w:link w:val="CommentText"/>
    <w:uiPriority w:val="99"/>
    <w:semiHidden/>
    <w:rsid w:val="000B610F"/>
    <w:rPr>
      <w:sz w:val="20"/>
      <w:szCs w:val="20"/>
    </w:rPr>
  </w:style>
  <w:style w:type="paragraph" w:styleId="CommentSubject">
    <w:name w:val="annotation subject"/>
    <w:basedOn w:val="CommentText"/>
    <w:next w:val="CommentText"/>
    <w:link w:val="CommentSubjectChar"/>
    <w:uiPriority w:val="99"/>
    <w:semiHidden/>
    <w:unhideWhenUsed/>
    <w:rsid w:val="000B610F"/>
    <w:rPr>
      <w:b/>
      <w:bCs/>
    </w:rPr>
  </w:style>
  <w:style w:type="character" w:customStyle="1" w:styleId="CommentSubjectChar">
    <w:name w:val="Comment Subject Char"/>
    <w:basedOn w:val="CommentTextChar"/>
    <w:link w:val="CommentSubject"/>
    <w:uiPriority w:val="99"/>
    <w:semiHidden/>
    <w:rsid w:val="000B610F"/>
    <w:rPr>
      <w:b/>
      <w:bCs/>
      <w:sz w:val="20"/>
      <w:szCs w:val="20"/>
    </w:rPr>
  </w:style>
  <w:style w:type="paragraph" w:styleId="Revision">
    <w:name w:val="Revision"/>
    <w:hidden/>
    <w:uiPriority w:val="99"/>
    <w:semiHidden/>
    <w:rsid w:val="002F4B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6654">
      <w:bodyDiv w:val="1"/>
      <w:marLeft w:val="0"/>
      <w:marRight w:val="0"/>
      <w:marTop w:val="0"/>
      <w:marBottom w:val="0"/>
      <w:divBdr>
        <w:top w:val="none" w:sz="0" w:space="0" w:color="auto"/>
        <w:left w:val="none" w:sz="0" w:space="0" w:color="auto"/>
        <w:bottom w:val="none" w:sz="0" w:space="0" w:color="auto"/>
        <w:right w:val="none" w:sz="0" w:space="0" w:color="auto"/>
      </w:divBdr>
    </w:div>
    <w:div w:id="15276482">
      <w:bodyDiv w:val="1"/>
      <w:marLeft w:val="0"/>
      <w:marRight w:val="0"/>
      <w:marTop w:val="0"/>
      <w:marBottom w:val="0"/>
      <w:divBdr>
        <w:top w:val="none" w:sz="0" w:space="0" w:color="auto"/>
        <w:left w:val="none" w:sz="0" w:space="0" w:color="auto"/>
        <w:bottom w:val="none" w:sz="0" w:space="0" w:color="auto"/>
        <w:right w:val="none" w:sz="0" w:space="0" w:color="auto"/>
      </w:divBdr>
    </w:div>
    <w:div w:id="17120052">
      <w:bodyDiv w:val="1"/>
      <w:marLeft w:val="0"/>
      <w:marRight w:val="0"/>
      <w:marTop w:val="0"/>
      <w:marBottom w:val="0"/>
      <w:divBdr>
        <w:top w:val="none" w:sz="0" w:space="0" w:color="auto"/>
        <w:left w:val="none" w:sz="0" w:space="0" w:color="auto"/>
        <w:bottom w:val="none" w:sz="0" w:space="0" w:color="auto"/>
        <w:right w:val="none" w:sz="0" w:space="0" w:color="auto"/>
      </w:divBdr>
    </w:div>
    <w:div w:id="21253202">
      <w:bodyDiv w:val="1"/>
      <w:marLeft w:val="0"/>
      <w:marRight w:val="0"/>
      <w:marTop w:val="0"/>
      <w:marBottom w:val="0"/>
      <w:divBdr>
        <w:top w:val="none" w:sz="0" w:space="0" w:color="auto"/>
        <w:left w:val="none" w:sz="0" w:space="0" w:color="auto"/>
        <w:bottom w:val="none" w:sz="0" w:space="0" w:color="auto"/>
        <w:right w:val="none" w:sz="0" w:space="0" w:color="auto"/>
      </w:divBdr>
    </w:div>
    <w:div w:id="25564833">
      <w:bodyDiv w:val="1"/>
      <w:marLeft w:val="0"/>
      <w:marRight w:val="0"/>
      <w:marTop w:val="0"/>
      <w:marBottom w:val="0"/>
      <w:divBdr>
        <w:top w:val="none" w:sz="0" w:space="0" w:color="auto"/>
        <w:left w:val="none" w:sz="0" w:space="0" w:color="auto"/>
        <w:bottom w:val="none" w:sz="0" w:space="0" w:color="auto"/>
        <w:right w:val="none" w:sz="0" w:space="0" w:color="auto"/>
      </w:divBdr>
    </w:div>
    <w:div w:id="30959106">
      <w:bodyDiv w:val="1"/>
      <w:marLeft w:val="0"/>
      <w:marRight w:val="0"/>
      <w:marTop w:val="0"/>
      <w:marBottom w:val="0"/>
      <w:divBdr>
        <w:top w:val="none" w:sz="0" w:space="0" w:color="auto"/>
        <w:left w:val="none" w:sz="0" w:space="0" w:color="auto"/>
        <w:bottom w:val="none" w:sz="0" w:space="0" w:color="auto"/>
        <w:right w:val="none" w:sz="0" w:space="0" w:color="auto"/>
      </w:divBdr>
    </w:div>
    <w:div w:id="46925124">
      <w:bodyDiv w:val="1"/>
      <w:marLeft w:val="0"/>
      <w:marRight w:val="0"/>
      <w:marTop w:val="0"/>
      <w:marBottom w:val="0"/>
      <w:divBdr>
        <w:top w:val="none" w:sz="0" w:space="0" w:color="auto"/>
        <w:left w:val="none" w:sz="0" w:space="0" w:color="auto"/>
        <w:bottom w:val="none" w:sz="0" w:space="0" w:color="auto"/>
        <w:right w:val="none" w:sz="0" w:space="0" w:color="auto"/>
      </w:divBdr>
    </w:div>
    <w:div w:id="54015498">
      <w:bodyDiv w:val="1"/>
      <w:marLeft w:val="0"/>
      <w:marRight w:val="0"/>
      <w:marTop w:val="0"/>
      <w:marBottom w:val="0"/>
      <w:divBdr>
        <w:top w:val="none" w:sz="0" w:space="0" w:color="auto"/>
        <w:left w:val="none" w:sz="0" w:space="0" w:color="auto"/>
        <w:bottom w:val="none" w:sz="0" w:space="0" w:color="auto"/>
        <w:right w:val="none" w:sz="0" w:space="0" w:color="auto"/>
      </w:divBdr>
    </w:div>
    <w:div w:id="62608376">
      <w:bodyDiv w:val="1"/>
      <w:marLeft w:val="0"/>
      <w:marRight w:val="0"/>
      <w:marTop w:val="0"/>
      <w:marBottom w:val="0"/>
      <w:divBdr>
        <w:top w:val="none" w:sz="0" w:space="0" w:color="auto"/>
        <w:left w:val="none" w:sz="0" w:space="0" w:color="auto"/>
        <w:bottom w:val="none" w:sz="0" w:space="0" w:color="auto"/>
        <w:right w:val="none" w:sz="0" w:space="0" w:color="auto"/>
      </w:divBdr>
    </w:div>
    <w:div w:id="62877289">
      <w:bodyDiv w:val="1"/>
      <w:marLeft w:val="0"/>
      <w:marRight w:val="0"/>
      <w:marTop w:val="0"/>
      <w:marBottom w:val="0"/>
      <w:divBdr>
        <w:top w:val="none" w:sz="0" w:space="0" w:color="auto"/>
        <w:left w:val="none" w:sz="0" w:space="0" w:color="auto"/>
        <w:bottom w:val="none" w:sz="0" w:space="0" w:color="auto"/>
        <w:right w:val="none" w:sz="0" w:space="0" w:color="auto"/>
      </w:divBdr>
    </w:div>
    <w:div w:id="66388113">
      <w:bodyDiv w:val="1"/>
      <w:marLeft w:val="0"/>
      <w:marRight w:val="0"/>
      <w:marTop w:val="0"/>
      <w:marBottom w:val="0"/>
      <w:divBdr>
        <w:top w:val="none" w:sz="0" w:space="0" w:color="auto"/>
        <w:left w:val="none" w:sz="0" w:space="0" w:color="auto"/>
        <w:bottom w:val="none" w:sz="0" w:space="0" w:color="auto"/>
        <w:right w:val="none" w:sz="0" w:space="0" w:color="auto"/>
      </w:divBdr>
    </w:div>
    <w:div w:id="76943087">
      <w:bodyDiv w:val="1"/>
      <w:marLeft w:val="0"/>
      <w:marRight w:val="0"/>
      <w:marTop w:val="0"/>
      <w:marBottom w:val="0"/>
      <w:divBdr>
        <w:top w:val="none" w:sz="0" w:space="0" w:color="auto"/>
        <w:left w:val="none" w:sz="0" w:space="0" w:color="auto"/>
        <w:bottom w:val="none" w:sz="0" w:space="0" w:color="auto"/>
        <w:right w:val="none" w:sz="0" w:space="0" w:color="auto"/>
      </w:divBdr>
    </w:div>
    <w:div w:id="79571699">
      <w:bodyDiv w:val="1"/>
      <w:marLeft w:val="0"/>
      <w:marRight w:val="0"/>
      <w:marTop w:val="0"/>
      <w:marBottom w:val="0"/>
      <w:divBdr>
        <w:top w:val="none" w:sz="0" w:space="0" w:color="auto"/>
        <w:left w:val="none" w:sz="0" w:space="0" w:color="auto"/>
        <w:bottom w:val="none" w:sz="0" w:space="0" w:color="auto"/>
        <w:right w:val="none" w:sz="0" w:space="0" w:color="auto"/>
      </w:divBdr>
    </w:div>
    <w:div w:id="90247815">
      <w:bodyDiv w:val="1"/>
      <w:marLeft w:val="0"/>
      <w:marRight w:val="0"/>
      <w:marTop w:val="0"/>
      <w:marBottom w:val="0"/>
      <w:divBdr>
        <w:top w:val="none" w:sz="0" w:space="0" w:color="auto"/>
        <w:left w:val="none" w:sz="0" w:space="0" w:color="auto"/>
        <w:bottom w:val="none" w:sz="0" w:space="0" w:color="auto"/>
        <w:right w:val="none" w:sz="0" w:space="0" w:color="auto"/>
      </w:divBdr>
    </w:div>
    <w:div w:id="95254371">
      <w:bodyDiv w:val="1"/>
      <w:marLeft w:val="0"/>
      <w:marRight w:val="0"/>
      <w:marTop w:val="0"/>
      <w:marBottom w:val="0"/>
      <w:divBdr>
        <w:top w:val="none" w:sz="0" w:space="0" w:color="auto"/>
        <w:left w:val="none" w:sz="0" w:space="0" w:color="auto"/>
        <w:bottom w:val="none" w:sz="0" w:space="0" w:color="auto"/>
        <w:right w:val="none" w:sz="0" w:space="0" w:color="auto"/>
      </w:divBdr>
    </w:div>
    <w:div w:id="96487276">
      <w:bodyDiv w:val="1"/>
      <w:marLeft w:val="0"/>
      <w:marRight w:val="0"/>
      <w:marTop w:val="0"/>
      <w:marBottom w:val="0"/>
      <w:divBdr>
        <w:top w:val="none" w:sz="0" w:space="0" w:color="auto"/>
        <w:left w:val="none" w:sz="0" w:space="0" w:color="auto"/>
        <w:bottom w:val="none" w:sz="0" w:space="0" w:color="auto"/>
        <w:right w:val="none" w:sz="0" w:space="0" w:color="auto"/>
      </w:divBdr>
    </w:div>
    <w:div w:id="97914296">
      <w:bodyDiv w:val="1"/>
      <w:marLeft w:val="0"/>
      <w:marRight w:val="0"/>
      <w:marTop w:val="0"/>
      <w:marBottom w:val="0"/>
      <w:divBdr>
        <w:top w:val="none" w:sz="0" w:space="0" w:color="auto"/>
        <w:left w:val="none" w:sz="0" w:space="0" w:color="auto"/>
        <w:bottom w:val="none" w:sz="0" w:space="0" w:color="auto"/>
        <w:right w:val="none" w:sz="0" w:space="0" w:color="auto"/>
      </w:divBdr>
    </w:div>
    <w:div w:id="100036150">
      <w:bodyDiv w:val="1"/>
      <w:marLeft w:val="0"/>
      <w:marRight w:val="0"/>
      <w:marTop w:val="0"/>
      <w:marBottom w:val="0"/>
      <w:divBdr>
        <w:top w:val="none" w:sz="0" w:space="0" w:color="auto"/>
        <w:left w:val="none" w:sz="0" w:space="0" w:color="auto"/>
        <w:bottom w:val="none" w:sz="0" w:space="0" w:color="auto"/>
        <w:right w:val="none" w:sz="0" w:space="0" w:color="auto"/>
      </w:divBdr>
    </w:div>
    <w:div w:id="104693315">
      <w:bodyDiv w:val="1"/>
      <w:marLeft w:val="0"/>
      <w:marRight w:val="0"/>
      <w:marTop w:val="0"/>
      <w:marBottom w:val="0"/>
      <w:divBdr>
        <w:top w:val="none" w:sz="0" w:space="0" w:color="auto"/>
        <w:left w:val="none" w:sz="0" w:space="0" w:color="auto"/>
        <w:bottom w:val="none" w:sz="0" w:space="0" w:color="auto"/>
        <w:right w:val="none" w:sz="0" w:space="0" w:color="auto"/>
      </w:divBdr>
    </w:div>
    <w:div w:id="107509701">
      <w:bodyDiv w:val="1"/>
      <w:marLeft w:val="0"/>
      <w:marRight w:val="0"/>
      <w:marTop w:val="0"/>
      <w:marBottom w:val="0"/>
      <w:divBdr>
        <w:top w:val="none" w:sz="0" w:space="0" w:color="auto"/>
        <w:left w:val="none" w:sz="0" w:space="0" w:color="auto"/>
        <w:bottom w:val="none" w:sz="0" w:space="0" w:color="auto"/>
        <w:right w:val="none" w:sz="0" w:space="0" w:color="auto"/>
      </w:divBdr>
    </w:div>
    <w:div w:id="110174533">
      <w:bodyDiv w:val="1"/>
      <w:marLeft w:val="0"/>
      <w:marRight w:val="0"/>
      <w:marTop w:val="0"/>
      <w:marBottom w:val="0"/>
      <w:divBdr>
        <w:top w:val="none" w:sz="0" w:space="0" w:color="auto"/>
        <w:left w:val="none" w:sz="0" w:space="0" w:color="auto"/>
        <w:bottom w:val="none" w:sz="0" w:space="0" w:color="auto"/>
        <w:right w:val="none" w:sz="0" w:space="0" w:color="auto"/>
      </w:divBdr>
    </w:div>
    <w:div w:id="112598984">
      <w:bodyDiv w:val="1"/>
      <w:marLeft w:val="0"/>
      <w:marRight w:val="0"/>
      <w:marTop w:val="0"/>
      <w:marBottom w:val="0"/>
      <w:divBdr>
        <w:top w:val="none" w:sz="0" w:space="0" w:color="auto"/>
        <w:left w:val="none" w:sz="0" w:space="0" w:color="auto"/>
        <w:bottom w:val="none" w:sz="0" w:space="0" w:color="auto"/>
        <w:right w:val="none" w:sz="0" w:space="0" w:color="auto"/>
      </w:divBdr>
    </w:div>
    <w:div w:id="114955896">
      <w:bodyDiv w:val="1"/>
      <w:marLeft w:val="0"/>
      <w:marRight w:val="0"/>
      <w:marTop w:val="0"/>
      <w:marBottom w:val="0"/>
      <w:divBdr>
        <w:top w:val="none" w:sz="0" w:space="0" w:color="auto"/>
        <w:left w:val="none" w:sz="0" w:space="0" w:color="auto"/>
        <w:bottom w:val="none" w:sz="0" w:space="0" w:color="auto"/>
        <w:right w:val="none" w:sz="0" w:space="0" w:color="auto"/>
      </w:divBdr>
    </w:div>
    <w:div w:id="120344954">
      <w:bodyDiv w:val="1"/>
      <w:marLeft w:val="0"/>
      <w:marRight w:val="0"/>
      <w:marTop w:val="0"/>
      <w:marBottom w:val="0"/>
      <w:divBdr>
        <w:top w:val="none" w:sz="0" w:space="0" w:color="auto"/>
        <w:left w:val="none" w:sz="0" w:space="0" w:color="auto"/>
        <w:bottom w:val="none" w:sz="0" w:space="0" w:color="auto"/>
        <w:right w:val="none" w:sz="0" w:space="0" w:color="auto"/>
      </w:divBdr>
    </w:div>
    <w:div w:id="121506339">
      <w:bodyDiv w:val="1"/>
      <w:marLeft w:val="0"/>
      <w:marRight w:val="0"/>
      <w:marTop w:val="0"/>
      <w:marBottom w:val="0"/>
      <w:divBdr>
        <w:top w:val="none" w:sz="0" w:space="0" w:color="auto"/>
        <w:left w:val="none" w:sz="0" w:space="0" w:color="auto"/>
        <w:bottom w:val="none" w:sz="0" w:space="0" w:color="auto"/>
        <w:right w:val="none" w:sz="0" w:space="0" w:color="auto"/>
      </w:divBdr>
    </w:div>
    <w:div w:id="121582827">
      <w:bodyDiv w:val="1"/>
      <w:marLeft w:val="0"/>
      <w:marRight w:val="0"/>
      <w:marTop w:val="0"/>
      <w:marBottom w:val="0"/>
      <w:divBdr>
        <w:top w:val="none" w:sz="0" w:space="0" w:color="auto"/>
        <w:left w:val="none" w:sz="0" w:space="0" w:color="auto"/>
        <w:bottom w:val="none" w:sz="0" w:space="0" w:color="auto"/>
        <w:right w:val="none" w:sz="0" w:space="0" w:color="auto"/>
      </w:divBdr>
    </w:div>
    <w:div w:id="122231601">
      <w:bodyDiv w:val="1"/>
      <w:marLeft w:val="0"/>
      <w:marRight w:val="0"/>
      <w:marTop w:val="0"/>
      <w:marBottom w:val="0"/>
      <w:divBdr>
        <w:top w:val="none" w:sz="0" w:space="0" w:color="auto"/>
        <w:left w:val="none" w:sz="0" w:space="0" w:color="auto"/>
        <w:bottom w:val="none" w:sz="0" w:space="0" w:color="auto"/>
        <w:right w:val="none" w:sz="0" w:space="0" w:color="auto"/>
      </w:divBdr>
    </w:div>
    <w:div w:id="124467969">
      <w:bodyDiv w:val="1"/>
      <w:marLeft w:val="0"/>
      <w:marRight w:val="0"/>
      <w:marTop w:val="0"/>
      <w:marBottom w:val="0"/>
      <w:divBdr>
        <w:top w:val="none" w:sz="0" w:space="0" w:color="auto"/>
        <w:left w:val="none" w:sz="0" w:space="0" w:color="auto"/>
        <w:bottom w:val="none" w:sz="0" w:space="0" w:color="auto"/>
        <w:right w:val="none" w:sz="0" w:space="0" w:color="auto"/>
      </w:divBdr>
    </w:div>
    <w:div w:id="127554302">
      <w:bodyDiv w:val="1"/>
      <w:marLeft w:val="0"/>
      <w:marRight w:val="0"/>
      <w:marTop w:val="0"/>
      <w:marBottom w:val="0"/>
      <w:divBdr>
        <w:top w:val="none" w:sz="0" w:space="0" w:color="auto"/>
        <w:left w:val="none" w:sz="0" w:space="0" w:color="auto"/>
        <w:bottom w:val="none" w:sz="0" w:space="0" w:color="auto"/>
        <w:right w:val="none" w:sz="0" w:space="0" w:color="auto"/>
      </w:divBdr>
    </w:div>
    <w:div w:id="129983424">
      <w:bodyDiv w:val="1"/>
      <w:marLeft w:val="0"/>
      <w:marRight w:val="0"/>
      <w:marTop w:val="0"/>
      <w:marBottom w:val="0"/>
      <w:divBdr>
        <w:top w:val="none" w:sz="0" w:space="0" w:color="auto"/>
        <w:left w:val="none" w:sz="0" w:space="0" w:color="auto"/>
        <w:bottom w:val="none" w:sz="0" w:space="0" w:color="auto"/>
        <w:right w:val="none" w:sz="0" w:space="0" w:color="auto"/>
      </w:divBdr>
    </w:div>
    <w:div w:id="131601923">
      <w:bodyDiv w:val="1"/>
      <w:marLeft w:val="0"/>
      <w:marRight w:val="0"/>
      <w:marTop w:val="0"/>
      <w:marBottom w:val="0"/>
      <w:divBdr>
        <w:top w:val="none" w:sz="0" w:space="0" w:color="auto"/>
        <w:left w:val="none" w:sz="0" w:space="0" w:color="auto"/>
        <w:bottom w:val="none" w:sz="0" w:space="0" w:color="auto"/>
        <w:right w:val="none" w:sz="0" w:space="0" w:color="auto"/>
      </w:divBdr>
    </w:div>
    <w:div w:id="132990402">
      <w:bodyDiv w:val="1"/>
      <w:marLeft w:val="0"/>
      <w:marRight w:val="0"/>
      <w:marTop w:val="0"/>
      <w:marBottom w:val="0"/>
      <w:divBdr>
        <w:top w:val="none" w:sz="0" w:space="0" w:color="auto"/>
        <w:left w:val="none" w:sz="0" w:space="0" w:color="auto"/>
        <w:bottom w:val="none" w:sz="0" w:space="0" w:color="auto"/>
        <w:right w:val="none" w:sz="0" w:space="0" w:color="auto"/>
      </w:divBdr>
    </w:div>
    <w:div w:id="149491945">
      <w:bodyDiv w:val="1"/>
      <w:marLeft w:val="0"/>
      <w:marRight w:val="0"/>
      <w:marTop w:val="0"/>
      <w:marBottom w:val="0"/>
      <w:divBdr>
        <w:top w:val="none" w:sz="0" w:space="0" w:color="auto"/>
        <w:left w:val="none" w:sz="0" w:space="0" w:color="auto"/>
        <w:bottom w:val="none" w:sz="0" w:space="0" w:color="auto"/>
        <w:right w:val="none" w:sz="0" w:space="0" w:color="auto"/>
      </w:divBdr>
    </w:div>
    <w:div w:id="156726568">
      <w:bodyDiv w:val="1"/>
      <w:marLeft w:val="0"/>
      <w:marRight w:val="0"/>
      <w:marTop w:val="0"/>
      <w:marBottom w:val="0"/>
      <w:divBdr>
        <w:top w:val="none" w:sz="0" w:space="0" w:color="auto"/>
        <w:left w:val="none" w:sz="0" w:space="0" w:color="auto"/>
        <w:bottom w:val="none" w:sz="0" w:space="0" w:color="auto"/>
        <w:right w:val="none" w:sz="0" w:space="0" w:color="auto"/>
      </w:divBdr>
    </w:div>
    <w:div w:id="162819717">
      <w:bodyDiv w:val="1"/>
      <w:marLeft w:val="0"/>
      <w:marRight w:val="0"/>
      <w:marTop w:val="0"/>
      <w:marBottom w:val="0"/>
      <w:divBdr>
        <w:top w:val="none" w:sz="0" w:space="0" w:color="auto"/>
        <w:left w:val="none" w:sz="0" w:space="0" w:color="auto"/>
        <w:bottom w:val="none" w:sz="0" w:space="0" w:color="auto"/>
        <w:right w:val="none" w:sz="0" w:space="0" w:color="auto"/>
      </w:divBdr>
    </w:div>
    <w:div w:id="164319560">
      <w:bodyDiv w:val="1"/>
      <w:marLeft w:val="0"/>
      <w:marRight w:val="0"/>
      <w:marTop w:val="0"/>
      <w:marBottom w:val="0"/>
      <w:divBdr>
        <w:top w:val="none" w:sz="0" w:space="0" w:color="auto"/>
        <w:left w:val="none" w:sz="0" w:space="0" w:color="auto"/>
        <w:bottom w:val="none" w:sz="0" w:space="0" w:color="auto"/>
        <w:right w:val="none" w:sz="0" w:space="0" w:color="auto"/>
      </w:divBdr>
    </w:div>
    <w:div w:id="176694666">
      <w:bodyDiv w:val="1"/>
      <w:marLeft w:val="0"/>
      <w:marRight w:val="0"/>
      <w:marTop w:val="0"/>
      <w:marBottom w:val="0"/>
      <w:divBdr>
        <w:top w:val="none" w:sz="0" w:space="0" w:color="auto"/>
        <w:left w:val="none" w:sz="0" w:space="0" w:color="auto"/>
        <w:bottom w:val="none" w:sz="0" w:space="0" w:color="auto"/>
        <w:right w:val="none" w:sz="0" w:space="0" w:color="auto"/>
      </w:divBdr>
    </w:div>
    <w:div w:id="182667941">
      <w:bodyDiv w:val="1"/>
      <w:marLeft w:val="0"/>
      <w:marRight w:val="0"/>
      <w:marTop w:val="0"/>
      <w:marBottom w:val="0"/>
      <w:divBdr>
        <w:top w:val="none" w:sz="0" w:space="0" w:color="auto"/>
        <w:left w:val="none" w:sz="0" w:space="0" w:color="auto"/>
        <w:bottom w:val="none" w:sz="0" w:space="0" w:color="auto"/>
        <w:right w:val="none" w:sz="0" w:space="0" w:color="auto"/>
      </w:divBdr>
    </w:div>
    <w:div w:id="186532188">
      <w:bodyDiv w:val="1"/>
      <w:marLeft w:val="0"/>
      <w:marRight w:val="0"/>
      <w:marTop w:val="0"/>
      <w:marBottom w:val="0"/>
      <w:divBdr>
        <w:top w:val="none" w:sz="0" w:space="0" w:color="auto"/>
        <w:left w:val="none" w:sz="0" w:space="0" w:color="auto"/>
        <w:bottom w:val="none" w:sz="0" w:space="0" w:color="auto"/>
        <w:right w:val="none" w:sz="0" w:space="0" w:color="auto"/>
      </w:divBdr>
    </w:div>
    <w:div w:id="186793607">
      <w:bodyDiv w:val="1"/>
      <w:marLeft w:val="0"/>
      <w:marRight w:val="0"/>
      <w:marTop w:val="0"/>
      <w:marBottom w:val="0"/>
      <w:divBdr>
        <w:top w:val="none" w:sz="0" w:space="0" w:color="auto"/>
        <w:left w:val="none" w:sz="0" w:space="0" w:color="auto"/>
        <w:bottom w:val="none" w:sz="0" w:space="0" w:color="auto"/>
        <w:right w:val="none" w:sz="0" w:space="0" w:color="auto"/>
      </w:divBdr>
    </w:div>
    <w:div w:id="190999692">
      <w:bodyDiv w:val="1"/>
      <w:marLeft w:val="0"/>
      <w:marRight w:val="0"/>
      <w:marTop w:val="0"/>
      <w:marBottom w:val="0"/>
      <w:divBdr>
        <w:top w:val="none" w:sz="0" w:space="0" w:color="auto"/>
        <w:left w:val="none" w:sz="0" w:space="0" w:color="auto"/>
        <w:bottom w:val="none" w:sz="0" w:space="0" w:color="auto"/>
        <w:right w:val="none" w:sz="0" w:space="0" w:color="auto"/>
      </w:divBdr>
    </w:div>
    <w:div w:id="192421365">
      <w:bodyDiv w:val="1"/>
      <w:marLeft w:val="0"/>
      <w:marRight w:val="0"/>
      <w:marTop w:val="0"/>
      <w:marBottom w:val="0"/>
      <w:divBdr>
        <w:top w:val="none" w:sz="0" w:space="0" w:color="auto"/>
        <w:left w:val="none" w:sz="0" w:space="0" w:color="auto"/>
        <w:bottom w:val="none" w:sz="0" w:space="0" w:color="auto"/>
        <w:right w:val="none" w:sz="0" w:space="0" w:color="auto"/>
      </w:divBdr>
    </w:div>
    <w:div w:id="199628204">
      <w:bodyDiv w:val="1"/>
      <w:marLeft w:val="0"/>
      <w:marRight w:val="0"/>
      <w:marTop w:val="0"/>
      <w:marBottom w:val="0"/>
      <w:divBdr>
        <w:top w:val="none" w:sz="0" w:space="0" w:color="auto"/>
        <w:left w:val="none" w:sz="0" w:space="0" w:color="auto"/>
        <w:bottom w:val="none" w:sz="0" w:space="0" w:color="auto"/>
        <w:right w:val="none" w:sz="0" w:space="0" w:color="auto"/>
      </w:divBdr>
    </w:div>
    <w:div w:id="199705844">
      <w:bodyDiv w:val="1"/>
      <w:marLeft w:val="0"/>
      <w:marRight w:val="0"/>
      <w:marTop w:val="0"/>
      <w:marBottom w:val="0"/>
      <w:divBdr>
        <w:top w:val="none" w:sz="0" w:space="0" w:color="auto"/>
        <w:left w:val="none" w:sz="0" w:space="0" w:color="auto"/>
        <w:bottom w:val="none" w:sz="0" w:space="0" w:color="auto"/>
        <w:right w:val="none" w:sz="0" w:space="0" w:color="auto"/>
      </w:divBdr>
    </w:div>
    <w:div w:id="200024051">
      <w:bodyDiv w:val="1"/>
      <w:marLeft w:val="0"/>
      <w:marRight w:val="0"/>
      <w:marTop w:val="0"/>
      <w:marBottom w:val="0"/>
      <w:divBdr>
        <w:top w:val="none" w:sz="0" w:space="0" w:color="auto"/>
        <w:left w:val="none" w:sz="0" w:space="0" w:color="auto"/>
        <w:bottom w:val="none" w:sz="0" w:space="0" w:color="auto"/>
        <w:right w:val="none" w:sz="0" w:space="0" w:color="auto"/>
      </w:divBdr>
    </w:div>
    <w:div w:id="203178773">
      <w:bodyDiv w:val="1"/>
      <w:marLeft w:val="0"/>
      <w:marRight w:val="0"/>
      <w:marTop w:val="0"/>
      <w:marBottom w:val="0"/>
      <w:divBdr>
        <w:top w:val="none" w:sz="0" w:space="0" w:color="auto"/>
        <w:left w:val="none" w:sz="0" w:space="0" w:color="auto"/>
        <w:bottom w:val="none" w:sz="0" w:space="0" w:color="auto"/>
        <w:right w:val="none" w:sz="0" w:space="0" w:color="auto"/>
      </w:divBdr>
    </w:div>
    <w:div w:id="210848278">
      <w:bodyDiv w:val="1"/>
      <w:marLeft w:val="0"/>
      <w:marRight w:val="0"/>
      <w:marTop w:val="0"/>
      <w:marBottom w:val="0"/>
      <w:divBdr>
        <w:top w:val="none" w:sz="0" w:space="0" w:color="auto"/>
        <w:left w:val="none" w:sz="0" w:space="0" w:color="auto"/>
        <w:bottom w:val="none" w:sz="0" w:space="0" w:color="auto"/>
        <w:right w:val="none" w:sz="0" w:space="0" w:color="auto"/>
      </w:divBdr>
    </w:div>
    <w:div w:id="213931594">
      <w:bodyDiv w:val="1"/>
      <w:marLeft w:val="0"/>
      <w:marRight w:val="0"/>
      <w:marTop w:val="0"/>
      <w:marBottom w:val="0"/>
      <w:divBdr>
        <w:top w:val="none" w:sz="0" w:space="0" w:color="auto"/>
        <w:left w:val="none" w:sz="0" w:space="0" w:color="auto"/>
        <w:bottom w:val="none" w:sz="0" w:space="0" w:color="auto"/>
        <w:right w:val="none" w:sz="0" w:space="0" w:color="auto"/>
      </w:divBdr>
    </w:div>
    <w:div w:id="234362158">
      <w:bodyDiv w:val="1"/>
      <w:marLeft w:val="0"/>
      <w:marRight w:val="0"/>
      <w:marTop w:val="0"/>
      <w:marBottom w:val="0"/>
      <w:divBdr>
        <w:top w:val="none" w:sz="0" w:space="0" w:color="auto"/>
        <w:left w:val="none" w:sz="0" w:space="0" w:color="auto"/>
        <w:bottom w:val="none" w:sz="0" w:space="0" w:color="auto"/>
        <w:right w:val="none" w:sz="0" w:space="0" w:color="auto"/>
      </w:divBdr>
    </w:div>
    <w:div w:id="237595167">
      <w:bodyDiv w:val="1"/>
      <w:marLeft w:val="0"/>
      <w:marRight w:val="0"/>
      <w:marTop w:val="0"/>
      <w:marBottom w:val="0"/>
      <w:divBdr>
        <w:top w:val="none" w:sz="0" w:space="0" w:color="auto"/>
        <w:left w:val="none" w:sz="0" w:space="0" w:color="auto"/>
        <w:bottom w:val="none" w:sz="0" w:space="0" w:color="auto"/>
        <w:right w:val="none" w:sz="0" w:space="0" w:color="auto"/>
      </w:divBdr>
    </w:div>
    <w:div w:id="239296127">
      <w:bodyDiv w:val="1"/>
      <w:marLeft w:val="0"/>
      <w:marRight w:val="0"/>
      <w:marTop w:val="0"/>
      <w:marBottom w:val="0"/>
      <w:divBdr>
        <w:top w:val="none" w:sz="0" w:space="0" w:color="auto"/>
        <w:left w:val="none" w:sz="0" w:space="0" w:color="auto"/>
        <w:bottom w:val="none" w:sz="0" w:space="0" w:color="auto"/>
        <w:right w:val="none" w:sz="0" w:space="0" w:color="auto"/>
      </w:divBdr>
    </w:div>
    <w:div w:id="241456249">
      <w:bodyDiv w:val="1"/>
      <w:marLeft w:val="0"/>
      <w:marRight w:val="0"/>
      <w:marTop w:val="0"/>
      <w:marBottom w:val="0"/>
      <w:divBdr>
        <w:top w:val="none" w:sz="0" w:space="0" w:color="auto"/>
        <w:left w:val="none" w:sz="0" w:space="0" w:color="auto"/>
        <w:bottom w:val="none" w:sz="0" w:space="0" w:color="auto"/>
        <w:right w:val="none" w:sz="0" w:space="0" w:color="auto"/>
      </w:divBdr>
    </w:div>
    <w:div w:id="242761967">
      <w:bodyDiv w:val="1"/>
      <w:marLeft w:val="0"/>
      <w:marRight w:val="0"/>
      <w:marTop w:val="0"/>
      <w:marBottom w:val="0"/>
      <w:divBdr>
        <w:top w:val="none" w:sz="0" w:space="0" w:color="auto"/>
        <w:left w:val="none" w:sz="0" w:space="0" w:color="auto"/>
        <w:bottom w:val="none" w:sz="0" w:space="0" w:color="auto"/>
        <w:right w:val="none" w:sz="0" w:space="0" w:color="auto"/>
      </w:divBdr>
    </w:div>
    <w:div w:id="247232973">
      <w:bodyDiv w:val="1"/>
      <w:marLeft w:val="0"/>
      <w:marRight w:val="0"/>
      <w:marTop w:val="0"/>
      <w:marBottom w:val="0"/>
      <w:divBdr>
        <w:top w:val="none" w:sz="0" w:space="0" w:color="auto"/>
        <w:left w:val="none" w:sz="0" w:space="0" w:color="auto"/>
        <w:bottom w:val="none" w:sz="0" w:space="0" w:color="auto"/>
        <w:right w:val="none" w:sz="0" w:space="0" w:color="auto"/>
      </w:divBdr>
    </w:div>
    <w:div w:id="270161342">
      <w:bodyDiv w:val="1"/>
      <w:marLeft w:val="0"/>
      <w:marRight w:val="0"/>
      <w:marTop w:val="0"/>
      <w:marBottom w:val="0"/>
      <w:divBdr>
        <w:top w:val="none" w:sz="0" w:space="0" w:color="auto"/>
        <w:left w:val="none" w:sz="0" w:space="0" w:color="auto"/>
        <w:bottom w:val="none" w:sz="0" w:space="0" w:color="auto"/>
        <w:right w:val="none" w:sz="0" w:space="0" w:color="auto"/>
      </w:divBdr>
    </w:div>
    <w:div w:id="274748894">
      <w:bodyDiv w:val="1"/>
      <w:marLeft w:val="0"/>
      <w:marRight w:val="0"/>
      <w:marTop w:val="0"/>
      <w:marBottom w:val="0"/>
      <w:divBdr>
        <w:top w:val="none" w:sz="0" w:space="0" w:color="auto"/>
        <w:left w:val="none" w:sz="0" w:space="0" w:color="auto"/>
        <w:bottom w:val="none" w:sz="0" w:space="0" w:color="auto"/>
        <w:right w:val="none" w:sz="0" w:space="0" w:color="auto"/>
      </w:divBdr>
    </w:div>
    <w:div w:id="282466499">
      <w:bodyDiv w:val="1"/>
      <w:marLeft w:val="0"/>
      <w:marRight w:val="0"/>
      <w:marTop w:val="0"/>
      <w:marBottom w:val="0"/>
      <w:divBdr>
        <w:top w:val="none" w:sz="0" w:space="0" w:color="auto"/>
        <w:left w:val="none" w:sz="0" w:space="0" w:color="auto"/>
        <w:bottom w:val="none" w:sz="0" w:space="0" w:color="auto"/>
        <w:right w:val="none" w:sz="0" w:space="0" w:color="auto"/>
      </w:divBdr>
    </w:div>
    <w:div w:id="282657319">
      <w:bodyDiv w:val="1"/>
      <w:marLeft w:val="0"/>
      <w:marRight w:val="0"/>
      <w:marTop w:val="0"/>
      <w:marBottom w:val="0"/>
      <w:divBdr>
        <w:top w:val="none" w:sz="0" w:space="0" w:color="auto"/>
        <w:left w:val="none" w:sz="0" w:space="0" w:color="auto"/>
        <w:bottom w:val="none" w:sz="0" w:space="0" w:color="auto"/>
        <w:right w:val="none" w:sz="0" w:space="0" w:color="auto"/>
      </w:divBdr>
    </w:div>
    <w:div w:id="283196662">
      <w:bodyDiv w:val="1"/>
      <w:marLeft w:val="0"/>
      <w:marRight w:val="0"/>
      <w:marTop w:val="0"/>
      <w:marBottom w:val="0"/>
      <w:divBdr>
        <w:top w:val="none" w:sz="0" w:space="0" w:color="auto"/>
        <w:left w:val="none" w:sz="0" w:space="0" w:color="auto"/>
        <w:bottom w:val="none" w:sz="0" w:space="0" w:color="auto"/>
        <w:right w:val="none" w:sz="0" w:space="0" w:color="auto"/>
      </w:divBdr>
    </w:div>
    <w:div w:id="290944181">
      <w:bodyDiv w:val="1"/>
      <w:marLeft w:val="0"/>
      <w:marRight w:val="0"/>
      <w:marTop w:val="0"/>
      <w:marBottom w:val="0"/>
      <w:divBdr>
        <w:top w:val="none" w:sz="0" w:space="0" w:color="auto"/>
        <w:left w:val="none" w:sz="0" w:space="0" w:color="auto"/>
        <w:bottom w:val="none" w:sz="0" w:space="0" w:color="auto"/>
        <w:right w:val="none" w:sz="0" w:space="0" w:color="auto"/>
      </w:divBdr>
    </w:div>
    <w:div w:id="298461255">
      <w:bodyDiv w:val="1"/>
      <w:marLeft w:val="0"/>
      <w:marRight w:val="0"/>
      <w:marTop w:val="0"/>
      <w:marBottom w:val="0"/>
      <w:divBdr>
        <w:top w:val="none" w:sz="0" w:space="0" w:color="auto"/>
        <w:left w:val="none" w:sz="0" w:space="0" w:color="auto"/>
        <w:bottom w:val="none" w:sz="0" w:space="0" w:color="auto"/>
        <w:right w:val="none" w:sz="0" w:space="0" w:color="auto"/>
      </w:divBdr>
    </w:div>
    <w:div w:id="299502226">
      <w:bodyDiv w:val="1"/>
      <w:marLeft w:val="0"/>
      <w:marRight w:val="0"/>
      <w:marTop w:val="0"/>
      <w:marBottom w:val="0"/>
      <w:divBdr>
        <w:top w:val="none" w:sz="0" w:space="0" w:color="auto"/>
        <w:left w:val="none" w:sz="0" w:space="0" w:color="auto"/>
        <w:bottom w:val="none" w:sz="0" w:space="0" w:color="auto"/>
        <w:right w:val="none" w:sz="0" w:space="0" w:color="auto"/>
      </w:divBdr>
    </w:div>
    <w:div w:id="301422837">
      <w:bodyDiv w:val="1"/>
      <w:marLeft w:val="0"/>
      <w:marRight w:val="0"/>
      <w:marTop w:val="0"/>
      <w:marBottom w:val="0"/>
      <w:divBdr>
        <w:top w:val="none" w:sz="0" w:space="0" w:color="auto"/>
        <w:left w:val="none" w:sz="0" w:space="0" w:color="auto"/>
        <w:bottom w:val="none" w:sz="0" w:space="0" w:color="auto"/>
        <w:right w:val="none" w:sz="0" w:space="0" w:color="auto"/>
      </w:divBdr>
    </w:div>
    <w:div w:id="301428976">
      <w:bodyDiv w:val="1"/>
      <w:marLeft w:val="0"/>
      <w:marRight w:val="0"/>
      <w:marTop w:val="0"/>
      <w:marBottom w:val="0"/>
      <w:divBdr>
        <w:top w:val="none" w:sz="0" w:space="0" w:color="auto"/>
        <w:left w:val="none" w:sz="0" w:space="0" w:color="auto"/>
        <w:bottom w:val="none" w:sz="0" w:space="0" w:color="auto"/>
        <w:right w:val="none" w:sz="0" w:space="0" w:color="auto"/>
      </w:divBdr>
    </w:div>
    <w:div w:id="307058427">
      <w:bodyDiv w:val="1"/>
      <w:marLeft w:val="0"/>
      <w:marRight w:val="0"/>
      <w:marTop w:val="0"/>
      <w:marBottom w:val="0"/>
      <w:divBdr>
        <w:top w:val="none" w:sz="0" w:space="0" w:color="auto"/>
        <w:left w:val="none" w:sz="0" w:space="0" w:color="auto"/>
        <w:bottom w:val="none" w:sz="0" w:space="0" w:color="auto"/>
        <w:right w:val="none" w:sz="0" w:space="0" w:color="auto"/>
      </w:divBdr>
    </w:div>
    <w:div w:id="311644572">
      <w:bodyDiv w:val="1"/>
      <w:marLeft w:val="0"/>
      <w:marRight w:val="0"/>
      <w:marTop w:val="0"/>
      <w:marBottom w:val="0"/>
      <w:divBdr>
        <w:top w:val="none" w:sz="0" w:space="0" w:color="auto"/>
        <w:left w:val="none" w:sz="0" w:space="0" w:color="auto"/>
        <w:bottom w:val="none" w:sz="0" w:space="0" w:color="auto"/>
        <w:right w:val="none" w:sz="0" w:space="0" w:color="auto"/>
      </w:divBdr>
    </w:div>
    <w:div w:id="312024185">
      <w:bodyDiv w:val="1"/>
      <w:marLeft w:val="0"/>
      <w:marRight w:val="0"/>
      <w:marTop w:val="0"/>
      <w:marBottom w:val="0"/>
      <w:divBdr>
        <w:top w:val="none" w:sz="0" w:space="0" w:color="auto"/>
        <w:left w:val="none" w:sz="0" w:space="0" w:color="auto"/>
        <w:bottom w:val="none" w:sz="0" w:space="0" w:color="auto"/>
        <w:right w:val="none" w:sz="0" w:space="0" w:color="auto"/>
      </w:divBdr>
    </w:div>
    <w:div w:id="316806747">
      <w:bodyDiv w:val="1"/>
      <w:marLeft w:val="0"/>
      <w:marRight w:val="0"/>
      <w:marTop w:val="0"/>
      <w:marBottom w:val="0"/>
      <w:divBdr>
        <w:top w:val="none" w:sz="0" w:space="0" w:color="auto"/>
        <w:left w:val="none" w:sz="0" w:space="0" w:color="auto"/>
        <w:bottom w:val="none" w:sz="0" w:space="0" w:color="auto"/>
        <w:right w:val="none" w:sz="0" w:space="0" w:color="auto"/>
      </w:divBdr>
    </w:div>
    <w:div w:id="334572196">
      <w:bodyDiv w:val="1"/>
      <w:marLeft w:val="0"/>
      <w:marRight w:val="0"/>
      <w:marTop w:val="0"/>
      <w:marBottom w:val="0"/>
      <w:divBdr>
        <w:top w:val="none" w:sz="0" w:space="0" w:color="auto"/>
        <w:left w:val="none" w:sz="0" w:space="0" w:color="auto"/>
        <w:bottom w:val="none" w:sz="0" w:space="0" w:color="auto"/>
        <w:right w:val="none" w:sz="0" w:space="0" w:color="auto"/>
      </w:divBdr>
    </w:div>
    <w:div w:id="335151807">
      <w:bodyDiv w:val="1"/>
      <w:marLeft w:val="0"/>
      <w:marRight w:val="0"/>
      <w:marTop w:val="0"/>
      <w:marBottom w:val="0"/>
      <w:divBdr>
        <w:top w:val="none" w:sz="0" w:space="0" w:color="auto"/>
        <w:left w:val="none" w:sz="0" w:space="0" w:color="auto"/>
        <w:bottom w:val="none" w:sz="0" w:space="0" w:color="auto"/>
        <w:right w:val="none" w:sz="0" w:space="0" w:color="auto"/>
      </w:divBdr>
    </w:div>
    <w:div w:id="338193310">
      <w:bodyDiv w:val="1"/>
      <w:marLeft w:val="0"/>
      <w:marRight w:val="0"/>
      <w:marTop w:val="0"/>
      <w:marBottom w:val="0"/>
      <w:divBdr>
        <w:top w:val="none" w:sz="0" w:space="0" w:color="auto"/>
        <w:left w:val="none" w:sz="0" w:space="0" w:color="auto"/>
        <w:bottom w:val="none" w:sz="0" w:space="0" w:color="auto"/>
        <w:right w:val="none" w:sz="0" w:space="0" w:color="auto"/>
      </w:divBdr>
    </w:div>
    <w:div w:id="351759383">
      <w:bodyDiv w:val="1"/>
      <w:marLeft w:val="0"/>
      <w:marRight w:val="0"/>
      <w:marTop w:val="0"/>
      <w:marBottom w:val="0"/>
      <w:divBdr>
        <w:top w:val="none" w:sz="0" w:space="0" w:color="auto"/>
        <w:left w:val="none" w:sz="0" w:space="0" w:color="auto"/>
        <w:bottom w:val="none" w:sz="0" w:space="0" w:color="auto"/>
        <w:right w:val="none" w:sz="0" w:space="0" w:color="auto"/>
      </w:divBdr>
    </w:div>
    <w:div w:id="355273458">
      <w:bodyDiv w:val="1"/>
      <w:marLeft w:val="0"/>
      <w:marRight w:val="0"/>
      <w:marTop w:val="0"/>
      <w:marBottom w:val="0"/>
      <w:divBdr>
        <w:top w:val="none" w:sz="0" w:space="0" w:color="auto"/>
        <w:left w:val="none" w:sz="0" w:space="0" w:color="auto"/>
        <w:bottom w:val="none" w:sz="0" w:space="0" w:color="auto"/>
        <w:right w:val="none" w:sz="0" w:space="0" w:color="auto"/>
      </w:divBdr>
    </w:div>
    <w:div w:id="360664478">
      <w:bodyDiv w:val="1"/>
      <w:marLeft w:val="0"/>
      <w:marRight w:val="0"/>
      <w:marTop w:val="0"/>
      <w:marBottom w:val="0"/>
      <w:divBdr>
        <w:top w:val="none" w:sz="0" w:space="0" w:color="auto"/>
        <w:left w:val="none" w:sz="0" w:space="0" w:color="auto"/>
        <w:bottom w:val="none" w:sz="0" w:space="0" w:color="auto"/>
        <w:right w:val="none" w:sz="0" w:space="0" w:color="auto"/>
      </w:divBdr>
    </w:div>
    <w:div w:id="376009992">
      <w:bodyDiv w:val="1"/>
      <w:marLeft w:val="0"/>
      <w:marRight w:val="0"/>
      <w:marTop w:val="0"/>
      <w:marBottom w:val="0"/>
      <w:divBdr>
        <w:top w:val="none" w:sz="0" w:space="0" w:color="auto"/>
        <w:left w:val="none" w:sz="0" w:space="0" w:color="auto"/>
        <w:bottom w:val="none" w:sz="0" w:space="0" w:color="auto"/>
        <w:right w:val="none" w:sz="0" w:space="0" w:color="auto"/>
      </w:divBdr>
    </w:div>
    <w:div w:id="378624745">
      <w:bodyDiv w:val="1"/>
      <w:marLeft w:val="0"/>
      <w:marRight w:val="0"/>
      <w:marTop w:val="0"/>
      <w:marBottom w:val="0"/>
      <w:divBdr>
        <w:top w:val="none" w:sz="0" w:space="0" w:color="auto"/>
        <w:left w:val="none" w:sz="0" w:space="0" w:color="auto"/>
        <w:bottom w:val="none" w:sz="0" w:space="0" w:color="auto"/>
        <w:right w:val="none" w:sz="0" w:space="0" w:color="auto"/>
      </w:divBdr>
    </w:div>
    <w:div w:id="385221237">
      <w:bodyDiv w:val="1"/>
      <w:marLeft w:val="0"/>
      <w:marRight w:val="0"/>
      <w:marTop w:val="0"/>
      <w:marBottom w:val="0"/>
      <w:divBdr>
        <w:top w:val="none" w:sz="0" w:space="0" w:color="auto"/>
        <w:left w:val="none" w:sz="0" w:space="0" w:color="auto"/>
        <w:bottom w:val="none" w:sz="0" w:space="0" w:color="auto"/>
        <w:right w:val="none" w:sz="0" w:space="0" w:color="auto"/>
      </w:divBdr>
    </w:div>
    <w:div w:id="387148945">
      <w:bodyDiv w:val="1"/>
      <w:marLeft w:val="0"/>
      <w:marRight w:val="0"/>
      <w:marTop w:val="0"/>
      <w:marBottom w:val="0"/>
      <w:divBdr>
        <w:top w:val="none" w:sz="0" w:space="0" w:color="auto"/>
        <w:left w:val="none" w:sz="0" w:space="0" w:color="auto"/>
        <w:bottom w:val="none" w:sz="0" w:space="0" w:color="auto"/>
        <w:right w:val="none" w:sz="0" w:space="0" w:color="auto"/>
      </w:divBdr>
    </w:div>
    <w:div w:id="389621416">
      <w:bodyDiv w:val="1"/>
      <w:marLeft w:val="0"/>
      <w:marRight w:val="0"/>
      <w:marTop w:val="0"/>
      <w:marBottom w:val="0"/>
      <w:divBdr>
        <w:top w:val="none" w:sz="0" w:space="0" w:color="auto"/>
        <w:left w:val="none" w:sz="0" w:space="0" w:color="auto"/>
        <w:bottom w:val="none" w:sz="0" w:space="0" w:color="auto"/>
        <w:right w:val="none" w:sz="0" w:space="0" w:color="auto"/>
      </w:divBdr>
    </w:div>
    <w:div w:id="392047551">
      <w:bodyDiv w:val="1"/>
      <w:marLeft w:val="0"/>
      <w:marRight w:val="0"/>
      <w:marTop w:val="0"/>
      <w:marBottom w:val="0"/>
      <w:divBdr>
        <w:top w:val="none" w:sz="0" w:space="0" w:color="auto"/>
        <w:left w:val="none" w:sz="0" w:space="0" w:color="auto"/>
        <w:bottom w:val="none" w:sz="0" w:space="0" w:color="auto"/>
        <w:right w:val="none" w:sz="0" w:space="0" w:color="auto"/>
      </w:divBdr>
    </w:div>
    <w:div w:id="403988335">
      <w:bodyDiv w:val="1"/>
      <w:marLeft w:val="0"/>
      <w:marRight w:val="0"/>
      <w:marTop w:val="0"/>
      <w:marBottom w:val="0"/>
      <w:divBdr>
        <w:top w:val="none" w:sz="0" w:space="0" w:color="auto"/>
        <w:left w:val="none" w:sz="0" w:space="0" w:color="auto"/>
        <w:bottom w:val="none" w:sz="0" w:space="0" w:color="auto"/>
        <w:right w:val="none" w:sz="0" w:space="0" w:color="auto"/>
      </w:divBdr>
    </w:div>
    <w:div w:id="404761701">
      <w:bodyDiv w:val="1"/>
      <w:marLeft w:val="0"/>
      <w:marRight w:val="0"/>
      <w:marTop w:val="0"/>
      <w:marBottom w:val="0"/>
      <w:divBdr>
        <w:top w:val="none" w:sz="0" w:space="0" w:color="auto"/>
        <w:left w:val="none" w:sz="0" w:space="0" w:color="auto"/>
        <w:bottom w:val="none" w:sz="0" w:space="0" w:color="auto"/>
        <w:right w:val="none" w:sz="0" w:space="0" w:color="auto"/>
      </w:divBdr>
    </w:div>
    <w:div w:id="407651965">
      <w:bodyDiv w:val="1"/>
      <w:marLeft w:val="0"/>
      <w:marRight w:val="0"/>
      <w:marTop w:val="0"/>
      <w:marBottom w:val="0"/>
      <w:divBdr>
        <w:top w:val="none" w:sz="0" w:space="0" w:color="auto"/>
        <w:left w:val="none" w:sz="0" w:space="0" w:color="auto"/>
        <w:bottom w:val="none" w:sz="0" w:space="0" w:color="auto"/>
        <w:right w:val="none" w:sz="0" w:space="0" w:color="auto"/>
      </w:divBdr>
    </w:div>
    <w:div w:id="410398108">
      <w:bodyDiv w:val="1"/>
      <w:marLeft w:val="0"/>
      <w:marRight w:val="0"/>
      <w:marTop w:val="0"/>
      <w:marBottom w:val="0"/>
      <w:divBdr>
        <w:top w:val="none" w:sz="0" w:space="0" w:color="auto"/>
        <w:left w:val="none" w:sz="0" w:space="0" w:color="auto"/>
        <w:bottom w:val="none" w:sz="0" w:space="0" w:color="auto"/>
        <w:right w:val="none" w:sz="0" w:space="0" w:color="auto"/>
      </w:divBdr>
    </w:div>
    <w:div w:id="415320461">
      <w:bodyDiv w:val="1"/>
      <w:marLeft w:val="0"/>
      <w:marRight w:val="0"/>
      <w:marTop w:val="0"/>
      <w:marBottom w:val="0"/>
      <w:divBdr>
        <w:top w:val="none" w:sz="0" w:space="0" w:color="auto"/>
        <w:left w:val="none" w:sz="0" w:space="0" w:color="auto"/>
        <w:bottom w:val="none" w:sz="0" w:space="0" w:color="auto"/>
        <w:right w:val="none" w:sz="0" w:space="0" w:color="auto"/>
      </w:divBdr>
    </w:div>
    <w:div w:id="417945006">
      <w:bodyDiv w:val="1"/>
      <w:marLeft w:val="0"/>
      <w:marRight w:val="0"/>
      <w:marTop w:val="0"/>
      <w:marBottom w:val="0"/>
      <w:divBdr>
        <w:top w:val="none" w:sz="0" w:space="0" w:color="auto"/>
        <w:left w:val="none" w:sz="0" w:space="0" w:color="auto"/>
        <w:bottom w:val="none" w:sz="0" w:space="0" w:color="auto"/>
        <w:right w:val="none" w:sz="0" w:space="0" w:color="auto"/>
      </w:divBdr>
    </w:div>
    <w:div w:id="420026196">
      <w:bodyDiv w:val="1"/>
      <w:marLeft w:val="0"/>
      <w:marRight w:val="0"/>
      <w:marTop w:val="0"/>
      <w:marBottom w:val="0"/>
      <w:divBdr>
        <w:top w:val="none" w:sz="0" w:space="0" w:color="auto"/>
        <w:left w:val="none" w:sz="0" w:space="0" w:color="auto"/>
        <w:bottom w:val="none" w:sz="0" w:space="0" w:color="auto"/>
        <w:right w:val="none" w:sz="0" w:space="0" w:color="auto"/>
      </w:divBdr>
    </w:div>
    <w:div w:id="424502315">
      <w:bodyDiv w:val="1"/>
      <w:marLeft w:val="0"/>
      <w:marRight w:val="0"/>
      <w:marTop w:val="0"/>
      <w:marBottom w:val="0"/>
      <w:divBdr>
        <w:top w:val="none" w:sz="0" w:space="0" w:color="auto"/>
        <w:left w:val="none" w:sz="0" w:space="0" w:color="auto"/>
        <w:bottom w:val="none" w:sz="0" w:space="0" w:color="auto"/>
        <w:right w:val="none" w:sz="0" w:space="0" w:color="auto"/>
      </w:divBdr>
    </w:div>
    <w:div w:id="429542682">
      <w:bodyDiv w:val="1"/>
      <w:marLeft w:val="0"/>
      <w:marRight w:val="0"/>
      <w:marTop w:val="0"/>
      <w:marBottom w:val="0"/>
      <w:divBdr>
        <w:top w:val="none" w:sz="0" w:space="0" w:color="auto"/>
        <w:left w:val="none" w:sz="0" w:space="0" w:color="auto"/>
        <w:bottom w:val="none" w:sz="0" w:space="0" w:color="auto"/>
        <w:right w:val="none" w:sz="0" w:space="0" w:color="auto"/>
      </w:divBdr>
    </w:div>
    <w:div w:id="432895681">
      <w:bodyDiv w:val="1"/>
      <w:marLeft w:val="0"/>
      <w:marRight w:val="0"/>
      <w:marTop w:val="0"/>
      <w:marBottom w:val="0"/>
      <w:divBdr>
        <w:top w:val="none" w:sz="0" w:space="0" w:color="auto"/>
        <w:left w:val="none" w:sz="0" w:space="0" w:color="auto"/>
        <w:bottom w:val="none" w:sz="0" w:space="0" w:color="auto"/>
        <w:right w:val="none" w:sz="0" w:space="0" w:color="auto"/>
      </w:divBdr>
    </w:div>
    <w:div w:id="442656284">
      <w:bodyDiv w:val="1"/>
      <w:marLeft w:val="0"/>
      <w:marRight w:val="0"/>
      <w:marTop w:val="0"/>
      <w:marBottom w:val="0"/>
      <w:divBdr>
        <w:top w:val="none" w:sz="0" w:space="0" w:color="auto"/>
        <w:left w:val="none" w:sz="0" w:space="0" w:color="auto"/>
        <w:bottom w:val="none" w:sz="0" w:space="0" w:color="auto"/>
        <w:right w:val="none" w:sz="0" w:space="0" w:color="auto"/>
      </w:divBdr>
    </w:div>
    <w:div w:id="444616592">
      <w:bodyDiv w:val="1"/>
      <w:marLeft w:val="0"/>
      <w:marRight w:val="0"/>
      <w:marTop w:val="0"/>
      <w:marBottom w:val="0"/>
      <w:divBdr>
        <w:top w:val="none" w:sz="0" w:space="0" w:color="auto"/>
        <w:left w:val="none" w:sz="0" w:space="0" w:color="auto"/>
        <w:bottom w:val="none" w:sz="0" w:space="0" w:color="auto"/>
        <w:right w:val="none" w:sz="0" w:space="0" w:color="auto"/>
      </w:divBdr>
    </w:div>
    <w:div w:id="445278303">
      <w:bodyDiv w:val="1"/>
      <w:marLeft w:val="0"/>
      <w:marRight w:val="0"/>
      <w:marTop w:val="0"/>
      <w:marBottom w:val="0"/>
      <w:divBdr>
        <w:top w:val="none" w:sz="0" w:space="0" w:color="auto"/>
        <w:left w:val="none" w:sz="0" w:space="0" w:color="auto"/>
        <w:bottom w:val="none" w:sz="0" w:space="0" w:color="auto"/>
        <w:right w:val="none" w:sz="0" w:space="0" w:color="auto"/>
      </w:divBdr>
    </w:div>
    <w:div w:id="446587597">
      <w:bodyDiv w:val="1"/>
      <w:marLeft w:val="0"/>
      <w:marRight w:val="0"/>
      <w:marTop w:val="0"/>
      <w:marBottom w:val="0"/>
      <w:divBdr>
        <w:top w:val="none" w:sz="0" w:space="0" w:color="auto"/>
        <w:left w:val="none" w:sz="0" w:space="0" w:color="auto"/>
        <w:bottom w:val="none" w:sz="0" w:space="0" w:color="auto"/>
        <w:right w:val="none" w:sz="0" w:space="0" w:color="auto"/>
      </w:divBdr>
    </w:div>
    <w:div w:id="447510998">
      <w:bodyDiv w:val="1"/>
      <w:marLeft w:val="0"/>
      <w:marRight w:val="0"/>
      <w:marTop w:val="0"/>
      <w:marBottom w:val="0"/>
      <w:divBdr>
        <w:top w:val="none" w:sz="0" w:space="0" w:color="auto"/>
        <w:left w:val="none" w:sz="0" w:space="0" w:color="auto"/>
        <w:bottom w:val="none" w:sz="0" w:space="0" w:color="auto"/>
        <w:right w:val="none" w:sz="0" w:space="0" w:color="auto"/>
      </w:divBdr>
    </w:div>
    <w:div w:id="461582898">
      <w:bodyDiv w:val="1"/>
      <w:marLeft w:val="0"/>
      <w:marRight w:val="0"/>
      <w:marTop w:val="0"/>
      <w:marBottom w:val="0"/>
      <w:divBdr>
        <w:top w:val="none" w:sz="0" w:space="0" w:color="auto"/>
        <w:left w:val="none" w:sz="0" w:space="0" w:color="auto"/>
        <w:bottom w:val="none" w:sz="0" w:space="0" w:color="auto"/>
        <w:right w:val="none" w:sz="0" w:space="0" w:color="auto"/>
      </w:divBdr>
    </w:div>
    <w:div w:id="463276297">
      <w:bodyDiv w:val="1"/>
      <w:marLeft w:val="0"/>
      <w:marRight w:val="0"/>
      <w:marTop w:val="0"/>
      <w:marBottom w:val="0"/>
      <w:divBdr>
        <w:top w:val="none" w:sz="0" w:space="0" w:color="auto"/>
        <w:left w:val="none" w:sz="0" w:space="0" w:color="auto"/>
        <w:bottom w:val="none" w:sz="0" w:space="0" w:color="auto"/>
        <w:right w:val="none" w:sz="0" w:space="0" w:color="auto"/>
      </w:divBdr>
    </w:div>
    <w:div w:id="465244109">
      <w:bodyDiv w:val="1"/>
      <w:marLeft w:val="0"/>
      <w:marRight w:val="0"/>
      <w:marTop w:val="0"/>
      <w:marBottom w:val="0"/>
      <w:divBdr>
        <w:top w:val="none" w:sz="0" w:space="0" w:color="auto"/>
        <w:left w:val="none" w:sz="0" w:space="0" w:color="auto"/>
        <w:bottom w:val="none" w:sz="0" w:space="0" w:color="auto"/>
        <w:right w:val="none" w:sz="0" w:space="0" w:color="auto"/>
      </w:divBdr>
    </w:div>
    <w:div w:id="466166085">
      <w:bodyDiv w:val="1"/>
      <w:marLeft w:val="0"/>
      <w:marRight w:val="0"/>
      <w:marTop w:val="0"/>
      <w:marBottom w:val="0"/>
      <w:divBdr>
        <w:top w:val="none" w:sz="0" w:space="0" w:color="auto"/>
        <w:left w:val="none" w:sz="0" w:space="0" w:color="auto"/>
        <w:bottom w:val="none" w:sz="0" w:space="0" w:color="auto"/>
        <w:right w:val="none" w:sz="0" w:space="0" w:color="auto"/>
      </w:divBdr>
    </w:div>
    <w:div w:id="471751887">
      <w:bodyDiv w:val="1"/>
      <w:marLeft w:val="0"/>
      <w:marRight w:val="0"/>
      <w:marTop w:val="0"/>
      <w:marBottom w:val="0"/>
      <w:divBdr>
        <w:top w:val="none" w:sz="0" w:space="0" w:color="auto"/>
        <w:left w:val="none" w:sz="0" w:space="0" w:color="auto"/>
        <w:bottom w:val="none" w:sz="0" w:space="0" w:color="auto"/>
        <w:right w:val="none" w:sz="0" w:space="0" w:color="auto"/>
      </w:divBdr>
    </w:div>
    <w:div w:id="472217736">
      <w:bodyDiv w:val="1"/>
      <w:marLeft w:val="0"/>
      <w:marRight w:val="0"/>
      <w:marTop w:val="0"/>
      <w:marBottom w:val="0"/>
      <w:divBdr>
        <w:top w:val="none" w:sz="0" w:space="0" w:color="auto"/>
        <w:left w:val="none" w:sz="0" w:space="0" w:color="auto"/>
        <w:bottom w:val="none" w:sz="0" w:space="0" w:color="auto"/>
        <w:right w:val="none" w:sz="0" w:space="0" w:color="auto"/>
      </w:divBdr>
    </w:div>
    <w:div w:id="479080771">
      <w:bodyDiv w:val="1"/>
      <w:marLeft w:val="0"/>
      <w:marRight w:val="0"/>
      <w:marTop w:val="0"/>
      <w:marBottom w:val="0"/>
      <w:divBdr>
        <w:top w:val="none" w:sz="0" w:space="0" w:color="auto"/>
        <w:left w:val="none" w:sz="0" w:space="0" w:color="auto"/>
        <w:bottom w:val="none" w:sz="0" w:space="0" w:color="auto"/>
        <w:right w:val="none" w:sz="0" w:space="0" w:color="auto"/>
      </w:divBdr>
    </w:div>
    <w:div w:id="480198767">
      <w:bodyDiv w:val="1"/>
      <w:marLeft w:val="0"/>
      <w:marRight w:val="0"/>
      <w:marTop w:val="0"/>
      <w:marBottom w:val="0"/>
      <w:divBdr>
        <w:top w:val="none" w:sz="0" w:space="0" w:color="auto"/>
        <w:left w:val="none" w:sz="0" w:space="0" w:color="auto"/>
        <w:bottom w:val="none" w:sz="0" w:space="0" w:color="auto"/>
        <w:right w:val="none" w:sz="0" w:space="0" w:color="auto"/>
      </w:divBdr>
    </w:div>
    <w:div w:id="481778294">
      <w:bodyDiv w:val="1"/>
      <w:marLeft w:val="0"/>
      <w:marRight w:val="0"/>
      <w:marTop w:val="0"/>
      <w:marBottom w:val="0"/>
      <w:divBdr>
        <w:top w:val="none" w:sz="0" w:space="0" w:color="auto"/>
        <w:left w:val="none" w:sz="0" w:space="0" w:color="auto"/>
        <w:bottom w:val="none" w:sz="0" w:space="0" w:color="auto"/>
        <w:right w:val="none" w:sz="0" w:space="0" w:color="auto"/>
      </w:divBdr>
    </w:div>
    <w:div w:id="482620354">
      <w:bodyDiv w:val="1"/>
      <w:marLeft w:val="0"/>
      <w:marRight w:val="0"/>
      <w:marTop w:val="0"/>
      <w:marBottom w:val="0"/>
      <w:divBdr>
        <w:top w:val="none" w:sz="0" w:space="0" w:color="auto"/>
        <w:left w:val="none" w:sz="0" w:space="0" w:color="auto"/>
        <w:bottom w:val="none" w:sz="0" w:space="0" w:color="auto"/>
        <w:right w:val="none" w:sz="0" w:space="0" w:color="auto"/>
      </w:divBdr>
    </w:div>
    <w:div w:id="483475557">
      <w:bodyDiv w:val="1"/>
      <w:marLeft w:val="0"/>
      <w:marRight w:val="0"/>
      <w:marTop w:val="0"/>
      <w:marBottom w:val="0"/>
      <w:divBdr>
        <w:top w:val="none" w:sz="0" w:space="0" w:color="auto"/>
        <w:left w:val="none" w:sz="0" w:space="0" w:color="auto"/>
        <w:bottom w:val="none" w:sz="0" w:space="0" w:color="auto"/>
        <w:right w:val="none" w:sz="0" w:space="0" w:color="auto"/>
      </w:divBdr>
    </w:div>
    <w:div w:id="494344318">
      <w:bodyDiv w:val="1"/>
      <w:marLeft w:val="0"/>
      <w:marRight w:val="0"/>
      <w:marTop w:val="0"/>
      <w:marBottom w:val="0"/>
      <w:divBdr>
        <w:top w:val="none" w:sz="0" w:space="0" w:color="auto"/>
        <w:left w:val="none" w:sz="0" w:space="0" w:color="auto"/>
        <w:bottom w:val="none" w:sz="0" w:space="0" w:color="auto"/>
        <w:right w:val="none" w:sz="0" w:space="0" w:color="auto"/>
      </w:divBdr>
    </w:div>
    <w:div w:id="501091574">
      <w:bodyDiv w:val="1"/>
      <w:marLeft w:val="0"/>
      <w:marRight w:val="0"/>
      <w:marTop w:val="0"/>
      <w:marBottom w:val="0"/>
      <w:divBdr>
        <w:top w:val="none" w:sz="0" w:space="0" w:color="auto"/>
        <w:left w:val="none" w:sz="0" w:space="0" w:color="auto"/>
        <w:bottom w:val="none" w:sz="0" w:space="0" w:color="auto"/>
        <w:right w:val="none" w:sz="0" w:space="0" w:color="auto"/>
      </w:divBdr>
    </w:div>
    <w:div w:id="502203918">
      <w:bodyDiv w:val="1"/>
      <w:marLeft w:val="0"/>
      <w:marRight w:val="0"/>
      <w:marTop w:val="0"/>
      <w:marBottom w:val="0"/>
      <w:divBdr>
        <w:top w:val="none" w:sz="0" w:space="0" w:color="auto"/>
        <w:left w:val="none" w:sz="0" w:space="0" w:color="auto"/>
        <w:bottom w:val="none" w:sz="0" w:space="0" w:color="auto"/>
        <w:right w:val="none" w:sz="0" w:space="0" w:color="auto"/>
      </w:divBdr>
    </w:div>
    <w:div w:id="508643497">
      <w:bodyDiv w:val="1"/>
      <w:marLeft w:val="0"/>
      <w:marRight w:val="0"/>
      <w:marTop w:val="0"/>
      <w:marBottom w:val="0"/>
      <w:divBdr>
        <w:top w:val="none" w:sz="0" w:space="0" w:color="auto"/>
        <w:left w:val="none" w:sz="0" w:space="0" w:color="auto"/>
        <w:bottom w:val="none" w:sz="0" w:space="0" w:color="auto"/>
        <w:right w:val="none" w:sz="0" w:space="0" w:color="auto"/>
      </w:divBdr>
    </w:div>
    <w:div w:id="514807359">
      <w:bodyDiv w:val="1"/>
      <w:marLeft w:val="0"/>
      <w:marRight w:val="0"/>
      <w:marTop w:val="0"/>
      <w:marBottom w:val="0"/>
      <w:divBdr>
        <w:top w:val="none" w:sz="0" w:space="0" w:color="auto"/>
        <w:left w:val="none" w:sz="0" w:space="0" w:color="auto"/>
        <w:bottom w:val="none" w:sz="0" w:space="0" w:color="auto"/>
        <w:right w:val="none" w:sz="0" w:space="0" w:color="auto"/>
      </w:divBdr>
    </w:div>
    <w:div w:id="523328483">
      <w:bodyDiv w:val="1"/>
      <w:marLeft w:val="0"/>
      <w:marRight w:val="0"/>
      <w:marTop w:val="0"/>
      <w:marBottom w:val="0"/>
      <w:divBdr>
        <w:top w:val="none" w:sz="0" w:space="0" w:color="auto"/>
        <w:left w:val="none" w:sz="0" w:space="0" w:color="auto"/>
        <w:bottom w:val="none" w:sz="0" w:space="0" w:color="auto"/>
        <w:right w:val="none" w:sz="0" w:space="0" w:color="auto"/>
      </w:divBdr>
    </w:div>
    <w:div w:id="532304744">
      <w:bodyDiv w:val="1"/>
      <w:marLeft w:val="0"/>
      <w:marRight w:val="0"/>
      <w:marTop w:val="0"/>
      <w:marBottom w:val="0"/>
      <w:divBdr>
        <w:top w:val="none" w:sz="0" w:space="0" w:color="auto"/>
        <w:left w:val="none" w:sz="0" w:space="0" w:color="auto"/>
        <w:bottom w:val="none" w:sz="0" w:space="0" w:color="auto"/>
        <w:right w:val="none" w:sz="0" w:space="0" w:color="auto"/>
      </w:divBdr>
    </w:div>
    <w:div w:id="538053600">
      <w:bodyDiv w:val="1"/>
      <w:marLeft w:val="0"/>
      <w:marRight w:val="0"/>
      <w:marTop w:val="0"/>
      <w:marBottom w:val="0"/>
      <w:divBdr>
        <w:top w:val="none" w:sz="0" w:space="0" w:color="auto"/>
        <w:left w:val="none" w:sz="0" w:space="0" w:color="auto"/>
        <w:bottom w:val="none" w:sz="0" w:space="0" w:color="auto"/>
        <w:right w:val="none" w:sz="0" w:space="0" w:color="auto"/>
      </w:divBdr>
    </w:div>
    <w:div w:id="543375552">
      <w:bodyDiv w:val="1"/>
      <w:marLeft w:val="0"/>
      <w:marRight w:val="0"/>
      <w:marTop w:val="0"/>
      <w:marBottom w:val="0"/>
      <w:divBdr>
        <w:top w:val="none" w:sz="0" w:space="0" w:color="auto"/>
        <w:left w:val="none" w:sz="0" w:space="0" w:color="auto"/>
        <w:bottom w:val="none" w:sz="0" w:space="0" w:color="auto"/>
        <w:right w:val="none" w:sz="0" w:space="0" w:color="auto"/>
      </w:divBdr>
    </w:div>
    <w:div w:id="546767438">
      <w:bodyDiv w:val="1"/>
      <w:marLeft w:val="0"/>
      <w:marRight w:val="0"/>
      <w:marTop w:val="0"/>
      <w:marBottom w:val="0"/>
      <w:divBdr>
        <w:top w:val="none" w:sz="0" w:space="0" w:color="auto"/>
        <w:left w:val="none" w:sz="0" w:space="0" w:color="auto"/>
        <w:bottom w:val="none" w:sz="0" w:space="0" w:color="auto"/>
        <w:right w:val="none" w:sz="0" w:space="0" w:color="auto"/>
      </w:divBdr>
    </w:div>
    <w:div w:id="552041865">
      <w:bodyDiv w:val="1"/>
      <w:marLeft w:val="0"/>
      <w:marRight w:val="0"/>
      <w:marTop w:val="0"/>
      <w:marBottom w:val="0"/>
      <w:divBdr>
        <w:top w:val="none" w:sz="0" w:space="0" w:color="auto"/>
        <w:left w:val="none" w:sz="0" w:space="0" w:color="auto"/>
        <w:bottom w:val="none" w:sz="0" w:space="0" w:color="auto"/>
        <w:right w:val="none" w:sz="0" w:space="0" w:color="auto"/>
      </w:divBdr>
    </w:div>
    <w:div w:id="565263509">
      <w:bodyDiv w:val="1"/>
      <w:marLeft w:val="0"/>
      <w:marRight w:val="0"/>
      <w:marTop w:val="0"/>
      <w:marBottom w:val="0"/>
      <w:divBdr>
        <w:top w:val="none" w:sz="0" w:space="0" w:color="auto"/>
        <w:left w:val="none" w:sz="0" w:space="0" w:color="auto"/>
        <w:bottom w:val="none" w:sz="0" w:space="0" w:color="auto"/>
        <w:right w:val="none" w:sz="0" w:space="0" w:color="auto"/>
      </w:divBdr>
    </w:div>
    <w:div w:id="576014572">
      <w:bodyDiv w:val="1"/>
      <w:marLeft w:val="0"/>
      <w:marRight w:val="0"/>
      <w:marTop w:val="0"/>
      <w:marBottom w:val="0"/>
      <w:divBdr>
        <w:top w:val="none" w:sz="0" w:space="0" w:color="auto"/>
        <w:left w:val="none" w:sz="0" w:space="0" w:color="auto"/>
        <w:bottom w:val="none" w:sz="0" w:space="0" w:color="auto"/>
        <w:right w:val="none" w:sz="0" w:space="0" w:color="auto"/>
      </w:divBdr>
    </w:div>
    <w:div w:id="577447794">
      <w:bodyDiv w:val="1"/>
      <w:marLeft w:val="0"/>
      <w:marRight w:val="0"/>
      <w:marTop w:val="0"/>
      <w:marBottom w:val="0"/>
      <w:divBdr>
        <w:top w:val="none" w:sz="0" w:space="0" w:color="auto"/>
        <w:left w:val="none" w:sz="0" w:space="0" w:color="auto"/>
        <w:bottom w:val="none" w:sz="0" w:space="0" w:color="auto"/>
        <w:right w:val="none" w:sz="0" w:space="0" w:color="auto"/>
      </w:divBdr>
    </w:div>
    <w:div w:id="581767492">
      <w:bodyDiv w:val="1"/>
      <w:marLeft w:val="0"/>
      <w:marRight w:val="0"/>
      <w:marTop w:val="0"/>
      <w:marBottom w:val="0"/>
      <w:divBdr>
        <w:top w:val="none" w:sz="0" w:space="0" w:color="auto"/>
        <w:left w:val="none" w:sz="0" w:space="0" w:color="auto"/>
        <w:bottom w:val="none" w:sz="0" w:space="0" w:color="auto"/>
        <w:right w:val="none" w:sz="0" w:space="0" w:color="auto"/>
      </w:divBdr>
    </w:div>
    <w:div w:id="586574974">
      <w:bodyDiv w:val="1"/>
      <w:marLeft w:val="0"/>
      <w:marRight w:val="0"/>
      <w:marTop w:val="0"/>
      <w:marBottom w:val="0"/>
      <w:divBdr>
        <w:top w:val="none" w:sz="0" w:space="0" w:color="auto"/>
        <w:left w:val="none" w:sz="0" w:space="0" w:color="auto"/>
        <w:bottom w:val="none" w:sz="0" w:space="0" w:color="auto"/>
        <w:right w:val="none" w:sz="0" w:space="0" w:color="auto"/>
      </w:divBdr>
    </w:div>
    <w:div w:id="594629130">
      <w:bodyDiv w:val="1"/>
      <w:marLeft w:val="0"/>
      <w:marRight w:val="0"/>
      <w:marTop w:val="0"/>
      <w:marBottom w:val="0"/>
      <w:divBdr>
        <w:top w:val="none" w:sz="0" w:space="0" w:color="auto"/>
        <w:left w:val="none" w:sz="0" w:space="0" w:color="auto"/>
        <w:bottom w:val="none" w:sz="0" w:space="0" w:color="auto"/>
        <w:right w:val="none" w:sz="0" w:space="0" w:color="auto"/>
      </w:divBdr>
    </w:div>
    <w:div w:id="599678714">
      <w:bodyDiv w:val="1"/>
      <w:marLeft w:val="0"/>
      <w:marRight w:val="0"/>
      <w:marTop w:val="0"/>
      <w:marBottom w:val="0"/>
      <w:divBdr>
        <w:top w:val="none" w:sz="0" w:space="0" w:color="auto"/>
        <w:left w:val="none" w:sz="0" w:space="0" w:color="auto"/>
        <w:bottom w:val="none" w:sz="0" w:space="0" w:color="auto"/>
        <w:right w:val="none" w:sz="0" w:space="0" w:color="auto"/>
      </w:divBdr>
    </w:div>
    <w:div w:id="601232536">
      <w:bodyDiv w:val="1"/>
      <w:marLeft w:val="0"/>
      <w:marRight w:val="0"/>
      <w:marTop w:val="0"/>
      <w:marBottom w:val="0"/>
      <w:divBdr>
        <w:top w:val="none" w:sz="0" w:space="0" w:color="auto"/>
        <w:left w:val="none" w:sz="0" w:space="0" w:color="auto"/>
        <w:bottom w:val="none" w:sz="0" w:space="0" w:color="auto"/>
        <w:right w:val="none" w:sz="0" w:space="0" w:color="auto"/>
      </w:divBdr>
    </w:div>
    <w:div w:id="601498274">
      <w:bodyDiv w:val="1"/>
      <w:marLeft w:val="0"/>
      <w:marRight w:val="0"/>
      <w:marTop w:val="0"/>
      <w:marBottom w:val="0"/>
      <w:divBdr>
        <w:top w:val="none" w:sz="0" w:space="0" w:color="auto"/>
        <w:left w:val="none" w:sz="0" w:space="0" w:color="auto"/>
        <w:bottom w:val="none" w:sz="0" w:space="0" w:color="auto"/>
        <w:right w:val="none" w:sz="0" w:space="0" w:color="auto"/>
      </w:divBdr>
    </w:div>
    <w:div w:id="603850711">
      <w:bodyDiv w:val="1"/>
      <w:marLeft w:val="0"/>
      <w:marRight w:val="0"/>
      <w:marTop w:val="0"/>
      <w:marBottom w:val="0"/>
      <w:divBdr>
        <w:top w:val="none" w:sz="0" w:space="0" w:color="auto"/>
        <w:left w:val="none" w:sz="0" w:space="0" w:color="auto"/>
        <w:bottom w:val="none" w:sz="0" w:space="0" w:color="auto"/>
        <w:right w:val="none" w:sz="0" w:space="0" w:color="auto"/>
      </w:divBdr>
    </w:div>
    <w:div w:id="606737226">
      <w:bodyDiv w:val="1"/>
      <w:marLeft w:val="0"/>
      <w:marRight w:val="0"/>
      <w:marTop w:val="0"/>
      <w:marBottom w:val="0"/>
      <w:divBdr>
        <w:top w:val="none" w:sz="0" w:space="0" w:color="auto"/>
        <w:left w:val="none" w:sz="0" w:space="0" w:color="auto"/>
        <w:bottom w:val="none" w:sz="0" w:space="0" w:color="auto"/>
        <w:right w:val="none" w:sz="0" w:space="0" w:color="auto"/>
      </w:divBdr>
    </w:div>
    <w:div w:id="611477562">
      <w:bodyDiv w:val="1"/>
      <w:marLeft w:val="0"/>
      <w:marRight w:val="0"/>
      <w:marTop w:val="0"/>
      <w:marBottom w:val="0"/>
      <w:divBdr>
        <w:top w:val="none" w:sz="0" w:space="0" w:color="auto"/>
        <w:left w:val="none" w:sz="0" w:space="0" w:color="auto"/>
        <w:bottom w:val="none" w:sz="0" w:space="0" w:color="auto"/>
        <w:right w:val="none" w:sz="0" w:space="0" w:color="auto"/>
      </w:divBdr>
    </w:div>
    <w:div w:id="622033199">
      <w:bodyDiv w:val="1"/>
      <w:marLeft w:val="0"/>
      <w:marRight w:val="0"/>
      <w:marTop w:val="0"/>
      <w:marBottom w:val="0"/>
      <w:divBdr>
        <w:top w:val="none" w:sz="0" w:space="0" w:color="auto"/>
        <w:left w:val="none" w:sz="0" w:space="0" w:color="auto"/>
        <w:bottom w:val="none" w:sz="0" w:space="0" w:color="auto"/>
        <w:right w:val="none" w:sz="0" w:space="0" w:color="auto"/>
      </w:divBdr>
    </w:div>
    <w:div w:id="623732228">
      <w:bodyDiv w:val="1"/>
      <w:marLeft w:val="0"/>
      <w:marRight w:val="0"/>
      <w:marTop w:val="0"/>
      <w:marBottom w:val="0"/>
      <w:divBdr>
        <w:top w:val="none" w:sz="0" w:space="0" w:color="auto"/>
        <w:left w:val="none" w:sz="0" w:space="0" w:color="auto"/>
        <w:bottom w:val="none" w:sz="0" w:space="0" w:color="auto"/>
        <w:right w:val="none" w:sz="0" w:space="0" w:color="auto"/>
      </w:divBdr>
    </w:div>
    <w:div w:id="635797053">
      <w:bodyDiv w:val="1"/>
      <w:marLeft w:val="0"/>
      <w:marRight w:val="0"/>
      <w:marTop w:val="0"/>
      <w:marBottom w:val="0"/>
      <w:divBdr>
        <w:top w:val="none" w:sz="0" w:space="0" w:color="auto"/>
        <w:left w:val="none" w:sz="0" w:space="0" w:color="auto"/>
        <w:bottom w:val="none" w:sz="0" w:space="0" w:color="auto"/>
        <w:right w:val="none" w:sz="0" w:space="0" w:color="auto"/>
      </w:divBdr>
    </w:div>
    <w:div w:id="652875476">
      <w:bodyDiv w:val="1"/>
      <w:marLeft w:val="0"/>
      <w:marRight w:val="0"/>
      <w:marTop w:val="0"/>
      <w:marBottom w:val="0"/>
      <w:divBdr>
        <w:top w:val="none" w:sz="0" w:space="0" w:color="auto"/>
        <w:left w:val="none" w:sz="0" w:space="0" w:color="auto"/>
        <w:bottom w:val="none" w:sz="0" w:space="0" w:color="auto"/>
        <w:right w:val="none" w:sz="0" w:space="0" w:color="auto"/>
      </w:divBdr>
    </w:div>
    <w:div w:id="658003280">
      <w:bodyDiv w:val="1"/>
      <w:marLeft w:val="0"/>
      <w:marRight w:val="0"/>
      <w:marTop w:val="0"/>
      <w:marBottom w:val="0"/>
      <w:divBdr>
        <w:top w:val="none" w:sz="0" w:space="0" w:color="auto"/>
        <w:left w:val="none" w:sz="0" w:space="0" w:color="auto"/>
        <w:bottom w:val="none" w:sz="0" w:space="0" w:color="auto"/>
        <w:right w:val="none" w:sz="0" w:space="0" w:color="auto"/>
      </w:divBdr>
    </w:div>
    <w:div w:id="664867104">
      <w:bodyDiv w:val="1"/>
      <w:marLeft w:val="0"/>
      <w:marRight w:val="0"/>
      <w:marTop w:val="0"/>
      <w:marBottom w:val="0"/>
      <w:divBdr>
        <w:top w:val="none" w:sz="0" w:space="0" w:color="auto"/>
        <w:left w:val="none" w:sz="0" w:space="0" w:color="auto"/>
        <w:bottom w:val="none" w:sz="0" w:space="0" w:color="auto"/>
        <w:right w:val="none" w:sz="0" w:space="0" w:color="auto"/>
      </w:divBdr>
    </w:div>
    <w:div w:id="665745988">
      <w:bodyDiv w:val="1"/>
      <w:marLeft w:val="0"/>
      <w:marRight w:val="0"/>
      <w:marTop w:val="0"/>
      <w:marBottom w:val="0"/>
      <w:divBdr>
        <w:top w:val="none" w:sz="0" w:space="0" w:color="auto"/>
        <w:left w:val="none" w:sz="0" w:space="0" w:color="auto"/>
        <w:bottom w:val="none" w:sz="0" w:space="0" w:color="auto"/>
        <w:right w:val="none" w:sz="0" w:space="0" w:color="auto"/>
      </w:divBdr>
    </w:div>
    <w:div w:id="668410635">
      <w:bodyDiv w:val="1"/>
      <w:marLeft w:val="0"/>
      <w:marRight w:val="0"/>
      <w:marTop w:val="0"/>
      <w:marBottom w:val="0"/>
      <w:divBdr>
        <w:top w:val="none" w:sz="0" w:space="0" w:color="auto"/>
        <w:left w:val="none" w:sz="0" w:space="0" w:color="auto"/>
        <w:bottom w:val="none" w:sz="0" w:space="0" w:color="auto"/>
        <w:right w:val="none" w:sz="0" w:space="0" w:color="auto"/>
      </w:divBdr>
    </w:div>
    <w:div w:id="675226066">
      <w:bodyDiv w:val="1"/>
      <w:marLeft w:val="0"/>
      <w:marRight w:val="0"/>
      <w:marTop w:val="0"/>
      <w:marBottom w:val="0"/>
      <w:divBdr>
        <w:top w:val="none" w:sz="0" w:space="0" w:color="auto"/>
        <w:left w:val="none" w:sz="0" w:space="0" w:color="auto"/>
        <w:bottom w:val="none" w:sz="0" w:space="0" w:color="auto"/>
        <w:right w:val="none" w:sz="0" w:space="0" w:color="auto"/>
      </w:divBdr>
    </w:div>
    <w:div w:id="678850052">
      <w:bodyDiv w:val="1"/>
      <w:marLeft w:val="0"/>
      <w:marRight w:val="0"/>
      <w:marTop w:val="0"/>
      <w:marBottom w:val="0"/>
      <w:divBdr>
        <w:top w:val="none" w:sz="0" w:space="0" w:color="auto"/>
        <w:left w:val="none" w:sz="0" w:space="0" w:color="auto"/>
        <w:bottom w:val="none" w:sz="0" w:space="0" w:color="auto"/>
        <w:right w:val="none" w:sz="0" w:space="0" w:color="auto"/>
      </w:divBdr>
    </w:div>
    <w:div w:id="679628891">
      <w:bodyDiv w:val="1"/>
      <w:marLeft w:val="0"/>
      <w:marRight w:val="0"/>
      <w:marTop w:val="0"/>
      <w:marBottom w:val="0"/>
      <w:divBdr>
        <w:top w:val="none" w:sz="0" w:space="0" w:color="auto"/>
        <w:left w:val="none" w:sz="0" w:space="0" w:color="auto"/>
        <w:bottom w:val="none" w:sz="0" w:space="0" w:color="auto"/>
        <w:right w:val="none" w:sz="0" w:space="0" w:color="auto"/>
      </w:divBdr>
    </w:div>
    <w:div w:id="681853820">
      <w:bodyDiv w:val="1"/>
      <w:marLeft w:val="0"/>
      <w:marRight w:val="0"/>
      <w:marTop w:val="0"/>
      <w:marBottom w:val="0"/>
      <w:divBdr>
        <w:top w:val="none" w:sz="0" w:space="0" w:color="auto"/>
        <w:left w:val="none" w:sz="0" w:space="0" w:color="auto"/>
        <w:bottom w:val="none" w:sz="0" w:space="0" w:color="auto"/>
        <w:right w:val="none" w:sz="0" w:space="0" w:color="auto"/>
      </w:divBdr>
    </w:div>
    <w:div w:id="682248703">
      <w:bodyDiv w:val="1"/>
      <w:marLeft w:val="0"/>
      <w:marRight w:val="0"/>
      <w:marTop w:val="0"/>
      <w:marBottom w:val="0"/>
      <w:divBdr>
        <w:top w:val="none" w:sz="0" w:space="0" w:color="auto"/>
        <w:left w:val="none" w:sz="0" w:space="0" w:color="auto"/>
        <w:bottom w:val="none" w:sz="0" w:space="0" w:color="auto"/>
        <w:right w:val="none" w:sz="0" w:space="0" w:color="auto"/>
      </w:divBdr>
    </w:div>
    <w:div w:id="685442696">
      <w:bodyDiv w:val="1"/>
      <w:marLeft w:val="0"/>
      <w:marRight w:val="0"/>
      <w:marTop w:val="0"/>
      <w:marBottom w:val="0"/>
      <w:divBdr>
        <w:top w:val="none" w:sz="0" w:space="0" w:color="auto"/>
        <w:left w:val="none" w:sz="0" w:space="0" w:color="auto"/>
        <w:bottom w:val="none" w:sz="0" w:space="0" w:color="auto"/>
        <w:right w:val="none" w:sz="0" w:space="0" w:color="auto"/>
      </w:divBdr>
    </w:div>
    <w:div w:id="686756412">
      <w:bodyDiv w:val="1"/>
      <w:marLeft w:val="0"/>
      <w:marRight w:val="0"/>
      <w:marTop w:val="0"/>
      <w:marBottom w:val="0"/>
      <w:divBdr>
        <w:top w:val="none" w:sz="0" w:space="0" w:color="auto"/>
        <w:left w:val="none" w:sz="0" w:space="0" w:color="auto"/>
        <w:bottom w:val="none" w:sz="0" w:space="0" w:color="auto"/>
        <w:right w:val="none" w:sz="0" w:space="0" w:color="auto"/>
      </w:divBdr>
    </w:div>
    <w:div w:id="695304175">
      <w:bodyDiv w:val="1"/>
      <w:marLeft w:val="0"/>
      <w:marRight w:val="0"/>
      <w:marTop w:val="0"/>
      <w:marBottom w:val="0"/>
      <w:divBdr>
        <w:top w:val="none" w:sz="0" w:space="0" w:color="auto"/>
        <w:left w:val="none" w:sz="0" w:space="0" w:color="auto"/>
        <w:bottom w:val="none" w:sz="0" w:space="0" w:color="auto"/>
        <w:right w:val="none" w:sz="0" w:space="0" w:color="auto"/>
      </w:divBdr>
    </w:div>
    <w:div w:id="696584022">
      <w:bodyDiv w:val="1"/>
      <w:marLeft w:val="0"/>
      <w:marRight w:val="0"/>
      <w:marTop w:val="0"/>
      <w:marBottom w:val="0"/>
      <w:divBdr>
        <w:top w:val="none" w:sz="0" w:space="0" w:color="auto"/>
        <w:left w:val="none" w:sz="0" w:space="0" w:color="auto"/>
        <w:bottom w:val="none" w:sz="0" w:space="0" w:color="auto"/>
        <w:right w:val="none" w:sz="0" w:space="0" w:color="auto"/>
      </w:divBdr>
    </w:div>
    <w:div w:id="699816176">
      <w:bodyDiv w:val="1"/>
      <w:marLeft w:val="0"/>
      <w:marRight w:val="0"/>
      <w:marTop w:val="0"/>
      <w:marBottom w:val="0"/>
      <w:divBdr>
        <w:top w:val="none" w:sz="0" w:space="0" w:color="auto"/>
        <w:left w:val="none" w:sz="0" w:space="0" w:color="auto"/>
        <w:bottom w:val="none" w:sz="0" w:space="0" w:color="auto"/>
        <w:right w:val="none" w:sz="0" w:space="0" w:color="auto"/>
      </w:divBdr>
    </w:div>
    <w:div w:id="700514415">
      <w:bodyDiv w:val="1"/>
      <w:marLeft w:val="0"/>
      <w:marRight w:val="0"/>
      <w:marTop w:val="0"/>
      <w:marBottom w:val="0"/>
      <w:divBdr>
        <w:top w:val="none" w:sz="0" w:space="0" w:color="auto"/>
        <w:left w:val="none" w:sz="0" w:space="0" w:color="auto"/>
        <w:bottom w:val="none" w:sz="0" w:space="0" w:color="auto"/>
        <w:right w:val="none" w:sz="0" w:space="0" w:color="auto"/>
      </w:divBdr>
    </w:div>
    <w:div w:id="703672983">
      <w:bodyDiv w:val="1"/>
      <w:marLeft w:val="0"/>
      <w:marRight w:val="0"/>
      <w:marTop w:val="0"/>
      <w:marBottom w:val="0"/>
      <w:divBdr>
        <w:top w:val="none" w:sz="0" w:space="0" w:color="auto"/>
        <w:left w:val="none" w:sz="0" w:space="0" w:color="auto"/>
        <w:bottom w:val="none" w:sz="0" w:space="0" w:color="auto"/>
        <w:right w:val="none" w:sz="0" w:space="0" w:color="auto"/>
      </w:divBdr>
    </w:div>
    <w:div w:id="711655683">
      <w:bodyDiv w:val="1"/>
      <w:marLeft w:val="0"/>
      <w:marRight w:val="0"/>
      <w:marTop w:val="0"/>
      <w:marBottom w:val="0"/>
      <w:divBdr>
        <w:top w:val="none" w:sz="0" w:space="0" w:color="auto"/>
        <w:left w:val="none" w:sz="0" w:space="0" w:color="auto"/>
        <w:bottom w:val="none" w:sz="0" w:space="0" w:color="auto"/>
        <w:right w:val="none" w:sz="0" w:space="0" w:color="auto"/>
      </w:divBdr>
    </w:div>
    <w:div w:id="713429724">
      <w:bodyDiv w:val="1"/>
      <w:marLeft w:val="0"/>
      <w:marRight w:val="0"/>
      <w:marTop w:val="0"/>
      <w:marBottom w:val="0"/>
      <w:divBdr>
        <w:top w:val="none" w:sz="0" w:space="0" w:color="auto"/>
        <w:left w:val="none" w:sz="0" w:space="0" w:color="auto"/>
        <w:bottom w:val="none" w:sz="0" w:space="0" w:color="auto"/>
        <w:right w:val="none" w:sz="0" w:space="0" w:color="auto"/>
      </w:divBdr>
    </w:div>
    <w:div w:id="715545211">
      <w:bodyDiv w:val="1"/>
      <w:marLeft w:val="0"/>
      <w:marRight w:val="0"/>
      <w:marTop w:val="0"/>
      <w:marBottom w:val="0"/>
      <w:divBdr>
        <w:top w:val="none" w:sz="0" w:space="0" w:color="auto"/>
        <w:left w:val="none" w:sz="0" w:space="0" w:color="auto"/>
        <w:bottom w:val="none" w:sz="0" w:space="0" w:color="auto"/>
        <w:right w:val="none" w:sz="0" w:space="0" w:color="auto"/>
      </w:divBdr>
    </w:div>
    <w:div w:id="732628788">
      <w:bodyDiv w:val="1"/>
      <w:marLeft w:val="0"/>
      <w:marRight w:val="0"/>
      <w:marTop w:val="0"/>
      <w:marBottom w:val="0"/>
      <w:divBdr>
        <w:top w:val="none" w:sz="0" w:space="0" w:color="auto"/>
        <w:left w:val="none" w:sz="0" w:space="0" w:color="auto"/>
        <w:bottom w:val="none" w:sz="0" w:space="0" w:color="auto"/>
        <w:right w:val="none" w:sz="0" w:space="0" w:color="auto"/>
      </w:divBdr>
    </w:div>
    <w:div w:id="732891222">
      <w:bodyDiv w:val="1"/>
      <w:marLeft w:val="0"/>
      <w:marRight w:val="0"/>
      <w:marTop w:val="0"/>
      <w:marBottom w:val="0"/>
      <w:divBdr>
        <w:top w:val="none" w:sz="0" w:space="0" w:color="auto"/>
        <w:left w:val="none" w:sz="0" w:space="0" w:color="auto"/>
        <w:bottom w:val="none" w:sz="0" w:space="0" w:color="auto"/>
        <w:right w:val="none" w:sz="0" w:space="0" w:color="auto"/>
      </w:divBdr>
    </w:div>
    <w:div w:id="735130696">
      <w:bodyDiv w:val="1"/>
      <w:marLeft w:val="0"/>
      <w:marRight w:val="0"/>
      <w:marTop w:val="0"/>
      <w:marBottom w:val="0"/>
      <w:divBdr>
        <w:top w:val="none" w:sz="0" w:space="0" w:color="auto"/>
        <w:left w:val="none" w:sz="0" w:space="0" w:color="auto"/>
        <w:bottom w:val="none" w:sz="0" w:space="0" w:color="auto"/>
        <w:right w:val="none" w:sz="0" w:space="0" w:color="auto"/>
      </w:divBdr>
    </w:div>
    <w:div w:id="735862935">
      <w:bodyDiv w:val="1"/>
      <w:marLeft w:val="0"/>
      <w:marRight w:val="0"/>
      <w:marTop w:val="0"/>
      <w:marBottom w:val="0"/>
      <w:divBdr>
        <w:top w:val="none" w:sz="0" w:space="0" w:color="auto"/>
        <w:left w:val="none" w:sz="0" w:space="0" w:color="auto"/>
        <w:bottom w:val="none" w:sz="0" w:space="0" w:color="auto"/>
        <w:right w:val="none" w:sz="0" w:space="0" w:color="auto"/>
      </w:divBdr>
    </w:div>
    <w:div w:id="738819758">
      <w:bodyDiv w:val="1"/>
      <w:marLeft w:val="0"/>
      <w:marRight w:val="0"/>
      <w:marTop w:val="0"/>
      <w:marBottom w:val="0"/>
      <w:divBdr>
        <w:top w:val="none" w:sz="0" w:space="0" w:color="auto"/>
        <w:left w:val="none" w:sz="0" w:space="0" w:color="auto"/>
        <w:bottom w:val="none" w:sz="0" w:space="0" w:color="auto"/>
        <w:right w:val="none" w:sz="0" w:space="0" w:color="auto"/>
      </w:divBdr>
    </w:div>
    <w:div w:id="750394947">
      <w:bodyDiv w:val="1"/>
      <w:marLeft w:val="0"/>
      <w:marRight w:val="0"/>
      <w:marTop w:val="0"/>
      <w:marBottom w:val="0"/>
      <w:divBdr>
        <w:top w:val="none" w:sz="0" w:space="0" w:color="auto"/>
        <w:left w:val="none" w:sz="0" w:space="0" w:color="auto"/>
        <w:bottom w:val="none" w:sz="0" w:space="0" w:color="auto"/>
        <w:right w:val="none" w:sz="0" w:space="0" w:color="auto"/>
      </w:divBdr>
    </w:div>
    <w:div w:id="755591825">
      <w:bodyDiv w:val="1"/>
      <w:marLeft w:val="0"/>
      <w:marRight w:val="0"/>
      <w:marTop w:val="0"/>
      <w:marBottom w:val="0"/>
      <w:divBdr>
        <w:top w:val="none" w:sz="0" w:space="0" w:color="auto"/>
        <w:left w:val="none" w:sz="0" w:space="0" w:color="auto"/>
        <w:bottom w:val="none" w:sz="0" w:space="0" w:color="auto"/>
        <w:right w:val="none" w:sz="0" w:space="0" w:color="auto"/>
      </w:divBdr>
    </w:div>
    <w:div w:id="762453538">
      <w:bodyDiv w:val="1"/>
      <w:marLeft w:val="0"/>
      <w:marRight w:val="0"/>
      <w:marTop w:val="0"/>
      <w:marBottom w:val="0"/>
      <w:divBdr>
        <w:top w:val="none" w:sz="0" w:space="0" w:color="auto"/>
        <w:left w:val="none" w:sz="0" w:space="0" w:color="auto"/>
        <w:bottom w:val="none" w:sz="0" w:space="0" w:color="auto"/>
        <w:right w:val="none" w:sz="0" w:space="0" w:color="auto"/>
      </w:divBdr>
    </w:div>
    <w:div w:id="762796332">
      <w:bodyDiv w:val="1"/>
      <w:marLeft w:val="0"/>
      <w:marRight w:val="0"/>
      <w:marTop w:val="0"/>
      <w:marBottom w:val="0"/>
      <w:divBdr>
        <w:top w:val="none" w:sz="0" w:space="0" w:color="auto"/>
        <w:left w:val="none" w:sz="0" w:space="0" w:color="auto"/>
        <w:bottom w:val="none" w:sz="0" w:space="0" w:color="auto"/>
        <w:right w:val="none" w:sz="0" w:space="0" w:color="auto"/>
      </w:divBdr>
    </w:div>
    <w:div w:id="783309560">
      <w:bodyDiv w:val="1"/>
      <w:marLeft w:val="0"/>
      <w:marRight w:val="0"/>
      <w:marTop w:val="0"/>
      <w:marBottom w:val="0"/>
      <w:divBdr>
        <w:top w:val="none" w:sz="0" w:space="0" w:color="auto"/>
        <w:left w:val="none" w:sz="0" w:space="0" w:color="auto"/>
        <w:bottom w:val="none" w:sz="0" w:space="0" w:color="auto"/>
        <w:right w:val="none" w:sz="0" w:space="0" w:color="auto"/>
      </w:divBdr>
    </w:div>
    <w:div w:id="787116486">
      <w:bodyDiv w:val="1"/>
      <w:marLeft w:val="0"/>
      <w:marRight w:val="0"/>
      <w:marTop w:val="0"/>
      <w:marBottom w:val="0"/>
      <w:divBdr>
        <w:top w:val="none" w:sz="0" w:space="0" w:color="auto"/>
        <w:left w:val="none" w:sz="0" w:space="0" w:color="auto"/>
        <w:bottom w:val="none" w:sz="0" w:space="0" w:color="auto"/>
        <w:right w:val="none" w:sz="0" w:space="0" w:color="auto"/>
      </w:divBdr>
    </w:div>
    <w:div w:id="790364265">
      <w:bodyDiv w:val="1"/>
      <w:marLeft w:val="0"/>
      <w:marRight w:val="0"/>
      <w:marTop w:val="0"/>
      <w:marBottom w:val="0"/>
      <w:divBdr>
        <w:top w:val="none" w:sz="0" w:space="0" w:color="auto"/>
        <w:left w:val="none" w:sz="0" w:space="0" w:color="auto"/>
        <w:bottom w:val="none" w:sz="0" w:space="0" w:color="auto"/>
        <w:right w:val="none" w:sz="0" w:space="0" w:color="auto"/>
      </w:divBdr>
    </w:div>
    <w:div w:id="790977515">
      <w:bodyDiv w:val="1"/>
      <w:marLeft w:val="0"/>
      <w:marRight w:val="0"/>
      <w:marTop w:val="0"/>
      <w:marBottom w:val="0"/>
      <w:divBdr>
        <w:top w:val="none" w:sz="0" w:space="0" w:color="auto"/>
        <w:left w:val="none" w:sz="0" w:space="0" w:color="auto"/>
        <w:bottom w:val="none" w:sz="0" w:space="0" w:color="auto"/>
        <w:right w:val="none" w:sz="0" w:space="0" w:color="auto"/>
      </w:divBdr>
    </w:div>
    <w:div w:id="824473630">
      <w:bodyDiv w:val="1"/>
      <w:marLeft w:val="0"/>
      <w:marRight w:val="0"/>
      <w:marTop w:val="0"/>
      <w:marBottom w:val="0"/>
      <w:divBdr>
        <w:top w:val="none" w:sz="0" w:space="0" w:color="auto"/>
        <w:left w:val="none" w:sz="0" w:space="0" w:color="auto"/>
        <w:bottom w:val="none" w:sz="0" w:space="0" w:color="auto"/>
        <w:right w:val="none" w:sz="0" w:space="0" w:color="auto"/>
      </w:divBdr>
    </w:div>
    <w:div w:id="826475318">
      <w:bodyDiv w:val="1"/>
      <w:marLeft w:val="0"/>
      <w:marRight w:val="0"/>
      <w:marTop w:val="0"/>
      <w:marBottom w:val="0"/>
      <w:divBdr>
        <w:top w:val="none" w:sz="0" w:space="0" w:color="auto"/>
        <w:left w:val="none" w:sz="0" w:space="0" w:color="auto"/>
        <w:bottom w:val="none" w:sz="0" w:space="0" w:color="auto"/>
        <w:right w:val="none" w:sz="0" w:space="0" w:color="auto"/>
      </w:divBdr>
    </w:div>
    <w:div w:id="833034606">
      <w:bodyDiv w:val="1"/>
      <w:marLeft w:val="0"/>
      <w:marRight w:val="0"/>
      <w:marTop w:val="0"/>
      <w:marBottom w:val="0"/>
      <w:divBdr>
        <w:top w:val="none" w:sz="0" w:space="0" w:color="auto"/>
        <w:left w:val="none" w:sz="0" w:space="0" w:color="auto"/>
        <w:bottom w:val="none" w:sz="0" w:space="0" w:color="auto"/>
        <w:right w:val="none" w:sz="0" w:space="0" w:color="auto"/>
      </w:divBdr>
    </w:div>
    <w:div w:id="836263933">
      <w:bodyDiv w:val="1"/>
      <w:marLeft w:val="0"/>
      <w:marRight w:val="0"/>
      <w:marTop w:val="0"/>
      <w:marBottom w:val="0"/>
      <w:divBdr>
        <w:top w:val="none" w:sz="0" w:space="0" w:color="auto"/>
        <w:left w:val="none" w:sz="0" w:space="0" w:color="auto"/>
        <w:bottom w:val="none" w:sz="0" w:space="0" w:color="auto"/>
        <w:right w:val="none" w:sz="0" w:space="0" w:color="auto"/>
      </w:divBdr>
    </w:div>
    <w:div w:id="838691200">
      <w:bodyDiv w:val="1"/>
      <w:marLeft w:val="0"/>
      <w:marRight w:val="0"/>
      <w:marTop w:val="0"/>
      <w:marBottom w:val="0"/>
      <w:divBdr>
        <w:top w:val="none" w:sz="0" w:space="0" w:color="auto"/>
        <w:left w:val="none" w:sz="0" w:space="0" w:color="auto"/>
        <w:bottom w:val="none" w:sz="0" w:space="0" w:color="auto"/>
        <w:right w:val="none" w:sz="0" w:space="0" w:color="auto"/>
      </w:divBdr>
    </w:div>
    <w:div w:id="844637973">
      <w:bodyDiv w:val="1"/>
      <w:marLeft w:val="0"/>
      <w:marRight w:val="0"/>
      <w:marTop w:val="0"/>
      <w:marBottom w:val="0"/>
      <w:divBdr>
        <w:top w:val="none" w:sz="0" w:space="0" w:color="auto"/>
        <w:left w:val="none" w:sz="0" w:space="0" w:color="auto"/>
        <w:bottom w:val="none" w:sz="0" w:space="0" w:color="auto"/>
        <w:right w:val="none" w:sz="0" w:space="0" w:color="auto"/>
      </w:divBdr>
    </w:div>
    <w:div w:id="845830159">
      <w:bodyDiv w:val="1"/>
      <w:marLeft w:val="0"/>
      <w:marRight w:val="0"/>
      <w:marTop w:val="0"/>
      <w:marBottom w:val="0"/>
      <w:divBdr>
        <w:top w:val="none" w:sz="0" w:space="0" w:color="auto"/>
        <w:left w:val="none" w:sz="0" w:space="0" w:color="auto"/>
        <w:bottom w:val="none" w:sz="0" w:space="0" w:color="auto"/>
        <w:right w:val="none" w:sz="0" w:space="0" w:color="auto"/>
      </w:divBdr>
    </w:div>
    <w:div w:id="845901192">
      <w:bodyDiv w:val="1"/>
      <w:marLeft w:val="0"/>
      <w:marRight w:val="0"/>
      <w:marTop w:val="0"/>
      <w:marBottom w:val="0"/>
      <w:divBdr>
        <w:top w:val="none" w:sz="0" w:space="0" w:color="auto"/>
        <w:left w:val="none" w:sz="0" w:space="0" w:color="auto"/>
        <w:bottom w:val="none" w:sz="0" w:space="0" w:color="auto"/>
        <w:right w:val="none" w:sz="0" w:space="0" w:color="auto"/>
      </w:divBdr>
    </w:div>
    <w:div w:id="846214618">
      <w:bodyDiv w:val="1"/>
      <w:marLeft w:val="0"/>
      <w:marRight w:val="0"/>
      <w:marTop w:val="0"/>
      <w:marBottom w:val="0"/>
      <w:divBdr>
        <w:top w:val="none" w:sz="0" w:space="0" w:color="auto"/>
        <w:left w:val="none" w:sz="0" w:space="0" w:color="auto"/>
        <w:bottom w:val="none" w:sz="0" w:space="0" w:color="auto"/>
        <w:right w:val="none" w:sz="0" w:space="0" w:color="auto"/>
      </w:divBdr>
    </w:div>
    <w:div w:id="854534838">
      <w:bodyDiv w:val="1"/>
      <w:marLeft w:val="0"/>
      <w:marRight w:val="0"/>
      <w:marTop w:val="0"/>
      <w:marBottom w:val="0"/>
      <w:divBdr>
        <w:top w:val="none" w:sz="0" w:space="0" w:color="auto"/>
        <w:left w:val="none" w:sz="0" w:space="0" w:color="auto"/>
        <w:bottom w:val="none" w:sz="0" w:space="0" w:color="auto"/>
        <w:right w:val="none" w:sz="0" w:space="0" w:color="auto"/>
      </w:divBdr>
    </w:div>
    <w:div w:id="854805776">
      <w:bodyDiv w:val="1"/>
      <w:marLeft w:val="0"/>
      <w:marRight w:val="0"/>
      <w:marTop w:val="0"/>
      <w:marBottom w:val="0"/>
      <w:divBdr>
        <w:top w:val="none" w:sz="0" w:space="0" w:color="auto"/>
        <w:left w:val="none" w:sz="0" w:space="0" w:color="auto"/>
        <w:bottom w:val="none" w:sz="0" w:space="0" w:color="auto"/>
        <w:right w:val="none" w:sz="0" w:space="0" w:color="auto"/>
      </w:divBdr>
    </w:div>
    <w:div w:id="854926007">
      <w:bodyDiv w:val="1"/>
      <w:marLeft w:val="0"/>
      <w:marRight w:val="0"/>
      <w:marTop w:val="0"/>
      <w:marBottom w:val="0"/>
      <w:divBdr>
        <w:top w:val="none" w:sz="0" w:space="0" w:color="auto"/>
        <w:left w:val="none" w:sz="0" w:space="0" w:color="auto"/>
        <w:bottom w:val="none" w:sz="0" w:space="0" w:color="auto"/>
        <w:right w:val="none" w:sz="0" w:space="0" w:color="auto"/>
      </w:divBdr>
    </w:div>
    <w:div w:id="861013509">
      <w:bodyDiv w:val="1"/>
      <w:marLeft w:val="0"/>
      <w:marRight w:val="0"/>
      <w:marTop w:val="0"/>
      <w:marBottom w:val="0"/>
      <w:divBdr>
        <w:top w:val="none" w:sz="0" w:space="0" w:color="auto"/>
        <w:left w:val="none" w:sz="0" w:space="0" w:color="auto"/>
        <w:bottom w:val="none" w:sz="0" w:space="0" w:color="auto"/>
        <w:right w:val="none" w:sz="0" w:space="0" w:color="auto"/>
      </w:divBdr>
    </w:div>
    <w:div w:id="861626307">
      <w:bodyDiv w:val="1"/>
      <w:marLeft w:val="0"/>
      <w:marRight w:val="0"/>
      <w:marTop w:val="0"/>
      <w:marBottom w:val="0"/>
      <w:divBdr>
        <w:top w:val="none" w:sz="0" w:space="0" w:color="auto"/>
        <w:left w:val="none" w:sz="0" w:space="0" w:color="auto"/>
        <w:bottom w:val="none" w:sz="0" w:space="0" w:color="auto"/>
        <w:right w:val="none" w:sz="0" w:space="0" w:color="auto"/>
      </w:divBdr>
    </w:div>
    <w:div w:id="865020881">
      <w:bodyDiv w:val="1"/>
      <w:marLeft w:val="0"/>
      <w:marRight w:val="0"/>
      <w:marTop w:val="0"/>
      <w:marBottom w:val="0"/>
      <w:divBdr>
        <w:top w:val="none" w:sz="0" w:space="0" w:color="auto"/>
        <w:left w:val="none" w:sz="0" w:space="0" w:color="auto"/>
        <w:bottom w:val="none" w:sz="0" w:space="0" w:color="auto"/>
        <w:right w:val="none" w:sz="0" w:space="0" w:color="auto"/>
      </w:divBdr>
    </w:div>
    <w:div w:id="865484229">
      <w:bodyDiv w:val="1"/>
      <w:marLeft w:val="0"/>
      <w:marRight w:val="0"/>
      <w:marTop w:val="0"/>
      <w:marBottom w:val="0"/>
      <w:divBdr>
        <w:top w:val="none" w:sz="0" w:space="0" w:color="auto"/>
        <w:left w:val="none" w:sz="0" w:space="0" w:color="auto"/>
        <w:bottom w:val="none" w:sz="0" w:space="0" w:color="auto"/>
        <w:right w:val="none" w:sz="0" w:space="0" w:color="auto"/>
      </w:divBdr>
    </w:div>
    <w:div w:id="867571058">
      <w:bodyDiv w:val="1"/>
      <w:marLeft w:val="0"/>
      <w:marRight w:val="0"/>
      <w:marTop w:val="0"/>
      <w:marBottom w:val="0"/>
      <w:divBdr>
        <w:top w:val="none" w:sz="0" w:space="0" w:color="auto"/>
        <w:left w:val="none" w:sz="0" w:space="0" w:color="auto"/>
        <w:bottom w:val="none" w:sz="0" w:space="0" w:color="auto"/>
        <w:right w:val="none" w:sz="0" w:space="0" w:color="auto"/>
      </w:divBdr>
    </w:div>
    <w:div w:id="867718436">
      <w:bodyDiv w:val="1"/>
      <w:marLeft w:val="0"/>
      <w:marRight w:val="0"/>
      <w:marTop w:val="0"/>
      <w:marBottom w:val="0"/>
      <w:divBdr>
        <w:top w:val="none" w:sz="0" w:space="0" w:color="auto"/>
        <w:left w:val="none" w:sz="0" w:space="0" w:color="auto"/>
        <w:bottom w:val="none" w:sz="0" w:space="0" w:color="auto"/>
        <w:right w:val="none" w:sz="0" w:space="0" w:color="auto"/>
      </w:divBdr>
    </w:div>
    <w:div w:id="871768883">
      <w:bodyDiv w:val="1"/>
      <w:marLeft w:val="0"/>
      <w:marRight w:val="0"/>
      <w:marTop w:val="0"/>
      <w:marBottom w:val="0"/>
      <w:divBdr>
        <w:top w:val="none" w:sz="0" w:space="0" w:color="auto"/>
        <w:left w:val="none" w:sz="0" w:space="0" w:color="auto"/>
        <w:bottom w:val="none" w:sz="0" w:space="0" w:color="auto"/>
        <w:right w:val="none" w:sz="0" w:space="0" w:color="auto"/>
      </w:divBdr>
    </w:div>
    <w:div w:id="873663444">
      <w:bodyDiv w:val="1"/>
      <w:marLeft w:val="0"/>
      <w:marRight w:val="0"/>
      <w:marTop w:val="0"/>
      <w:marBottom w:val="0"/>
      <w:divBdr>
        <w:top w:val="none" w:sz="0" w:space="0" w:color="auto"/>
        <w:left w:val="none" w:sz="0" w:space="0" w:color="auto"/>
        <w:bottom w:val="none" w:sz="0" w:space="0" w:color="auto"/>
        <w:right w:val="none" w:sz="0" w:space="0" w:color="auto"/>
      </w:divBdr>
    </w:div>
    <w:div w:id="876894560">
      <w:bodyDiv w:val="1"/>
      <w:marLeft w:val="0"/>
      <w:marRight w:val="0"/>
      <w:marTop w:val="0"/>
      <w:marBottom w:val="0"/>
      <w:divBdr>
        <w:top w:val="none" w:sz="0" w:space="0" w:color="auto"/>
        <w:left w:val="none" w:sz="0" w:space="0" w:color="auto"/>
        <w:bottom w:val="none" w:sz="0" w:space="0" w:color="auto"/>
        <w:right w:val="none" w:sz="0" w:space="0" w:color="auto"/>
      </w:divBdr>
    </w:div>
    <w:div w:id="876968697">
      <w:bodyDiv w:val="1"/>
      <w:marLeft w:val="0"/>
      <w:marRight w:val="0"/>
      <w:marTop w:val="0"/>
      <w:marBottom w:val="0"/>
      <w:divBdr>
        <w:top w:val="none" w:sz="0" w:space="0" w:color="auto"/>
        <w:left w:val="none" w:sz="0" w:space="0" w:color="auto"/>
        <w:bottom w:val="none" w:sz="0" w:space="0" w:color="auto"/>
        <w:right w:val="none" w:sz="0" w:space="0" w:color="auto"/>
      </w:divBdr>
    </w:div>
    <w:div w:id="883296726">
      <w:bodyDiv w:val="1"/>
      <w:marLeft w:val="0"/>
      <w:marRight w:val="0"/>
      <w:marTop w:val="0"/>
      <w:marBottom w:val="0"/>
      <w:divBdr>
        <w:top w:val="none" w:sz="0" w:space="0" w:color="auto"/>
        <w:left w:val="none" w:sz="0" w:space="0" w:color="auto"/>
        <w:bottom w:val="none" w:sz="0" w:space="0" w:color="auto"/>
        <w:right w:val="none" w:sz="0" w:space="0" w:color="auto"/>
      </w:divBdr>
    </w:div>
    <w:div w:id="886261892">
      <w:bodyDiv w:val="1"/>
      <w:marLeft w:val="0"/>
      <w:marRight w:val="0"/>
      <w:marTop w:val="0"/>
      <w:marBottom w:val="0"/>
      <w:divBdr>
        <w:top w:val="none" w:sz="0" w:space="0" w:color="auto"/>
        <w:left w:val="none" w:sz="0" w:space="0" w:color="auto"/>
        <w:bottom w:val="none" w:sz="0" w:space="0" w:color="auto"/>
        <w:right w:val="none" w:sz="0" w:space="0" w:color="auto"/>
      </w:divBdr>
    </w:div>
    <w:div w:id="889653339">
      <w:bodyDiv w:val="1"/>
      <w:marLeft w:val="0"/>
      <w:marRight w:val="0"/>
      <w:marTop w:val="0"/>
      <w:marBottom w:val="0"/>
      <w:divBdr>
        <w:top w:val="none" w:sz="0" w:space="0" w:color="auto"/>
        <w:left w:val="none" w:sz="0" w:space="0" w:color="auto"/>
        <w:bottom w:val="none" w:sz="0" w:space="0" w:color="auto"/>
        <w:right w:val="none" w:sz="0" w:space="0" w:color="auto"/>
      </w:divBdr>
    </w:div>
    <w:div w:id="891189534">
      <w:bodyDiv w:val="1"/>
      <w:marLeft w:val="0"/>
      <w:marRight w:val="0"/>
      <w:marTop w:val="0"/>
      <w:marBottom w:val="0"/>
      <w:divBdr>
        <w:top w:val="none" w:sz="0" w:space="0" w:color="auto"/>
        <w:left w:val="none" w:sz="0" w:space="0" w:color="auto"/>
        <w:bottom w:val="none" w:sz="0" w:space="0" w:color="auto"/>
        <w:right w:val="none" w:sz="0" w:space="0" w:color="auto"/>
      </w:divBdr>
    </w:div>
    <w:div w:id="893660442">
      <w:bodyDiv w:val="1"/>
      <w:marLeft w:val="0"/>
      <w:marRight w:val="0"/>
      <w:marTop w:val="0"/>
      <w:marBottom w:val="0"/>
      <w:divBdr>
        <w:top w:val="none" w:sz="0" w:space="0" w:color="auto"/>
        <w:left w:val="none" w:sz="0" w:space="0" w:color="auto"/>
        <w:bottom w:val="none" w:sz="0" w:space="0" w:color="auto"/>
        <w:right w:val="none" w:sz="0" w:space="0" w:color="auto"/>
      </w:divBdr>
    </w:div>
    <w:div w:id="894008786">
      <w:bodyDiv w:val="1"/>
      <w:marLeft w:val="0"/>
      <w:marRight w:val="0"/>
      <w:marTop w:val="0"/>
      <w:marBottom w:val="0"/>
      <w:divBdr>
        <w:top w:val="none" w:sz="0" w:space="0" w:color="auto"/>
        <w:left w:val="none" w:sz="0" w:space="0" w:color="auto"/>
        <w:bottom w:val="none" w:sz="0" w:space="0" w:color="auto"/>
        <w:right w:val="none" w:sz="0" w:space="0" w:color="auto"/>
      </w:divBdr>
    </w:div>
    <w:div w:id="894587318">
      <w:bodyDiv w:val="1"/>
      <w:marLeft w:val="0"/>
      <w:marRight w:val="0"/>
      <w:marTop w:val="0"/>
      <w:marBottom w:val="0"/>
      <w:divBdr>
        <w:top w:val="none" w:sz="0" w:space="0" w:color="auto"/>
        <w:left w:val="none" w:sz="0" w:space="0" w:color="auto"/>
        <w:bottom w:val="none" w:sz="0" w:space="0" w:color="auto"/>
        <w:right w:val="none" w:sz="0" w:space="0" w:color="auto"/>
      </w:divBdr>
    </w:div>
    <w:div w:id="897403826">
      <w:bodyDiv w:val="1"/>
      <w:marLeft w:val="0"/>
      <w:marRight w:val="0"/>
      <w:marTop w:val="0"/>
      <w:marBottom w:val="0"/>
      <w:divBdr>
        <w:top w:val="none" w:sz="0" w:space="0" w:color="auto"/>
        <w:left w:val="none" w:sz="0" w:space="0" w:color="auto"/>
        <w:bottom w:val="none" w:sz="0" w:space="0" w:color="auto"/>
        <w:right w:val="none" w:sz="0" w:space="0" w:color="auto"/>
      </w:divBdr>
    </w:div>
    <w:div w:id="906568674">
      <w:bodyDiv w:val="1"/>
      <w:marLeft w:val="0"/>
      <w:marRight w:val="0"/>
      <w:marTop w:val="0"/>
      <w:marBottom w:val="0"/>
      <w:divBdr>
        <w:top w:val="none" w:sz="0" w:space="0" w:color="auto"/>
        <w:left w:val="none" w:sz="0" w:space="0" w:color="auto"/>
        <w:bottom w:val="none" w:sz="0" w:space="0" w:color="auto"/>
        <w:right w:val="none" w:sz="0" w:space="0" w:color="auto"/>
      </w:divBdr>
    </w:div>
    <w:div w:id="907766172">
      <w:bodyDiv w:val="1"/>
      <w:marLeft w:val="0"/>
      <w:marRight w:val="0"/>
      <w:marTop w:val="0"/>
      <w:marBottom w:val="0"/>
      <w:divBdr>
        <w:top w:val="none" w:sz="0" w:space="0" w:color="auto"/>
        <w:left w:val="none" w:sz="0" w:space="0" w:color="auto"/>
        <w:bottom w:val="none" w:sz="0" w:space="0" w:color="auto"/>
        <w:right w:val="none" w:sz="0" w:space="0" w:color="auto"/>
      </w:divBdr>
    </w:div>
    <w:div w:id="913473359">
      <w:bodyDiv w:val="1"/>
      <w:marLeft w:val="0"/>
      <w:marRight w:val="0"/>
      <w:marTop w:val="0"/>
      <w:marBottom w:val="0"/>
      <w:divBdr>
        <w:top w:val="none" w:sz="0" w:space="0" w:color="auto"/>
        <w:left w:val="none" w:sz="0" w:space="0" w:color="auto"/>
        <w:bottom w:val="none" w:sz="0" w:space="0" w:color="auto"/>
        <w:right w:val="none" w:sz="0" w:space="0" w:color="auto"/>
      </w:divBdr>
    </w:div>
    <w:div w:id="919681952">
      <w:bodyDiv w:val="1"/>
      <w:marLeft w:val="0"/>
      <w:marRight w:val="0"/>
      <w:marTop w:val="0"/>
      <w:marBottom w:val="0"/>
      <w:divBdr>
        <w:top w:val="none" w:sz="0" w:space="0" w:color="auto"/>
        <w:left w:val="none" w:sz="0" w:space="0" w:color="auto"/>
        <w:bottom w:val="none" w:sz="0" w:space="0" w:color="auto"/>
        <w:right w:val="none" w:sz="0" w:space="0" w:color="auto"/>
      </w:divBdr>
    </w:div>
    <w:div w:id="920526933">
      <w:bodyDiv w:val="1"/>
      <w:marLeft w:val="0"/>
      <w:marRight w:val="0"/>
      <w:marTop w:val="0"/>
      <w:marBottom w:val="0"/>
      <w:divBdr>
        <w:top w:val="none" w:sz="0" w:space="0" w:color="auto"/>
        <w:left w:val="none" w:sz="0" w:space="0" w:color="auto"/>
        <w:bottom w:val="none" w:sz="0" w:space="0" w:color="auto"/>
        <w:right w:val="none" w:sz="0" w:space="0" w:color="auto"/>
      </w:divBdr>
    </w:div>
    <w:div w:id="921253237">
      <w:bodyDiv w:val="1"/>
      <w:marLeft w:val="0"/>
      <w:marRight w:val="0"/>
      <w:marTop w:val="0"/>
      <w:marBottom w:val="0"/>
      <w:divBdr>
        <w:top w:val="none" w:sz="0" w:space="0" w:color="auto"/>
        <w:left w:val="none" w:sz="0" w:space="0" w:color="auto"/>
        <w:bottom w:val="none" w:sz="0" w:space="0" w:color="auto"/>
        <w:right w:val="none" w:sz="0" w:space="0" w:color="auto"/>
      </w:divBdr>
    </w:div>
    <w:div w:id="925774089">
      <w:bodyDiv w:val="1"/>
      <w:marLeft w:val="0"/>
      <w:marRight w:val="0"/>
      <w:marTop w:val="0"/>
      <w:marBottom w:val="0"/>
      <w:divBdr>
        <w:top w:val="none" w:sz="0" w:space="0" w:color="auto"/>
        <w:left w:val="none" w:sz="0" w:space="0" w:color="auto"/>
        <w:bottom w:val="none" w:sz="0" w:space="0" w:color="auto"/>
        <w:right w:val="none" w:sz="0" w:space="0" w:color="auto"/>
      </w:divBdr>
    </w:div>
    <w:div w:id="927351442">
      <w:bodyDiv w:val="1"/>
      <w:marLeft w:val="0"/>
      <w:marRight w:val="0"/>
      <w:marTop w:val="0"/>
      <w:marBottom w:val="0"/>
      <w:divBdr>
        <w:top w:val="none" w:sz="0" w:space="0" w:color="auto"/>
        <w:left w:val="none" w:sz="0" w:space="0" w:color="auto"/>
        <w:bottom w:val="none" w:sz="0" w:space="0" w:color="auto"/>
        <w:right w:val="none" w:sz="0" w:space="0" w:color="auto"/>
      </w:divBdr>
    </w:div>
    <w:div w:id="942807282">
      <w:bodyDiv w:val="1"/>
      <w:marLeft w:val="0"/>
      <w:marRight w:val="0"/>
      <w:marTop w:val="0"/>
      <w:marBottom w:val="0"/>
      <w:divBdr>
        <w:top w:val="none" w:sz="0" w:space="0" w:color="auto"/>
        <w:left w:val="none" w:sz="0" w:space="0" w:color="auto"/>
        <w:bottom w:val="none" w:sz="0" w:space="0" w:color="auto"/>
        <w:right w:val="none" w:sz="0" w:space="0" w:color="auto"/>
      </w:divBdr>
    </w:div>
    <w:div w:id="945620934">
      <w:bodyDiv w:val="1"/>
      <w:marLeft w:val="0"/>
      <w:marRight w:val="0"/>
      <w:marTop w:val="0"/>
      <w:marBottom w:val="0"/>
      <w:divBdr>
        <w:top w:val="none" w:sz="0" w:space="0" w:color="auto"/>
        <w:left w:val="none" w:sz="0" w:space="0" w:color="auto"/>
        <w:bottom w:val="none" w:sz="0" w:space="0" w:color="auto"/>
        <w:right w:val="none" w:sz="0" w:space="0" w:color="auto"/>
      </w:divBdr>
    </w:div>
    <w:div w:id="947157322">
      <w:bodyDiv w:val="1"/>
      <w:marLeft w:val="0"/>
      <w:marRight w:val="0"/>
      <w:marTop w:val="0"/>
      <w:marBottom w:val="0"/>
      <w:divBdr>
        <w:top w:val="none" w:sz="0" w:space="0" w:color="auto"/>
        <w:left w:val="none" w:sz="0" w:space="0" w:color="auto"/>
        <w:bottom w:val="none" w:sz="0" w:space="0" w:color="auto"/>
        <w:right w:val="none" w:sz="0" w:space="0" w:color="auto"/>
      </w:divBdr>
    </w:div>
    <w:div w:id="953512626">
      <w:bodyDiv w:val="1"/>
      <w:marLeft w:val="0"/>
      <w:marRight w:val="0"/>
      <w:marTop w:val="0"/>
      <w:marBottom w:val="0"/>
      <w:divBdr>
        <w:top w:val="none" w:sz="0" w:space="0" w:color="auto"/>
        <w:left w:val="none" w:sz="0" w:space="0" w:color="auto"/>
        <w:bottom w:val="none" w:sz="0" w:space="0" w:color="auto"/>
        <w:right w:val="none" w:sz="0" w:space="0" w:color="auto"/>
      </w:divBdr>
    </w:div>
    <w:div w:id="955139728">
      <w:bodyDiv w:val="1"/>
      <w:marLeft w:val="0"/>
      <w:marRight w:val="0"/>
      <w:marTop w:val="0"/>
      <w:marBottom w:val="0"/>
      <w:divBdr>
        <w:top w:val="none" w:sz="0" w:space="0" w:color="auto"/>
        <w:left w:val="none" w:sz="0" w:space="0" w:color="auto"/>
        <w:bottom w:val="none" w:sz="0" w:space="0" w:color="auto"/>
        <w:right w:val="none" w:sz="0" w:space="0" w:color="auto"/>
      </w:divBdr>
    </w:div>
    <w:div w:id="955602321">
      <w:bodyDiv w:val="1"/>
      <w:marLeft w:val="0"/>
      <w:marRight w:val="0"/>
      <w:marTop w:val="0"/>
      <w:marBottom w:val="0"/>
      <w:divBdr>
        <w:top w:val="none" w:sz="0" w:space="0" w:color="auto"/>
        <w:left w:val="none" w:sz="0" w:space="0" w:color="auto"/>
        <w:bottom w:val="none" w:sz="0" w:space="0" w:color="auto"/>
        <w:right w:val="none" w:sz="0" w:space="0" w:color="auto"/>
      </w:divBdr>
    </w:div>
    <w:div w:id="958685305">
      <w:bodyDiv w:val="1"/>
      <w:marLeft w:val="0"/>
      <w:marRight w:val="0"/>
      <w:marTop w:val="0"/>
      <w:marBottom w:val="0"/>
      <w:divBdr>
        <w:top w:val="none" w:sz="0" w:space="0" w:color="auto"/>
        <w:left w:val="none" w:sz="0" w:space="0" w:color="auto"/>
        <w:bottom w:val="none" w:sz="0" w:space="0" w:color="auto"/>
        <w:right w:val="none" w:sz="0" w:space="0" w:color="auto"/>
      </w:divBdr>
    </w:div>
    <w:div w:id="962223778">
      <w:bodyDiv w:val="1"/>
      <w:marLeft w:val="0"/>
      <w:marRight w:val="0"/>
      <w:marTop w:val="0"/>
      <w:marBottom w:val="0"/>
      <w:divBdr>
        <w:top w:val="none" w:sz="0" w:space="0" w:color="auto"/>
        <w:left w:val="none" w:sz="0" w:space="0" w:color="auto"/>
        <w:bottom w:val="none" w:sz="0" w:space="0" w:color="auto"/>
        <w:right w:val="none" w:sz="0" w:space="0" w:color="auto"/>
      </w:divBdr>
    </w:div>
    <w:div w:id="962343525">
      <w:bodyDiv w:val="1"/>
      <w:marLeft w:val="0"/>
      <w:marRight w:val="0"/>
      <w:marTop w:val="0"/>
      <w:marBottom w:val="0"/>
      <w:divBdr>
        <w:top w:val="none" w:sz="0" w:space="0" w:color="auto"/>
        <w:left w:val="none" w:sz="0" w:space="0" w:color="auto"/>
        <w:bottom w:val="none" w:sz="0" w:space="0" w:color="auto"/>
        <w:right w:val="none" w:sz="0" w:space="0" w:color="auto"/>
      </w:divBdr>
    </w:div>
    <w:div w:id="990207203">
      <w:bodyDiv w:val="1"/>
      <w:marLeft w:val="0"/>
      <w:marRight w:val="0"/>
      <w:marTop w:val="0"/>
      <w:marBottom w:val="0"/>
      <w:divBdr>
        <w:top w:val="none" w:sz="0" w:space="0" w:color="auto"/>
        <w:left w:val="none" w:sz="0" w:space="0" w:color="auto"/>
        <w:bottom w:val="none" w:sz="0" w:space="0" w:color="auto"/>
        <w:right w:val="none" w:sz="0" w:space="0" w:color="auto"/>
      </w:divBdr>
    </w:div>
    <w:div w:id="996106710">
      <w:bodyDiv w:val="1"/>
      <w:marLeft w:val="0"/>
      <w:marRight w:val="0"/>
      <w:marTop w:val="0"/>
      <w:marBottom w:val="0"/>
      <w:divBdr>
        <w:top w:val="none" w:sz="0" w:space="0" w:color="auto"/>
        <w:left w:val="none" w:sz="0" w:space="0" w:color="auto"/>
        <w:bottom w:val="none" w:sz="0" w:space="0" w:color="auto"/>
        <w:right w:val="none" w:sz="0" w:space="0" w:color="auto"/>
      </w:divBdr>
    </w:div>
    <w:div w:id="996304934">
      <w:bodyDiv w:val="1"/>
      <w:marLeft w:val="0"/>
      <w:marRight w:val="0"/>
      <w:marTop w:val="0"/>
      <w:marBottom w:val="0"/>
      <w:divBdr>
        <w:top w:val="none" w:sz="0" w:space="0" w:color="auto"/>
        <w:left w:val="none" w:sz="0" w:space="0" w:color="auto"/>
        <w:bottom w:val="none" w:sz="0" w:space="0" w:color="auto"/>
        <w:right w:val="none" w:sz="0" w:space="0" w:color="auto"/>
      </w:divBdr>
    </w:div>
    <w:div w:id="996614740">
      <w:bodyDiv w:val="1"/>
      <w:marLeft w:val="0"/>
      <w:marRight w:val="0"/>
      <w:marTop w:val="0"/>
      <w:marBottom w:val="0"/>
      <w:divBdr>
        <w:top w:val="none" w:sz="0" w:space="0" w:color="auto"/>
        <w:left w:val="none" w:sz="0" w:space="0" w:color="auto"/>
        <w:bottom w:val="none" w:sz="0" w:space="0" w:color="auto"/>
        <w:right w:val="none" w:sz="0" w:space="0" w:color="auto"/>
      </w:divBdr>
    </w:div>
    <w:div w:id="997655037">
      <w:bodyDiv w:val="1"/>
      <w:marLeft w:val="0"/>
      <w:marRight w:val="0"/>
      <w:marTop w:val="0"/>
      <w:marBottom w:val="0"/>
      <w:divBdr>
        <w:top w:val="none" w:sz="0" w:space="0" w:color="auto"/>
        <w:left w:val="none" w:sz="0" w:space="0" w:color="auto"/>
        <w:bottom w:val="none" w:sz="0" w:space="0" w:color="auto"/>
        <w:right w:val="none" w:sz="0" w:space="0" w:color="auto"/>
      </w:divBdr>
    </w:div>
    <w:div w:id="999891061">
      <w:bodyDiv w:val="1"/>
      <w:marLeft w:val="0"/>
      <w:marRight w:val="0"/>
      <w:marTop w:val="0"/>
      <w:marBottom w:val="0"/>
      <w:divBdr>
        <w:top w:val="none" w:sz="0" w:space="0" w:color="auto"/>
        <w:left w:val="none" w:sz="0" w:space="0" w:color="auto"/>
        <w:bottom w:val="none" w:sz="0" w:space="0" w:color="auto"/>
        <w:right w:val="none" w:sz="0" w:space="0" w:color="auto"/>
      </w:divBdr>
    </w:div>
    <w:div w:id="1003817328">
      <w:bodyDiv w:val="1"/>
      <w:marLeft w:val="0"/>
      <w:marRight w:val="0"/>
      <w:marTop w:val="0"/>
      <w:marBottom w:val="0"/>
      <w:divBdr>
        <w:top w:val="none" w:sz="0" w:space="0" w:color="auto"/>
        <w:left w:val="none" w:sz="0" w:space="0" w:color="auto"/>
        <w:bottom w:val="none" w:sz="0" w:space="0" w:color="auto"/>
        <w:right w:val="none" w:sz="0" w:space="0" w:color="auto"/>
      </w:divBdr>
    </w:div>
    <w:div w:id="1008367489">
      <w:bodyDiv w:val="1"/>
      <w:marLeft w:val="0"/>
      <w:marRight w:val="0"/>
      <w:marTop w:val="0"/>
      <w:marBottom w:val="0"/>
      <w:divBdr>
        <w:top w:val="none" w:sz="0" w:space="0" w:color="auto"/>
        <w:left w:val="none" w:sz="0" w:space="0" w:color="auto"/>
        <w:bottom w:val="none" w:sz="0" w:space="0" w:color="auto"/>
        <w:right w:val="none" w:sz="0" w:space="0" w:color="auto"/>
      </w:divBdr>
    </w:div>
    <w:div w:id="1015962376">
      <w:bodyDiv w:val="1"/>
      <w:marLeft w:val="0"/>
      <w:marRight w:val="0"/>
      <w:marTop w:val="0"/>
      <w:marBottom w:val="0"/>
      <w:divBdr>
        <w:top w:val="none" w:sz="0" w:space="0" w:color="auto"/>
        <w:left w:val="none" w:sz="0" w:space="0" w:color="auto"/>
        <w:bottom w:val="none" w:sz="0" w:space="0" w:color="auto"/>
        <w:right w:val="none" w:sz="0" w:space="0" w:color="auto"/>
      </w:divBdr>
    </w:div>
    <w:div w:id="1022590558">
      <w:bodyDiv w:val="1"/>
      <w:marLeft w:val="0"/>
      <w:marRight w:val="0"/>
      <w:marTop w:val="0"/>
      <w:marBottom w:val="0"/>
      <w:divBdr>
        <w:top w:val="none" w:sz="0" w:space="0" w:color="auto"/>
        <w:left w:val="none" w:sz="0" w:space="0" w:color="auto"/>
        <w:bottom w:val="none" w:sz="0" w:space="0" w:color="auto"/>
        <w:right w:val="none" w:sz="0" w:space="0" w:color="auto"/>
      </w:divBdr>
    </w:div>
    <w:div w:id="1027178178">
      <w:bodyDiv w:val="1"/>
      <w:marLeft w:val="0"/>
      <w:marRight w:val="0"/>
      <w:marTop w:val="0"/>
      <w:marBottom w:val="0"/>
      <w:divBdr>
        <w:top w:val="none" w:sz="0" w:space="0" w:color="auto"/>
        <w:left w:val="none" w:sz="0" w:space="0" w:color="auto"/>
        <w:bottom w:val="none" w:sz="0" w:space="0" w:color="auto"/>
        <w:right w:val="none" w:sz="0" w:space="0" w:color="auto"/>
      </w:divBdr>
    </w:div>
    <w:div w:id="1032878815">
      <w:bodyDiv w:val="1"/>
      <w:marLeft w:val="0"/>
      <w:marRight w:val="0"/>
      <w:marTop w:val="0"/>
      <w:marBottom w:val="0"/>
      <w:divBdr>
        <w:top w:val="none" w:sz="0" w:space="0" w:color="auto"/>
        <w:left w:val="none" w:sz="0" w:space="0" w:color="auto"/>
        <w:bottom w:val="none" w:sz="0" w:space="0" w:color="auto"/>
        <w:right w:val="none" w:sz="0" w:space="0" w:color="auto"/>
      </w:divBdr>
    </w:div>
    <w:div w:id="1037004041">
      <w:bodyDiv w:val="1"/>
      <w:marLeft w:val="0"/>
      <w:marRight w:val="0"/>
      <w:marTop w:val="0"/>
      <w:marBottom w:val="0"/>
      <w:divBdr>
        <w:top w:val="none" w:sz="0" w:space="0" w:color="auto"/>
        <w:left w:val="none" w:sz="0" w:space="0" w:color="auto"/>
        <w:bottom w:val="none" w:sz="0" w:space="0" w:color="auto"/>
        <w:right w:val="none" w:sz="0" w:space="0" w:color="auto"/>
      </w:divBdr>
    </w:div>
    <w:div w:id="1044207831">
      <w:bodyDiv w:val="1"/>
      <w:marLeft w:val="0"/>
      <w:marRight w:val="0"/>
      <w:marTop w:val="0"/>
      <w:marBottom w:val="0"/>
      <w:divBdr>
        <w:top w:val="none" w:sz="0" w:space="0" w:color="auto"/>
        <w:left w:val="none" w:sz="0" w:space="0" w:color="auto"/>
        <w:bottom w:val="none" w:sz="0" w:space="0" w:color="auto"/>
        <w:right w:val="none" w:sz="0" w:space="0" w:color="auto"/>
      </w:divBdr>
    </w:div>
    <w:div w:id="1048453673">
      <w:bodyDiv w:val="1"/>
      <w:marLeft w:val="0"/>
      <w:marRight w:val="0"/>
      <w:marTop w:val="0"/>
      <w:marBottom w:val="0"/>
      <w:divBdr>
        <w:top w:val="none" w:sz="0" w:space="0" w:color="auto"/>
        <w:left w:val="none" w:sz="0" w:space="0" w:color="auto"/>
        <w:bottom w:val="none" w:sz="0" w:space="0" w:color="auto"/>
        <w:right w:val="none" w:sz="0" w:space="0" w:color="auto"/>
      </w:divBdr>
    </w:div>
    <w:div w:id="1052732678">
      <w:bodyDiv w:val="1"/>
      <w:marLeft w:val="0"/>
      <w:marRight w:val="0"/>
      <w:marTop w:val="0"/>
      <w:marBottom w:val="0"/>
      <w:divBdr>
        <w:top w:val="none" w:sz="0" w:space="0" w:color="auto"/>
        <w:left w:val="none" w:sz="0" w:space="0" w:color="auto"/>
        <w:bottom w:val="none" w:sz="0" w:space="0" w:color="auto"/>
        <w:right w:val="none" w:sz="0" w:space="0" w:color="auto"/>
      </w:divBdr>
    </w:div>
    <w:div w:id="1055550019">
      <w:bodyDiv w:val="1"/>
      <w:marLeft w:val="0"/>
      <w:marRight w:val="0"/>
      <w:marTop w:val="0"/>
      <w:marBottom w:val="0"/>
      <w:divBdr>
        <w:top w:val="none" w:sz="0" w:space="0" w:color="auto"/>
        <w:left w:val="none" w:sz="0" w:space="0" w:color="auto"/>
        <w:bottom w:val="none" w:sz="0" w:space="0" w:color="auto"/>
        <w:right w:val="none" w:sz="0" w:space="0" w:color="auto"/>
      </w:divBdr>
    </w:div>
    <w:div w:id="1062605372">
      <w:bodyDiv w:val="1"/>
      <w:marLeft w:val="0"/>
      <w:marRight w:val="0"/>
      <w:marTop w:val="0"/>
      <w:marBottom w:val="0"/>
      <w:divBdr>
        <w:top w:val="none" w:sz="0" w:space="0" w:color="auto"/>
        <w:left w:val="none" w:sz="0" w:space="0" w:color="auto"/>
        <w:bottom w:val="none" w:sz="0" w:space="0" w:color="auto"/>
        <w:right w:val="none" w:sz="0" w:space="0" w:color="auto"/>
      </w:divBdr>
    </w:div>
    <w:div w:id="1075400854">
      <w:bodyDiv w:val="1"/>
      <w:marLeft w:val="0"/>
      <w:marRight w:val="0"/>
      <w:marTop w:val="0"/>
      <w:marBottom w:val="0"/>
      <w:divBdr>
        <w:top w:val="none" w:sz="0" w:space="0" w:color="auto"/>
        <w:left w:val="none" w:sz="0" w:space="0" w:color="auto"/>
        <w:bottom w:val="none" w:sz="0" w:space="0" w:color="auto"/>
        <w:right w:val="none" w:sz="0" w:space="0" w:color="auto"/>
      </w:divBdr>
    </w:div>
    <w:div w:id="1090204013">
      <w:bodyDiv w:val="1"/>
      <w:marLeft w:val="0"/>
      <w:marRight w:val="0"/>
      <w:marTop w:val="0"/>
      <w:marBottom w:val="0"/>
      <w:divBdr>
        <w:top w:val="none" w:sz="0" w:space="0" w:color="auto"/>
        <w:left w:val="none" w:sz="0" w:space="0" w:color="auto"/>
        <w:bottom w:val="none" w:sz="0" w:space="0" w:color="auto"/>
        <w:right w:val="none" w:sz="0" w:space="0" w:color="auto"/>
      </w:divBdr>
    </w:div>
    <w:div w:id="1092117776">
      <w:bodyDiv w:val="1"/>
      <w:marLeft w:val="0"/>
      <w:marRight w:val="0"/>
      <w:marTop w:val="0"/>
      <w:marBottom w:val="0"/>
      <w:divBdr>
        <w:top w:val="none" w:sz="0" w:space="0" w:color="auto"/>
        <w:left w:val="none" w:sz="0" w:space="0" w:color="auto"/>
        <w:bottom w:val="none" w:sz="0" w:space="0" w:color="auto"/>
        <w:right w:val="none" w:sz="0" w:space="0" w:color="auto"/>
      </w:divBdr>
    </w:div>
    <w:div w:id="1093477339">
      <w:bodyDiv w:val="1"/>
      <w:marLeft w:val="0"/>
      <w:marRight w:val="0"/>
      <w:marTop w:val="0"/>
      <w:marBottom w:val="0"/>
      <w:divBdr>
        <w:top w:val="none" w:sz="0" w:space="0" w:color="auto"/>
        <w:left w:val="none" w:sz="0" w:space="0" w:color="auto"/>
        <w:bottom w:val="none" w:sz="0" w:space="0" w:color="auto"/>
        <w:right w:val="none" w:sz="0" w:space="0" w:color="auto"/>
      </w:divBdr>
    </w:div>
    <w:div w:id="1098450899">
      <w:bodyDiv w:val="1"/>
      <w:marLeft w:val="0"/>
      <w:marRight w:val="0"/>
      <w:marTop w:val="0"/>
      <w:marBottom w:val="0"/>
      <w:divBdr>
        <w:top w:val="none" w:sz="0" w:space="0" w:color="auto"/>
        <w:left w:val="none" w:sz="0" w:space="0" w:color="auto"/>
        <w:bottom w:val="none" w:sz="0" w:space="0" w:color="auto"/>
        <w:right w:val="none" w:sz="0" w:space="0" w:color="auto"/>
      </w:divBdr>
    </w:div>
    <w:div w:id="1099791456">
      <w:bodyDiv w:val="1"/>
      <w:marLeft w:val="0"/>
      <w:marRight w:val="0"/>
      <w:marTop w:val="0"/>
      <w:marBottom w:val="0"/>
      <w:divBdr>
        <w:top w:val="none" w:sz="0" w:space="0" w:color="auto"/>
        <w:left w:val="none" w:sz="0" w:space="0" w:color="auto"/>
        <w:bottom w:val="none" w:sz="0" w:space="0" w:color="auto"/>
        <w:right w:val="none" w:sz="0" w:space="0" w:color="auto"/>
      </w:divBdr>
    </w:div>
    <w:div w:id="1104492622">
      <w:bodyDiv w:val="1"/>
      <w:marLeft w:val="0"/>
      <w:marRight w:val="0"/>
      <w:marTop w:val="0"/>
      <w:marBottom w:val="0"/>
      <w:divBdr>
        <w:top w:val="none" w:sz="0" w:space="0" w:color="auto"/>
        <w:left w:val="none" w:sz="0" w:space="0" w:color="auto"/>
        <w:bottom w:val="none" w:sz="0" w:space="0" w:color="auto"/>
        <w:right w:val="none" w:sz="0" w:space="0" w:color="auto"/>
      </w:divBdr>
    </w:div>
    <w:div w:id="1106342923">
      <w:bodyDiv w:val="1"/>
      <w:marLeft w:val="0"/>
      <w:marRight w:val="0"/>
      <w:marTop w:val="0"/>
      <w:marBottom w:val="0"/>
      <w:divBdr>
        <w:top w:val="none" w:sz="0" w:space="0" w:color="auto"/>
        <w:left w:val="none" w:sz="0" w:space="0" w:color="auto"/>
        <w:bottom w:val="none" w:sz="0" w:space="0" w:color="auto"/>
        <w:right w:val="none" w:sz="0" w:space="0" w:color="auto"/>
      </w:divBdr>
    </w:div>
    <w:div w:id="1107313420">
      <w:bodyDiv w:val="1"/>
      <w:marLeft w:val="0"/>
      <w:marRight w:val="0"/>
      <w:marTop w:val="0"/>
      <w:marBottom w:val="0"/>
      <w:divBdr>
        <w:top w:val="none" w:sz="0" w:space="0" w:color="auto"/>
        <w:left w:val="none" w:sz="0" w:space="0" w:color="auto"/>
        <w:bottom w:val="none" w:sz="0" w:space="0" w:color="auto"/>
        <w:right w:val="none" w:sz="0" w:space="0" w:color="auto"/>
      </w:divBdr>
    </w:div>
    <w:div w:id="1114062491">
      <w:bodyDiv w:val="1"/>
      <w:marLeft w:val="0"/>
      <w:marRight w:val="0"/>
      <w:marTop w:val="0"/>
      <w:marBottom w:val="0"/>
      <w:divBdr>
        <w:top w:val="none" w:sz="0" w:space="0" w:color="auto"/>
        <w:left w:val="none" w:sz="0" w:space="0" w:color="auto"/>
        <w:bottom w:val="none" w:sz="0" w:space="0" w:color="auto"/>
        <w:right w:val="none" w:sz="0" w:space="0" w:color="auto"/>
      </w:divBdr>
    </w:div>
    <w:div w:id="1115103105">
      <w:bodyDiv w:val="1"/>
      <w:marLeft w:val="0"/>
      <w:marRight w:val="0"/>
      <w:marTop w:val="0"/>
      <w:marBottom w:val="0"/>
      <w:divBdr>
        <w:top w:val="none" w:sz="0" w:space="0" w:color="auto"/>
        <w:left w:val="none" w:sz="0" w:space="0" w:color="auto"/>
        <w:bottom w:val="none" w:sz="0" w:space="0" w:color="auto"/>
        <w:right w:val="none" w:sz="0" w:space="0" w:color="auto"/>
      </w:divBdr>
    </w:div>
    <w:div w:id="1119178365">
      <w:bodyDiv w:val="1"/>
      <w:marLeft w:val="0"/>
      <w:marRight w:val="0"/>
      <w:marTop w:val="0"/>
      <w:marBottom w:val="0"/>
      <w:divBdr>
        <w:top w:val="none" w:sz="0" w:space="0" w:color="auto"/>
        <w:left w:val="none" w:sz="0" w:space="0" w:color="auto"/>
        <w:bottom w:val="none" w:sz="0" w:space="0" w:color="auto"/>
        <w:right w:val="none" w:sz="0" w:space="0" w:color="auto"/>
      </w:divBdr>
    </w:div>
    <w:div w:id="1122260268">
      <w:bodyDiv w:val="1"/>
      <w:marLeft w:val="0"/>
      <w:marRight w:val="0"/>
      <w:marTop w:val="0"/>
      <w:marBottom w:val="0"/>
      <w:divBdr>
        <w:top w:val="none" w:sz="0" w:space="0" w:color="auto"/>
        <w:left w:val="none" w:sz="0" w:space="0" w:color="auto"/>
        <w:bottom w:val="none" w:sz="0" w:space="0" w:color="auto"/>
        <w:right w:val="none" w:sz="0" w:space="0" w:color="auto"/>
      </w:divBdr>
    </w:div>
    <w:div w:id="1131945200">
      <w:bodyDiv w:val="1"/>
      <w:marLeft w:val="0"/>
      <w:marRight w:val="0"/>
      <w:marTop w:val="0"/>
      <w:marBottom w:val="0"/>
      <w:divBdr>
        <w:top w:val="none" w:sz="0" w:space="0" w:color="auto"/>
        <w:left w:val="none" w:sz="0" w:space="0" w:color="auto"/>
        <w:bottom w:val="none" w:sz="0" w:space="0" w:color="auto"/>
        <w:right w:val="none" w:sz="0" w:space="0" w:color="auto"/>
      </w:divBdr>
    </w:div>
    <w:div w:id="1137408375">
      <w:bodyDiv w:val="1"/>
      <w:marLeft w:val="0"/>
      <w:marRight w:val="0"/>
      <w:marTop w:val="0"/>
      <w:marBottom w:val="0"/>
      <w:divBdr>
        <w:top w:val="none" w:sz="0" w:space="0" w:color="auto"/>
        <w:left w:val="none" w:sz="0" w:space="0" w:color="auto"/>
        <w:bottom w:val="none" w:sz="0" w:space="0" w:color="auto"/>
        <w:right w:val="none" w:sz="0" w:space="0" w:color="auto"/>
      </w:divBdr>
    </w:div>
    <w:div w:id="1145243139">
      <w:bodyDiv w:val="1"/>
      <w:marLeft w:val="0"/>
      <w:marRight w:val="0"/>
      <w:marTop w:val="0"/>
      <w:marBottom w:val="0"/>
      <w:divBdr>
        <w:top w:val="none" w:sz="0" w:space="0" w:color="auto"/>
        <w:left w:val="none" w:sz="0" w:space="0" w:color="auto"/>
        <w:bottom w:val="none" w:sz="0" w:space="0" w:color="auto"/>
        <w:right w:val="none" w:sz="0" w:space="0" w:color="auto"/>
      </w:divBdr>
    </w:div>
    <w:div w:id="1145466239">
      <w:bodyDiv w:val="1"/>
      <w:marLeft w:val="0"/>
      <w:marRight w:val="0"/>
      <w:marTop w:val="0"/>
      <w:marBottom w:val="0"/>
      <w:divBdr>
        <w:top w:val="none" w:sz="0" w:space="0" w:color="auto"/>
        <w:left w:val="none" w:sz="0" w:space="0" w:color="auto"/>
        <w:bottom w:val="none" w:sz="0" w:space="0" w:color="auto"/>
        <w:right w:val="none" w:sz="0" w:space="0" w:color="auto"/>
      </w:divBdr>
    </w:div>
    <w:div w:id="1151601559">
      <w:bodyDiv w:val="1"/>
      <w:marLeft w:val="0"/>
      <w:marRight w:val="0"/>
      <w:marTop w:val="0"/>
      <w:marBottom w:val="0"/>
      <w:divBdr>
        <w:top w:val="none" w:sz="0" w:space="0" w:color="auto"/>
        <w:left w:val="none" w:sz="0" w:space="0" w:color="auto"/>
        <w:bottom w:val="none" w:sz="0" w:space="0" w:color="auto"/>
        <w:right w:val="none" w:sz="0" w:space="0" w:color="auto"/>
      </w:divBdr>
    </w:div>
    <w:div w:id="1152916250">
      <w:bodyDiv w:val="1"/>
      <w:marLeft w:val="0"/>
      <w:marRight w:val="0"/>
      <w:marTop w:val="0"/>
      <w:marBottom w:val="0"/>
      <w:divBdr>
        <w:top w:val="none" w:sz="0" w:space="0" w:color="auto"/>
        <w:left w:val="none" w:sz="0" w:space="0" w:color="auto"/>
        <w:bottom w:val="none" w:sz="0" w:space="0" w:color="auto"/>
        <w:right w:val="none" w:sz="0" w:space="0" w:color="auto"/>
      </w:divBdr>
    </w:div>
    <w:div w:id="1154106869">
      <w:bodyDiv w:val="1"/>
      <w:marLeft w:val="0"/>
      <w:marRight w:val="0"/>
      <w:marTop w:val="0"/>
      <w:marBottom w:val="0"/>
      <w:divBdr>
        <w:top w:val="none" w:sz="0" w:space="0" w:color="auto"/>
        <w:left w:val="none" w:sz="0" w:space="0" w:color="auto"/>
        <w:bottom w:val="none" w:sz="0" w:space="0" w:color="auto"/>
        <w:right w:val="none" w:sz="0" w:space="0" w:color="auto"/>
      </w:divBdr>
    </w:div>
    <w:div w:id="1154294051">
      <w:bodyDiv w:val="1"/>
      <w:marLeft w:val="0"/>
      <w:marRight w:val="0"/>
      <w:marTop w:val="0"/>
      <w:marBottom w:val="0"/>
      <w:divBdr>
        <w:top w:val="none" w:sz="0" w:space="0" w:color="auto"/>
        <w:left w:val="none" w:sz="0" w:space="0" w:color="auto"/>
        <w:bottom w:val="none" w:sz="0" w:space="0" w:color="auto"/>
        <w:right w:val="none" w:sz="0" w:space="0" w:color="auto"/>
      </w:divBdr>
    </w:div>
    <w:div w:id="1158426873">
      <w:bodyDiv w:val="1"/>
      <w:marLeft w:val="0"/>
      <w:marRight w:val="0"/>
      <w:marTop w:val="0"/>
      <w:marBottom w:val="0"/>
      <w:divBdr>
        <w:top w:val="none" w:sz="0" w:space="0" w:color="auto"/>
        <w:left w:val="none" w:sz="0" w:space="0" w:color="auto"/>
        <w:bottom w:val="none" w:sz="0" w:space="0" w:color="auto"/>
        <w:right w:val="none" w:sz="0" w:space="0" w:color="auto"/>
      </w:divBdr>
    </w:div>
    <w:div w:id="1159922840">
      <w:bodyDiv w:val="1"/>
      <w:marLeft w:val="0"/>
      <w:marRight w:val="0"/>
      <w:marTop w:val="0"/>
      <w:marBottom w:val="0"/>
      <w:divBdr>
        <w:top w:val="none" w:sz="0" w:space="0" w:color="auto"/>
        <w:left w:val="none" w:sz="0" w:space="0" w:color="auto"/>
        <w:bottom w:val="none" w:sz="0" w:space="0" w:color="auto"/>
        <w:right w:val="none" w:sz="0" w:space="0" w:color="auto"/>
      </w:divBdr>
    </w:div>
    <w:div w:id="1162892074">
      <w:bodyDiv w:val="1"/>
      <w:marLeft w:val="0"/>
      <w:marRight w:val="0"/>
      <w:marTop w:val="0"/>
      <w:marBottom w:val="0"/>
      <w:divBdr>
        <w:top w:val="none" w:sz="0" w:space="0" w:color="auto"/>
        <w:left w:val="none" w:sz="0" w:space="0" w:color="auto"/>
        <w:bottom w:val="none" w:sz="0" w:space="0" w:color="auto"/>
        <w:right w:val="none" w:sz="0" w:space="0" w:color="auto"/>
      </w:divBdr>
    </w:div>
    <w:div w:id="1166627971">
      <w:bodyDiv w:val="1"/>
      <w:marLeft w:val="0"/>
      <w:marRight w:val="0"/>
      <w:marTop w:val="0"/>
      <w:marBottom w:val="0"/>
      <w:divBdr>
        <w:top w:val="none" w:sz="0" w:space="0" w:color="auto"/>
        <w:left w:val="none" w:sz="0" w:space="0" w:color="auto"/>
        <w:bottom w:val="none" w:sz="0" w:space="0" w:color="auto"/>
        <w:right w:val="none" w:sz="0" w:space="0" w:color="auto"/>
      </w:divBdr>
    </w:div>
    <w:div w:id="1167017099">
      <w:bodyDiv w:val="1"/>
      <w:marLeft w:val="0"/>
      <w:marRight w:val="0"/>
      <w:marTop w:val="0"/>
      <w:marBottom w:val="0"/>
      <w:divBdr>
        <w:top w:val="none" w:sz="0" w:space="0" w:color="auto"/>
        <w:left w:val="none" w:sz="0" w:space="0" w:color="auto"/>
        <w:bottom w:val="none" w:sz="0" w:space="0" w:color="auto"/>
        <w:right w:val="none" w:sz="0" w:space="0" w:color="auto"/>
      </w:divBdr>
    </w:div>
    <w:div w:id="1171481281">
      <w:bodyDiv w:val="1"/>
      <w:marLeft w:val="0"/>
      <w:marRight w:val="0"/>
      <w:marTop w:val="0"/>
      <w:marBottom w:val="0"/>
      <w:divBdr>
        <w:top w:val="none" w:sz="0" w:space="0" w:color="auto"/>
        <w:left w:val="none" w:sz="0" w:space="0" w:color="auto"/>
        <w:bottom w:val="none" w:sz="0" w:space="0" w:color="auto"/>
        <w:right w:val="none" w:sz="0" w:space="0" w:color="auto"/>
      </w:divBdr>
    </w:div>
    <w:div w:id="1178275768">
      <w:bodyDiv w:val="1"/>
      <w:marLeft w:val="0"/>
      <w:marRight w:val="0"/>
      <w:marTop w:val="0"/>
      <w:marBottom w:val="0"/>
      <w:divBdr>
        <w:top w:val="none" w:sz="0" w:space="0" w:color="auto"/>
        <w:left w:val="none" w:sz="0" w:space="0" w:color="auto"/>
        <w:bottom w:val="none" w:sz="0" w:space="0" w:color="auto"/>
        <w:right w:val="none" w:sz="0" w:space="0" w:color="auto"/>
      </w:divBdr>
    </w:div>
    <w:div w:id="1184707023">
      <w:bodyDiv w:val="1"/>
      <w:marLeft w:val="0"/>
      <w:marRight w:val="0"/>
      <w:marTop w:val="0"/>
      <w:marBottom w:val="0"/>
      <w:divBdr>
        <w:top w:val="none" w:sz="0" w:space="0" w:color="auto"/>
        <w:left w:val="none" w:sz="0" w:space="0" w:color="auto"/>
        <w:bottom w:val="none" w:sz="0" w:space="0" w:color="auto"/>
        <w:right w:val="none" w:sz="0" w:space="0" w:color="auto"/>
      </w:divBdr>
    </w:div>
    <w:div w:id="1187255443">
      <w:bodyDiv w:val="1"/>
      <w:marLeft w:val="0"/>
      <w:marRight w:val="0"/>
      <w:marTop w:val="0"/>
      <w:marBottom w:val="0"/>
      <w:divBdr>
        <w:top w:val="none" w:sz="0" w:space="0" w:color="auto"/>
        <w:left w:val="none" w:sz="0" w:space="0" w:color="auto"/>
        <w:bottom w:val="none" w:sz="0" w:space="0" w:color="auto"/>
        <w:right w:val="none" w:sz="0" w:space="0" w:color="auto"/>
      </w:divBdr>
    </w:div>
    <w:div w:id="1189493432">
      <w:bodyDiv w:val="1"/>
      <w:marLeft w:val="0"/>
      <w:marRight w:val="0"/>
      <w:marTop w:val="0"/>
      <w:marBottom w:val="0"/>
      <w:divBdr>
        <w:top w:val="none" w:sz="0" w:space="0" w:color="auto"/>
        <w:left w:val="none" w:sz="0" w:space="0" w:color="auto"/>
        <w:bottom w:val="none" w:sz="0" w:space="0" w:color="auto"/>
        <w:right w:val="none" w:sz="0" w:space="0" w:color="auto"/>
      </w:divBdr>
    </w:div>
    <w:div w:id="1195465880">
      <w:bodyDiv w:val="1"/>
      <w:marLeft w:val="0"/>
      <w:marRight w:val="0"/>
      <w:marTop w:val="0"/>
      <w:marBottom w:val="0"/>
      <w:divBdr>
        <w:top w:val="none" w:sz="0" w:space="0" w:color="auto"/>
        <w:left w:val="none" w:sz="0" w:space="0" w:color="auto"/>
        <w:bottom w:val="none" w:sz="0" w:space="0" w:color="auto"/>
        <w:right w:val="none" w:sz="0" w:space="0" w:color="auto"/>
      </w:divBdr>
    </w:div>
    <w:div w:id="1197893076">
      <w:bodyDiv w:val="1"/>
      <w:marLeft w:val="0"/>
      <w:marRight w:val="0"/>
      <w:marTop w:val="0"/>
      <w:marBottom w:val="0"/>
      <w:divBdr>
        <w:top w:val="none" w:sz="0" w:space="0" w:color="auto"/>
        <w:left w:val="none" w:sz="0" w:space="0" w:color="auto"/>
        <w:bottom w:val="none" w:sz="0" w:space="0" w:color="auto"/>
        <w:right w:val="none" w:sz="0" w:space="0" w:color="auto"/>
      </w:divBdr>
    </w:div>
    <w:div w:id="1200820446">
      <w:bodyDiv w:val="1"/>
      <w:marLeft w:val="0"/>
      <w:marRight w:val="0"/>
      <w:marTop w:val="0"/>
      <w:marBottom w:val="0"/>
      <w:divBdr>
        <w:top w:val="none" w:sz="0" w:space="0" w:color="auto"/>
        <w:left w:val="none" w:sz="0" w:space="0" w:color="auto"/>
        <w:bottom w:val="none" w:sz="0" w:space="0" w:color="auto"/>
        <w:right w:val="none" w:sz="0" w:space="0" w:color="auto"/>
      </w:divBdr>
    </w:div>
    <w:div w:id="1208489414">
      <w:bodyDiv w:val="1"/>
      <w:marLeft w:val="0"/>
      <w:marRight w:val="0"/>
      <w:marTop w:val="0"/>
      <w:marBottom w:val="0"/>
      <w:divBdr>
        <w:top w:val="none" w:sz="0" w:space="0" w:color="auto"/>
        <w:left w:val="none" w:sz="0" w:space="0" w:color="auto"/>
        <w:bottom w:val="none" w:sz="0" w:space="0" w:color="auto"/>
        <w:right w:val="none" w:sz="0" w:space="0" w:color="auto"/>
      </w:divBdr>
    </w:div>
    <w:div w:id="1211307804">
      <w:bodyDiv w:val="1"/>
      <w:marLeft w:val="0"/>
      <w:marRight w:val="0"/>
      <w:marTop w:val="0"/>
      <w:marBottom w:val="0"/>
      <w:divBdr>
        <w:top w:val="none" w:sz="0" w:space="0" w:color="auto"/>
        <w:left w:val="none" w:sz="0" w:space="0" w:color="auto"/>
        <w:bottom w:val="none" w:sz="0" w:space="0" w:color="auto"/>
        <w:right w:val="none" w:sz="0" w:space="0" w:color="auto"/>
      </w:divBdr>
    </w:div>
    <w:div w:id="1214541972">
      <w:bodyDiv w:val="1"/>
      <w:marLeft w:val="0"/>
      <w:marRight w:val="0"/>
      <w:marTop w:val="0"/>
      <w:marBottom w:val="0"/>
      <w:divBdr>
        <w:top w:val="none" w:sz="0" w:space="0" w:color="auto"/>
        <w:left w:val="none" w:sz="0" w:space="0" w:color="auto"/>
        <w:bottom w:val="none" w:sz="0" w:space="0" w:color="auto"/>
        <w:right w:val="none" w:sz="0" w:space="0" w:color="auto"/>
      </w:divBdr>
    </w:div>
    <w:div w:id="1216702204">
      <w:bodyDiv w:val="1"/>
      <w:marLeft w:val="0"/>
      <w:marRight w:val="0"/>
      <w:marTop w:val="0"/>
      <w:marBottom w:val="0"/>
      <w:divBdr>
        <w:top w:val="none" w:sz="0" w:space="0" w:color="auto"/>
        <w:left w:val="none" w:sz="0" w:space="0" w:color="auto"/>
        <w:bottom w:val="none" w:sz="0" w:space="0" w:color="auto"/>
        <w:right w:val="none" w:sz="0" w:space="0" w:color="auto"/>
      </w:divBdr>
    </w:div>
    <w:div w:id="1217816067">
      <w:bodyDiv w:val="1"/>
      <w:marLeft w:val="0"/>
      <w:marRight w:val="0"/>
      <w:marTop w:val="0"/>
      <w:marBottom w:val="0"/>
      <w:divBdr>
        <w:top w:val="none" w:sz="0" w:space="0" w:color="auto"/>
        <w:left w:val="none" w:sz="0" w:space="0" w:color="auto"/>
        <w:bottom w:val="none" w:sz="0" w:space="0" w:color="auto"/>
        <w:right w:val="none" w:sz="0" w:space="0" w:color="auto"/>
      </w:divBdr>
    </w:div>
    <w:div w:id="1221939805">
      <w:bodyDiv w:val="1"/>
      <w:marLeft w:val="0"/>
      <w:marRight w:val="0"/>
      <w:marTop w:val="0"/>
      <w:marBottom w:val="0"/>
      <w:divBdr>
        <w:top w:val="none" w:sz="0" w:space="0" w:color="auto"/>
        <w:left w:val="none" w:sz="0" w:space="0" w:color="auto"/>
        <w:bottom w:val="none" w:sz="0" w:space="0" w:color="auto"/>
        <w:right w:val="none" w:sz="0" w:space="0" w:color="auto"/>
      </w:divBdr>
    </w:div>
    <w:div w:id="1226407212">
      <w:bodyDiv w:val="1"/>
      <w:marLeft w:val="0"/>
      <w:marRight w:val="0"/>
      <w:marTop w:val="0"/>
      <w:marBottom w:val="0"/>
      <w:divBdr>
        <w:top w:val="none" w:sz="0" w:space="0" w:color="auto"/>
        <w:left w:val="none" w:sz="0" w:space="0" w:color="auto"/>
        <w:bottom w:val="none" w:sz="0" w:space="0" w:color="auto"/>
        <w:right w:val="none" w:sz="0" w:space="0" w:color="auto"/>
      </w:divBdr>
    </w:div>
    <w:div w:id="1229653065">
      <w:bodyDiv w:val="1"/>
      <w:marLeft w:val="0"/>
      <w:marRight w:val="0"/>
      <w:marTop w:val="0"/>
      <w:marBottom w:val="0"/>
      <w:divBdr>
        <w:top w:val="none" w:sz="0" w:space="0" w:color="auto"/>
        <w:left w:val="none" w:sz="0" w:space="0" w:color="auto"/>
        <w:bottom w:val="none" w:sz="0" w:space="0" w:color="auto"/>
        <w:right w:val="none" w:sz="0" w:space="0" w:color="auto"/>
      </w:divBdr>
    </w:div>
    <w:div w:id="1231842994">
      <w:bodyDiv w:val="1"/>
      <w:marLeft w:val="0"/>
      <w:marRight w:val="0"/>
      <w:marTop w:val="0"/>
      <w:marBottom w:val="0"/>
      <w:divBdr>
        <w:top w:val="none" w:sz="0" w:space="0" w:color="auto"/>
        <w:left w:val="none" w:sz="0" w:space="0" w:color="auto"/>
        <w:bottom w:val="none" w:sz="0" w:space="0" w:color="auto"/>
        <w:right w:val="none" w:sz="0" w:space="0" w:color="auto"/>
      </w:divBdr>
    </w:div>
    <w:div w:id="1237202933">
      <w:bodyDiv w:val="1"/>
      <w:marLeft w:val="0"/>
      <w:marRight w:val="0"/>
      <w:marTop w:val="0"/>
      <w:marBottom w:val="0"/>
      <w:divBdr>
        <w:top w:val="none" w:sz="0" w:space="0" w:color="auto"/>
        <w:left w:val="none" w:sz="0" w:space="0" w:color="auto"/>
        <w:bottom w:val="none" w:sz="0" w:space="0" w:color="auto"/>
        <w:right w:val="none" w:sz="0" w:space="0" w:color="auto"/>
      </w:divBdr>
    </w:div>
    <w:div w:id="1239750510">
      <w:bodyDiv w:val="1"/>
      <w:marLeft w:val="0"/>
      <w:marRight w:val="0"/>
      <w:marTop w:val="0"/>
      <w:marBottom w:val="0"/>
      <w:divBdr>
        <w:top w:val="none" w:sz="0" w:space="0" w:color="auto"/>
        <w:left w:val="none" w:sz="0" w:space="0" w:color="auto"/>
        <w:bottom w:val="none" w:sz="0" w:space="0" w:color="auto"/>
        <w:right w:val="none" w:sz="0" w:space="0" w:color="auto"/>
      </w:divBdr>
    </w:div>
    <w:div w:id="1243679400">
      <w:bodyDiv w:val="1"/>
      <w:marLeft w:val="0"/>
      <w:marRight w:val="0"/>
      <w:marTop w:val="0"/>
      <w:marBottom w:val="0"/>
      <w:divBdr>
        <w:top w:val="none" w:sz="0" w:space="0" w:color="auto"/>
        <w:left w:val="none" w:sz="0" w:space="0" w:color="auto"/>
        <w:bottom w:val="none" w:sz="0" w:space="0" w:color="auto"/>
        <w:right w:val="none" w:sz="0" w:space="0" w:color="auto"/>
      </w:divBdr>
    </w:div>
    <w:div w:id="1247302156">
      <w:bodyDiv w:val="1"/>
      <w:marLeft w:val="0"/>
      <w:marRight w:val="0"/>
      <w:marTop w:val="0"/>
      <w:marBottom w:val="0"/>
      <w:divBdr>
        <w:top w:val="none" w:sz="0" w:space="0" w:color="auto"/>
        <w:left w:val="none" w:sz="0" w:space="0" w:color="auto"/>
        <w:bottom w:val="none" w:sz="0" w:space="0" w:color="auto"/>
        <w:right w:val="none" w:sz="0" w:space="0" w:color="auto"/>
      </w:divBdr>
    </w:div>
    <w:div w:id="1259096608">
      <w:bodyDiv w:val="1"/>
      <w:marLeft w:val="0"/>
      <w:marRight w:val="0"/>
      <w:marTop w:val="0"/>
      <w:marBottom w:val="0"/>
      <w:divBdr>
        <w:top w:val="none" w:sz="0" w:space="0" w:color="auto"/>
        <w:left w:val="none" w:sz="0" w:space="0" w:color="auto"/>
        <w:bottom w:val="none" w:sz="0" w:space="0" w:color="auto"/>
        <w:right w:val="none" w:sz="0" w:space="0" w:color="auto"/>
      </w:divBdr>
    </w:div>
    <w:div w:id="1259363982">
      <w:bodyDiv w:val="1"/>
      <w:marLeft w:val="0"/>
      <w:marRight w:val="0"/>
      <w:marTop w:val="0"/>
      <w:marBottom w:val="0"/>
      <w:divBdr>
        <w:top w:val="none" w:sz="0" w:space="0" w:color="auto"/>
        <w:left w:val="none" w:sz="0" w:space="0" w:color="auto"/>
        <w:bottom w:val="none" w:sz="0" w:space="0" w:color="auto"/>
        <w:right w:val="none" w:sz="0" w:space="0" w:color="auto"/>
      </w:divBdr>
    </w:div>
    <w:div w:id="1260407567">
      <w:bodyDiv w:val="1"/>
      <w:marLeft w:val="0"/>
      <w:marRight w:val="0"/>
      <w:marTop w:val="0"/>
      <w:marBottom w:val="0"/>
      <w:divBdr>
        <w:top w:val="none" w:sz="0" w:space="0" w:color="auto"/>
        <w:left w:val="none" w:sz="0" w:space="0" w:color="auto"/>
        <w:bottom w:val="none" w:sz="0" w:space="0" w:color="auto"/>
        <w:right w:val="none" w:sz="0" w:space="0" w:color="auto"/>
      </w:divBdr>
    </w:div>
    <w:div w:id="1262950673">
      <w:bodyDiv w:val="1"/>
      <w:marLeft w:val="0"/>
      <w:marRight w:val="0"/>
      <w:marTop w:val="0"/>
      <w:marBottom w:val="0"/>
      <w:divBdr>
        <w:top w:val="none" w:sz="0" w:space="0" w:color="auto"/>
        <w:left w:val="none" w:sz="0" w:space="0" w:color="auto"/>
        <w:bottom w:val="none" w:sz="0" w:space="0" w:color="auto"/>
        <w:right w:val="none" w:sz="0" w:space="0" w:color="auto"/>
      </w:divBdr>
    </w:div>
    <w:div w:id="1266888626">
      <w:bodyDiv w:val="1"/>
      <w:marLeft w:val="0"/>
      <w:marRight w:val="0"/>
      <w:marTop w:val="0"/>
      <w:marBottom w:val="0"/>
      <w:divBdr>
        <w:top w:val="none" w:sz="0" w:space="0" w:color="auto"/>
        <w:left w:val="none" w:sz="0" w:space="0" w:color="auto"/>
        <w:bottom w:val="none" w:sz="0" w:space="0" w:color="auto"/>
        <w:right w:val="none" w:sz="0" w:space="0" w:color="auto"/>
      </w:divBdr>
    </w:div>
    <w:div w:id="1270695262">
      <w:bodyDiv w:val="1"/>
      <w:marLeft w:val="0"/>
      <w:marRight w:val="0"/>
      <w:marTop w:val="0"/>
      <w:marBottom w:val="0"/>
      <w:divBdr>
        <w:top w:val="none" w:sz="0" w:space="0" w:color="auto"/>
        <w:left w:val="none" w:sz="0" w:space="0" w:color="auto"/>
        <w:bottom w:val="none" w:sz="0" w:space="0" w:color="auto"/>
        <w:right w:val="none" w:sz="0" w:space="0" w:color="auto"/>
      </w:divBdr>
    </w:div>
    <w:div w:id="1276328925">
      <w:bodyDiv w:val="1"/>
      <w:marLeft w:val="0"/>
      <w:marRight w:val="0"/>
      <w:marTop w:val="0"/>
      <w:marBottom w:val="0"/>
      <w:divBdr>
        <w:top w:val="none" w:sz="0" w:space="0" w:color="auto"/>
        <w:left w:val="none" w:sz="0" w:space="0" w:color="auto"/>
        <w:bottom w:val="none" w:sz="0" w:space="0" w:color="auto"/>
        <w:right w:val="none" w:sz="0" w:space="0" w:color="auto"/>
      </w:divBdr>
    </w:div>
    <w:div w:id="1280381356">
      <w:bodyDiv w:val="1"/>
      <w:marLeft w:val="0"/>
      <w:marRight w:val="0"/>
      <w:marTop w:val="0"/>
      <w:marBottom w:val="0"/>
      <w:divBdr>
        <w:top w:val="none" w:sz="0" w:space="0" w:color="auto"/>
        <w:left w:val="none" w:sz="0" w:space="0" w:color="auto"/>
        <w:bottom w:val="none" w:sz="0" w:space="0" w:color="auto"/>
        <w:right w:val="none" w:sz="0" w:space="0" w:color="auto"/>
      </w:divBdr>
    </w:div>
    <w:div w:id="1285162474">
      <w:bodyDiv w:val="1"/>
      <w:marLeft w:val="0"/>
      <w:marRight w:val="0"/>
      <w:marTop w:val="0"/>
      <w:marBottom w:val="0"/>
      <w:divBdr>
        <w:top w:val="none" w:sz="0" w:space="0" w:color="auto"/>
        <w:left w:val="none" w:sz="0" w:space="0" w:color="auto"/>
        <w:bottom w:val="none" w:sz="0" w:space="0" w:color="auto"/>
        <w:right w:val="none" w:sz="0" w:space="0" w:color="auto"/>
      </w:divBdr>
    </w:div>
    <w:div w:id="1293750027">
      <w:bodyDiv w:val="1"/>
      <w:marLeft w:val="0"/>
      <w:marRight w:val="0"/>
      <w:marTop w:val="0"/>
      <w:marBottom w:val="0"/>
      <w:divBdr>
        <w:top w:val="none" w:sz="0" w:space="0" w:color="auto"/>
        <w:left w:val="none" w:sz="0" w:space="0" w:color="auto"/>
        <w:bottom w:val="none" w:sz="0" w:space="0" w:color="auto"/>
        <w:right w:val="none" w:sz="0" w:space="0" w:color="auto"/>
      </w:divBdr>
    </w:div>
    <w:div w:id="1304389666">
      <w:bodyDiv w:val="1"/>
      <w:marLeft w:val="0"/>
      <w:marRight w:val="0"/>
      <w:marTop w:val="0"/>
      <w:marBottom w:val="0"/>
      <w:divBdr>
        <w:top w:val="none" w:sz="0" w:space="0" w:color="auto"/>
        <w:left w:val="none" w:sz="0" w:space="0" w:color="auto"/>
        <w:bottom w:val="none" w:sz="0" w:space="0" w:color="auto"/>
        <w:right w:val="none" w:sz="0" w:space="0" w:color="auto"/>
      </w:divBdr>
    </w:div>
    <w:div w:id="1311979744">
      <w:bodyDiv w:val="1"/>
      <w:marLeft w:val="0"/>
      <w:marRight w:val="0"/>
      <w:marTop w:val="0"/>
      <w:marBottom w:val="0"/>
      <w:divBdr>
        <w:top w:val="none" w:sz="0" w:space="0" w:color="auto"/>
        <w:left w:val="none" w:sz="0" w:space="0" w:color="auto"/>
        <w:bottom w:val="none" w:sz="0" w:space="0" w:color="auto"/>
        <w:right w:val="none" w:sz="0" w:space="0" w:color="auto"/>
      </w:divBdr>
    </w:div>
    <w:div w:id="1319378736">
      <w:bodyDiv w:val="1"/>
      <w:marLeft w:val="0"/>
      <w:marRight w:val="0"/>
      <w:marTop w:val="0"/>
      <w:marBottom w:val="0"/>
      <w:divBdr>
        <w:top w:val="none" w:sz="0" w:space="0" w:color="auto"/>
        <w:left w:val="none" w:sz="0" w:space="0" w:color="auto"/>
        <w:bottom w:val="none" w:sz="0" w:space="0" w:color="auto"/>
        <w:right w:val="none" w:sz="0" w:space="0" w:color="auto"/>
      </w:divBdr>
    </w:div>
    <w:div w:id="1327435127">
      <w:bodyDiv w:val="1"/>
      <w:marLeft w:val="0"/>
      <w:marRight w:val="0"/>
      <w:marTop w:val="0"/>
      <w:marBottom w:val="0"/>
      <w:divBdr>
        <w:top w:val="none" w:sz="0" w:space="0" w:color="auto"/>
        <w:left w:val="none" w:sz="0" w:space="0" w:color="auto"/>
        <w:bottom w:val="none" w:sz="0" w:space="0" w:color="auto"/>
        <w:right w:val="none" w:sz="0" w:space="0" w:color="auto"/>
      </w:divBdr>
    </w:div>
    <w:div w:id="1345323569">
      <w:bodyDiv w:val="1"/>
      <w:marLeft w:val="0"/>
      <w:marRight w:val="0"/>
      <w:marTop w:val="0"/>
      <w:marBottom w:val="0"/>
      <w:divBdr>
        <w:top w:val="none" w:sz="0" w:space="0" w:color="auto"/>
        <w:left w:val="none" w:sz="0" w:space="0" w:color="auto"/>
        <w:bottom w:val="none" w:sz="0" w:space="0" w:color="auto"/>
        <w:right w:val="none" w:sz="0" w:space="0" w:color="auto"/>
      </w:divBdr>
    </w:div>
    <w:div w:id="1359429906">
      <w:bodyDiv w:val="1"/>
      <w:marLeft w:val="0"/>
      <w:marRight w:val="0"/>
      <w:marTop w:val="0"/>
      <w:marBottom w:val="0"/>
      <w:divBdr>
        <w:top w:val="none" w:sz="0" w:space="0" w:color="auto"/>
        <w:left w:val="none" w:sz="0" w:space="0" w:color="auto"/>
        <w:bottom w:val="none" w:sz="0" w:space="0" w:color="auto"/>
        <w:right w:val="none" w:sz="0" w:space="0" w:color="auto"/>
      </w:divBdr>
    </w:div>
    <w:div w:id="1360814841">
      <w:bodyDiv w:val="1"/>
      <w:marLeft w:val="0"/>
      <w:marRight w:val="0"/>
      <w:marTop w:val="0"/>
      <w:marBottom w:val="0"/>
      <w:divBdr>
        <w:top w:val="none" w:sz="0" w:space="0" w:color="auto"/>
        <w:left w:val="none" w:sz="0" w:space="0" w:color="auto"/>
        <w:bottom w:val="none" w:sz="0" w:space="0" w:color="auto"/>
        <w:right w:val="none" w:sz="0" w:space="0" w:color="auto"/>
      </w:divBdr>
    </w:div>
    <w:div w:id="1362851892">
      <w:bodyDiv w:val="1"/>
      <w:marLeft w:val="0"/>
      <w:marRight w:val="0"/>
      <w:marTop w:val="0"/>
      <w:marBottom w:val="0"/>
      <w:divBdr>
        <w:top w:val="none" w:sz="0" w:space="0" w:color="auto"/>
        <w:left w:val="none" w:sz="0" w:space="0" w:color="auto"/>
        <w:bottom w:val="none" w:sz="0" w:space="0" w:color="auto"/>
        <w:right w:val="none" w:sz="0" w:space="0" w:color="auto"/>
      </w:divBdr>
    </w:div>
    <w:div w:id="1369404511">
      <w:bodyDiv w:val="1"/>
      <w:marLeft w:val="0"/>
      <w:marRight w:val="0"/>
      <w:marTop w:val="0"/>
      <w:marBottom w:val="0"/>
      <w:divBdr>
        <w:top w:val="none" w:sz="0" w:space="0" w:color="auto"/>
        <w:left w:val="none" w:sz="0" w:space="0" w:color="auto"/>
        <w:bottom w:val="none" w:sz="0" w:space="0" w:color="auto"/>
        <w:right w:val="none" w:sz="0" w:space="0" w:color="auto"/>
      </w:divBdr>
    </w:div>
    <w:div w:id="1369991079">
      <w:bodyDiv w:val="1"/>
      <w:marLeft w:val="0"/>
      <w:marRight w:val="0"/>
      <w:marTop w:val="0"/>
      <w:marBottom w:val="0"/>
      <w:divBdr>
        <w:top w:val="none" w:sz="0" w:space="0" w:color="auto"/>
        <w:left w:val="none" w:sz="0" w:space="0" w:color="auto"/>
        <w:bottom w:val="none" w:sz="0" w:space="0" w:color="auto"/>
        <w:right w:val="none" w:sz="0" w:space="0" w:color="auto"/>
      </w:divBdr>
    </w:div>
    <w:div w:id="1380130551">
      <w:bodyDiv w:val="1"/>
      <w:marLeft w:val="0"/>
      <w:marRight w:val="0"/>
      <w:marTop w:val="0"/>
      <w:marBottom w:val="0"/>
      <w:divBdr>
        <w:top w:val="none" w:sz="0" w:space="0" w:color="auto"/>
        <w:left w:val="none" w:sz="0" w:space="0" w:color="auto"/>
        <w:bottom w:val="none" w:sz="0" w:space="0" w:color="auto"/>
        <w:right w:val="none" w:sz="0" w:space="0" w:color="auto"/>
      </w:divBdr>
    </w:div>
    <w:div w:id="1381519491">
      <w:bodyDiv w:val="1"/>
      <w:marLeft w:val="0"/>
      <w:marRight w:val="0"/>
      <w:marTop w:val="0"/>
      <w:marBottom w:val="0"/>
      <w:divBdr>
        <w:top w:val="none" w:sz="0" w:space="0" w:color="auto"/>
        <w:left w:val="none" w:sz="0" w:space="0" w:color="auto"/>
        <w:bottom w:val="none" w:sz="0" w:space="0" w:color="auto"/>
        <w:right w:val="none" w:sz="0" w:space="0" w:color="auto"/>
      </w:divBdr>
    </w:div>
    <w:div w:id="1392583481">
      <w:bodyDiv w:val="1"/>
      <w:marLeft w:val="0"/>
      <w:marRight w:val="0"/>
      <w:marTop w:val="0"/>
      <w:marBottom w:val="0"/>
      <w:divBdr>
        <w:top w:val="none" w:sz="0" w:space="0" w:color="auto"/>
        <w:left w:val="none" w:sz="0" w:space="0" w:color="auto"/>
        <w:bottom w:val="none" w:sz="0" w:space="0" w:color="auto"/>
        <w:right w:val="none" w:sz="0" w:space="0" w:color="auto"/>
      </w:divBdr>
    </w:div>
    <w:div w:id="1400323486">
      <w:bodyDiv w:val="1"/>
      <w:marLeft w:val="0"/>
      <w:marRight w:val="0"/>
      <w:marTop w:val="0"/>
      <w:marBottom w:val="0"/>
      <w:divBdr>
        <w:top w:val="none" w:sz="0" w:space="0" w:color="auto"/>
        <w:left w:val="none" w:sz="0" w:space="0" w:color="auto"/>
        <w:bottom w:val="none" w:sz="0" w:space="0" w:color="auto"/>
        <w:right w:val="none" w:sz="0" w:space="0" w:color="auto"/>
      </w:divBdr>
    </w:div>
    <w:div w:id="1402606163">
      <w:bodyDiv w:val="1"/>
      <w:marLeft w:val="0"/>
      <w:marRight w:val="0"/>
      <w:marTop w:val="0"/>
      <w:marBottom w:val="0"/>
      <w:divBdr>
        <w:top w:val="none" w:sz="0" w:space="0" w:color="auto"/>
        <w:left w:val="none" w:sz="0" w:space="0" w:color="auto"/>
        <w:bottom w:val="none" w:sz="0" w:space="0" w:color="auto"/>
        <w:right w:val="none" w:sz="0" w:space="0" w:color="auto"/>
      </w:divBdr>
    </w:div>
    <w:div w:id="1403335207">
      <w:bodyDiv w:val="1"/>
      <w:marLeft w:val="0"/>
      <w:marRight w:val="0"/>
      <w:marTop w:val="0"/>
      <w:marBottom w:val="0"/>
      <w:divBdr>
        <w:top w:val="none" w:sz="0" w:space="0" w:color="auto"/>
        <w:left w:val="none" w:sz="0" w:space="0" w:color="auto"/>
        <w:bottom w:val="none" w:sz="0" w:space="0" w:color="auto"/>
        <w:right w:val="none" w:sz="0" w:space="0" w:color="auto"/>
      </w:divBdr>
    </w:div>
    <w:div w:id="1409110312">
      <w:bodyDiv w:val="1"/>
      <w:marLeft w:val="0"/>
      <w:marRight w:val="0"/>
      <w:marTop w:val="0"/>
      <w:marBottom w:val="0"/>
      <w:divBdr>
        <w:top w:val="none" w:sz="0" w:space="0" w:color="auto"/>
        <w:left w:val="none" w:sz="0" w:space="0" w:color="auto"/>
        <w:bottom w:val="none" w:sz="0" w:space="0" w:color="auto"/>
        <w:right w:val="none" w:sz="0" w:space="0" w:color="auto"/>
      </w:divBdr>
    </w:div>
    <w:div w:id="1411848372">
      <w:bodyDiv w:val="1"/>
      <w:marLeft w:val="0"/>
      <w:marRight w:val="0"/>
      <w:marTop w:val="0"/>
      <w:marBottom w:val="0"/>
      <w:divBdr>
        <w:top w:val="none" w:sz="0" w:space="0" w:color="auto"/>
        <w:left w:val="none" w:sz="0" w:space="0" w:color="auto"/>
        <w:bottom w:val="none" w:sz="0" w:space="0" w:color="auto"/>
        <w:right w:val="none" w:sz="0" w:space="0" w:color="auto"/>
      </w:divBdr>
    </w:div>
    <w:div w:id="1413552545">
      <w:bodyDiv w:val="1"/>
      <w:marLeft w:val="0"/>
      <w:marRight w:val="0"/>
      <w:marTop w:val="0"/>
      <w:marBottom w:val="0"/>
      <w:divBdr>
        <w:top w:val="none" w:sz="0" w:space="0" w:color="auto"/>
        <w:left w:val="none" w:sz="0" w:space="0" w:color="auto"/>
        <w:bottom w:val="none" w:sz="0" w:space="0" w:color="auto"/>
        <w:right w:val="none" w:sz="0" w:space="0" w:color="auto"/>
      </w:divBdr>
    </w:div>
    <w:div w:id="1415012721">
      <w:bodyDiv w:val="1"/>
      <w:marLeft w:val="0"/>
      <w:marRight w:val="0"/>
      <w:marTop w:val="0"/>
      <w:marBottom w:val="0"/>
      <w:divBdr>
        <w:top w:val="none" w:sz="0" w:space="0" w:color="auto"/>
        <w:left w:val="none" w:sz="0" w:space="0" w:color="auto"/>
        <w:bottom w:val="none" w:sz="0" w:space="0" w:color="auto"/>
        <w:right w:val="none" w:sz="0" w:space="0" w:color="auto"/>
      </w:divBdr>
    </w:div>
    <w:div w:id="1418752548">
      <w:bodyDiv w:val="1"/>
      <w:marLeft w:val="0"/>
      <w:marRight w:val="0"/>
      <w:marTop w:val="0"/>
      <w:marBottom w:val="0"/>
      <w:divBdr>
        <w:top w:val="none" w:sz="0" w:space="0" w:color="auto"/>
        <w:left w:val="none" w:sz="0" w:space="0" w:color="auto"/>
        <w:bottom w:val="none" w:sz="0" w:space="0" w:color="auto"/>
        <w:right w:val="none" w:sz="0" w:space="0" w:color="auto"/>
      </w:divBdr>
    </w:div>
    <w:div w:id="1422406898">
      <w:bodyDiv w:val="1"/>
      <w:marLeft w:val="0"/>
      <w:marRight w:val="0"/>
      <w:marTop w:val="0"/>
      <w:marBottom w:val="0"/>
      <w:divBdr>
        <w:top w:val="none" w:sz="0" w:space="0" w:color="auto"/>
        <w:left w:val="none" w:sz="0" w:space="0" w:color="auto"/>
        <w:bottom w:val="none" w:sz="0" w:space="0" w:color="auto"/>
        <w:right w:val="none" w:sz="0" w:space="0" w:color="auto"/>
      </w:divBdr>
    </w:div>
    <w:div w:id="1422482428">
      <w:bodyDiv w:val="1"/>
      <w:marLeft w:val="0"/>
      <w:marRight w:val="0"/>
      <w:marTop w:val="0"/>
      <w:marBottom w:val="0"/>
      <w:divBdr>
        <w:top w:val="none" w:sz="0" w:space="0" w:color="auto"/>
        <w:left w:val="none" w:sz="0" w:space="0" w:color="auto"/>
        <w:bottom w:val="none" w:sz="0" w:space="0" w:color="auto"/>
        <w:right w:val="none" w:sz="0" w:space="0" w:color="auto"/>
      </w:divBdr>
    </w:div>
    <w:div w:id="1426534766">
      <w:bodyDiv w:val="1"/>
      <w:marLeft w:val="0"/>
      <w:marRight w:val="0"/>
      <w:marTop w:val="0"/>
      <w:marBottom w:val="0"/>
      <w:divBdr>
        <w:top w:val="none" w:sz="0" w:space="0" w:color="auto"/>
        <w:left w:val="none" w:sz="0" w:space="0" w:color="auto"/>
        <w:bottom w:val="none" w:sz="0" w:space="0" w:color="auto"/>
        <w:right w:val="none" w:sz="0" w:space="0" w:color="auto"/>
      </w:divBdr>
    </w:div>
    <w:div w:id="1434397169">
      <w:bodyDiv w:val="1"/>
      <w:marLeft w:val="0"/>
      <w:marRight w:val="0"/>
      <w:marTop w:val="0"/>
      <w:marBottom w:val="0"/>
      <w:divBdr>
        <w:top w:val="none" w:sz="0" w:space="0" w:color="auto"/>
        <w:left w:val="none" w:sz="0" w:space="0" w:color="auto"/>
        <w:bottom w:val="none" w:sz="0" w:space="0" w:color="auto"/>
        <w:right w:val="none" w:sz="0" w:space="0" w:color="auto"/>
      </w:divBdr>
    </w:div>
    <w:div w:id="1441027615">
      <w:bodyDiv w:val="1"/>
      <w:marLeft w:val="0"/>
      <w:marRight w:val="0"/>
      <w:marTop w:val="0"/>
      <w:marBottom w:val="0"/>
      <w:divBdr>
        <w:top w:val="none" w:sz="0" w:space="0" w:color="auto"/>
        <w:left w:val="none" w:sz="0" w:space="0" w:color="auto"/>
        <w:bottom w:val="none" w:sz="0" w:space="0" w:color="auto"/>
        <w:right w:val="none" w:sz="0" w:space="0" w:color="auto"/>
      </w:divBdr>
    </w:div>
    <w:div w:id="1443308313">
      <w:bodyDiv w:val="1"/>
      <w:marLeft w:val="0"/>
      <w:marRight w:val="0"/>
      <w:marTop w:val="0"/>
      <w:marBottom w:val="0"/>
      <w:divBdr>
        <w:top w:val="none" w:sz="0" w:space="0" w:color="auto"/>
        <w:left w:val="none" w:sz="0" w:space="0" w:color="auto"/>
        <w:bottom w:val="none" w:sz="0" w:space="0" w:color="auto"/>
        <w:right w:val="none" w:sz="0" w:space="0" w:color="auto"/>
      </w:divBdr>
    </w:div>
    <w:div w:id="1450658961">
      <w:bodyDiv w:val="1"/>
      <w:marLeft w:val="0"/>
      <w:marRight w:val="0"/>
      <w:marTop w:val="0"/>
      <w:marBottom w:val="0"/>
      <w:divBdr>
        <w:top w:val="none" w:sz="0" w:space="0" w:color="auto"/>
        <w:left w:val="none" w:sz="0" w:space="0" w:color="auto"/>
        <w:bottom w:val="none" w:sz="0" w:space="0" w:color="auto"/>
        <w:right w:val="none" w:sz="0" w:space="0" w:color="auto"/>
      </w:divBdr>
    </w:div>
    <w:div w:id="1454859338">
      <w:bodyDiv w:val="1"/>
      <w:marLeft w:val="0"/>
      <w:marRight w:val="0"/>
      <w:marTop w:val="0"/>
      <w:marBottom w:val="0"/>
      <w:divBdr>
        <w:top w:val="none" w:sz="0" w:space="0" w:color="auto"/>
        <w:left w:val="none" w:sz="0" w:space="0" w:color="auto"/>
        <w:bottom w:val="none" w:sz="0" w:space="0" w:color="auto"/>
        <w:right w:val="none" w:sz="0" w:space="0" w:color="auto"/>
      </w:divBdr>
    </w:div>
    <w:div w:id="1462460991">
      <w:bodyDiv w:val="1"/>
      <w:marLeft w:val="0"/>
      <w:marRight w:val="0"/>
      <w:marTop w:val="0"/>
      <w:marBottom w:val="0"/>
      <w:divBdr>
        <w:top w:val="none" w:sz="0" w:space="0" w:color="auto"/>
        <w:left w:val="none" w:sz="0" w:space="0" w:color="auto"/>
        <w:bottom w:val="none" w:sz="0" w:space="0" w:color="auto"/>
        <w:right w:val="none" w:sz="0" w:space="0" w:color="auto"/>
      </w:divBdr>
    </w:div>
    <w:div w:id="1467353934">
      <w:bodyDiv w:val="1"/>
      <w:marLeft w:val="0"/>
      <w:marRight w:val="0"/>
      <w:marTop w:val="0"/>
      <w:marBottom w:val="0"/>
      <w:divBdr>
        <w:top w:val="none" w:sz="0" w:space="0" w:color="auto"/>
        <w:left w:val="none" w:sz="0" w:space="0" w:color="auto"/>
        <w:bottom w:val="none" w:sz="0" w:space="0" w:color="auto"/>
        <w:right w:val="none" w:sz="0" w:space="0" w:color="auto"/>
      </w:divBdr>
    </w:div>
    <w:div w:id="1467505395">
      <w:bodyDiv w:val="1"/>
      <w:marLeft w:val="0"/>
      <w:marRight w:val="0"/>
      <w:marTop w:val="0"/>
      <w:marBottom w:val="0"/>
      <w:divBdr>
        <w:top w:val="none" w:sz="0" w:space="0" w:color="auto"/>
        <w:left w:val="none" w:sz="0" w:space="0" w:color="auto"/>
        <w:bottom w:val="none" w:sz="0" w:space="0" w:color="auto"/>
        <w:right w:val="none" w:sz="0" w:space="0" w:color="auto"/>
      </w:divBdr>
    </w:div>
    <w:div w:id="1467624883">
      <w:bodyDiv w:val="1"/>
      <w:marLeft w:val="0"/>
      <w:marRight w:val="0"/>
      <w:marTop w:val="0"/>
      <w:marBottom w:val="0"/>
      <w:divBdr>
        <w:top w:val="none" w:sz="0" w:space="0" w:color="auto"/>
        <w:left w:val="none" w:sz="0" w:space="0" w:color="auto"/>
        <w:bottom w:val="none" w:sz="0" w:space="0" w:color="auto"/>
        <w:right w:val="none" w:sz="0" w:space="0" w:color="auto"/>
      </w:divBdr>
    </w:div>
    <w:div w:id="1470440242">
      <w:bodyDiv w:val="1"/>
      <w:marLeft w:val="0"/>
      <w:marRight w:val="0"/>
      <w:marTop w:val="0"/>
      <w:marBottom w:val="0"/>
      <w:divBdr>
        <w:top w:val="none" w:sz="0" w:space="0" w:color="auto"/>
        <w:left w:val="none" w:sz="0" w:space="0" w:color="auto"/>
        <w:bottom w:val="none" w:sz="0" w:space="0" w:color="auto"/>
        <w:right w:val="none" w:sz="0" w:space="0" w:color="auto"/>
      </w:divBdr>
    </w:div>
    <w:div w:id="1472940152">
      <w:bodyDiv w:val="1"/>
      <w:marLeft w:val="0"/>
      <w:marRight w:val="0"/>
      <w:marTop w:val="0"/>
      <w:marBottom w:val="0"/>
      <w:divBdr>
        <w:top w:val="none" w:sz="0" w:space="0" w:color="auto"/>
        <w:left w:val="none" w:sz="0" w:space="0" w:color="auto"/>
        <w:bottom w:val="none" w:sz="0" w:space="0" w:color="auto"/>
        <w:right w:val="none" w:sz="0" w:space="0" w:color="auto"/>
      </w:divBdr>
    </w:div>
    <w:div w:id="1477649294">
      <w:bodyDiv w:val="1"/>
      <w:marLeft w:val="0"/>
      <w:marRight w:val="0"/>
      <w:marTop w:val="0"/>
      <w:marBottom w:val="0"/>
      <w:divBdr>
        <w:top w:val="none" w:sz="0" w:space="0" w:color="auto"/>
        <w:left w:val="none" w:sz="0" w:space="0" w:color="auto"/>
        <w:bottom w:val="none" w:sz="0" w:space="0" w:color="auto"/>
        <w:right w:val="none" w:sz="0" w:space="0" w:color="auto"/>
      </w:divBdr>
    </w:div>
    <w:div w:id="1488323984">
      <w:bodyDiv w:val="1"/>
      <w:marLeft w:val="0"/>
      <w:marRight w:val="0"/>
      <w:marTop w:val="0"/>
      <w:marBottom w:val="0"/>
      <w:divBdr>
        <w:top w:val="none" w:sz="0" w:space="0" w:color="auto"/>
        <w:left w:val="none" w:sz="0" w:space="0" w:color="auto"/>
        <w:bottom w:val="none" w:sz="0" w:space="0" w:color="auto"/>
        <w:right w:val="none" w:sz="0" w:space="0" w:color="auto"/>
      </w:divBdr>
    </w:div>
    <w:div w:id="1494179907">
      <w:bodyDiv w:val="1"/>
      <w:marLeft w:val="0"/>
      <w:marRight w:val="0"/>
      <w:marTop w:val="0"/>
      <w:marBottom w:val="0"/>
      <w:divBdr>
        <w:top w:val="none" w:sz="0" w:space="0" w:color="auto"/>
        <w:left w:val="none" w:sz="0" w:space="0" w:color="auto"/>
        <w:bottom w:val="none" w:sz="0" w:space="0" w:color="auto"/>
        <w:right w:val="none" w:sz="0" w:space="0" w:color="auto"/>
      </w:divBdr>
    </w:div>
    <w:div w:id="1500923463">
      <w:bodyDiv w:val="1"/>
      <w:marLeft w:val="0"/>
      <w:marRight w:val="0"/>
      <w:marTop w:val="0"/>
      <w:marBottom w:val="0"/>
      <w:divBdr>
        <w:top w:val="none" w:sz="0" w:space="0" w:color="auto"/>
        <w:left w:val="none" w:sz="0" w:space="0" w:color="auto"/>
        <w:bottom w:val="none" w:sz="0" w:space="0" w:color="auto"/>
        <w:right w:val="none" w:sz="0" w:space="0" w:color="auto"/>
      </w:divBdr>
    </w:div>
    <w:div w:id="1505046404">
      <w:bodyDiv w:val="1"/>
      <w:marLeft w:val="0"/>
      <w:marRight w:val="0"/>
      <w:marTop w:val="0"/>
      <w:marBottom w:val="0"/>
      <w:divBdr>
        <w:top w:val="none" w:sz="0" w:space="0" w:color="auto"/>
        <w:left w:val="none" w:sz="0" w:space="0" w:color="auto"/>
        <w:bottom w:val="none" w:sz="0" w:space="0" w:color="auto"/>
        <w:right w:val="none" w:sz="0" w:space="0" w:color="auto"/>
      </w:divBdr>
    </w:div>
    <w:div w:id="1516072161">
      <w:bodyDiv w:val="1"/>
      <w:marLeft w:val="0"/>
      <w:marRight w:val="0"/>
      <w:marTop w:val="0"/>
      <w:marBottom w:val="0"/>
      <w:divBdr>
        <w:top w:val="none" w:sz="0" w:space="0" w:color="auto"/>
        <w:left w:val="none" w:sz="0" w:space="0" w:color="auto"/>
        <w:bottom w:val="none" w:sz="0" w:space="0" w:color="auto"/>
        <w:right w:val="none" w:sz="0" w:space="0" w:color="auto"/>
      </w:divBdr>
    </w:div>
    <w:div w:id="1520771689">
      <w:bodyDiv w:val="1"/>
      <w:marLeft w:val="0"/>
      <w:marRight w:val="0"/>
      <w:marTop w:val="0"/>
      <w:marBottom w:val="0"/>
      <w:divBdr>
        <w:top w:val="none" w:sz="0" w:space="0" w:color="auto"/>
        <w:left w:val="none" w:sz="0" w:space="0" w:color="auto"/>
        <w:bottom w:val="none" w:sz="0" w:space="0" w:color="auto"/>
        <w:right w:val="none" w:sz="0" w:space="0" w:color="auto"/>
      </w:divBdr>
    </w:div>
    <w:div w:id="1522471046">
      <w:bodyDiv w:val="1"/>
      <w:marLeft w:val="0"/>
      <w:marRight w:val="0"/>
      <w:marTop w:val="0"/>
      <w:marBottom w:val="0"/>
      <w:divBdr>
        <w:top w:val="none" w:sz="0" w:space="0" w:color="auto"/>
        <w:left w:val="none" w:sz="0" w:space="0" w:color="auto"/>
        <w:bottom w:val="none" w:sz="0" w:space="0" w:color="auto"/>
        <w:right w:val="none" w:sz="0" w:space="0" w:color="auto"/>
      </w:divBdr>
    </w:div>
    <w:div w:id="1529249530">
      <w:bodyDiv w:val="1"/>
      <w:marLeft w:val="0"/>
      <w:marRight w:val="0"/>
      <w:marTop w:val="0"/>
      <w:marBottom w:val="0"/>
      <w:divBdr>
        <w:top w:val="none" w:sz="0" w:space="0" w:color="auto"/>
        <w:left w:val="none" w:sz="0" w:space="0" w:color="auto"/>
        <w:bottom w:val="none" w:sz="0" w:space="0" w:color="auto"/>
        <w:right w:val="none" w:sz="0" w:space="0" w:color="auto"/>
      </w:divBdr>
    </w:div>
    <w:div w:id="1536697187">
      <w:bodyDiv w:val="1"/>
      <w:marLeft w:val="0"/>
      <w:marRight w:val="0"/>
      <w:marTop w:val="0"/>
      <w:marBottom w:val="0"/>
      <w:divBdr>
        <w:top w:val="none" w:sz="0" w:space="0" w:color="auto"/>
        <w:left w:val="none" w:sz="0" w:space="0" w:color="auto"/>
        <w:bottom w:val="none" w:sz="0" w:space="0" w:color="auto"/>
        <w:right w:val="none" w:sz="0" w:space="0" w:color="auto"/>
      </w:divBdr>
    </w:div>
    <w:div w:id="1537427001">
      <w:bodyDiv w:val="1"/>
      <w:marLeft w:val="0"/>
      <w:marRight w:val="0"/>
      <w:marTop w:val="0"/>
      <w:marBottom w:val="0"/>
      <w:divBdr>
        <w:top w:val="none" w:sz="0" w:space="0" w:color="auto"/>
        <w:left w:val="none" w:sz="0" w:space="0" w:color="auto"/>
        <w:bottom w:val="none" w:sz="0" w:space="0" w:color="auto"/>
        <w:right w:val="none" w:sz="0" w:space="0" w:color="auto"/>
      </w:divBdr>
    </w:div>
    <w:div w:id="1540819616">
      <w:bodyDiv w:val="1"/>
      <w:marLeft w:val="0"/>
      <w:marRight w:val="0"/>
      <w:marTop w:val="0"/>
      <w:marBottom w:val="0"/>
      <w:divBdr>
        <w:top w:val="none" w:sz="0" w:space="0" w:color="auto"/>
        <w:left w:val="none" w:sz="0" w:space="0" w:color="auto"/>
        <w:bottom w:val="none" w:sz="0" w:space="0" w:color="auto"/>
        <w:right w:val="none" w:sz="0" w:space="0" w:color="auto"/>
      </w:divBdr>
    </w:div>
    <w:div w:id="1545943795">
      <w:bodyDiv w:val="1"/>
      <w:marLeft w:val="0"/>
      <w:marRight w:val="0"/>
      <w:marTop w:val="0"/>
      <w:marBottom w:val="0"/>
      <w:divBdr>
        <w:top w:val="none" w:sz="0" w:space="0" w:color="auto"/>
        <w:left w:val="none" w:sz="0" w:space="0" w:color="auto"/>
        <w:bottom w:val="none" w:sz="0" w:space="0" w:color="auto"/>
        <w:right w:val="none" w:sz="0" w:space="0" w:color="auto"/>
      </w:divBdr>
    </w:div>
    <w:div w:id="1556893531">
      <w:bodyDiv w:val="1"/>
      <w:marLeft w:val="0"/>
      <w:marRight w:val="0"/>
      <w:marTop w:val="0"/>
      <w:marBottom w:val="0"/>
      <w:divBdr>
        <w:top w:val="none" w:sz="0" w:space="0" w:color="auto"/>
        <w:left w:val="none" w:sz="0" w:space="0" w:color="auto"/>
        <w:bottom w:val="none" w:sz="0" w:space="0" w:color="auto"/>
        <w:right w:val="none" w:sz="0" w:space="0" w:color="auto"/>
      </w:divBdr>
    </w:div>
    <w:div w:id="1565412360">
      <w:bodyDiv w:val="1"/>
      <w:marLeft w:val="0"/>
      <w:marRight w:val="0"/>
      <w:marTop w:val="0"/>
      <w:marBottom w:val="0"/>
      <w:divBdr>
        <w:top w:val="none" w:sz="0" w:space="0" w:color="auto"/>
        <w:left w:val="none" w:sz="0" w:space="0" w:color="auto"/>
        <w:bottom w:val="none" w:sz="0" w:space="0" w:color="auto"/>
        <w:right w:val="none" w:sz="0" w:space="0" w:color="auto"/>
      </w:divBdr>
    </w:div>
    <w:div w:id="1565991758">
      <w:bodyDiv w:val="1"/>
      <w:marLeft w:val="0"/>
      <w:marRight w:val="0"/>
      <w:marTop w:val="0"/>
      <w:marBottom w:val="0"/>
      <w:divBdr>
        <w:top w:val="none" w:sz="0" w:space="0" w:color="auto"/>
        <w:left w:val="none" w:sz="0" w:space="0" w:color="auto"/>
        <w:bottom w:val="none" w:sz="0" w:space="0" w:color="auto"/>
        <w:right w:val="none" w:sz="0" w:space="0" w:color="auto"/>
      </w:divBdr>
    </w:div>
    <w:div w:id="1569804343">
      <w:bodyDiv w:val="1"/>
      <w:marLeft w:val="0"/>
      <w:marRight w:val="0"/>
      <w:marTop w:val="0"/>
      <w:marBottom w:val="0"/>
      <w:divBdr>
        <w:top w:val="none" w:sz="0" w:space="0" w:color="auto"/>
        <w:left w:val="none" w:sz="0" w:space="0" w:color="auto"/>
        <w:bottom w:val="none" w:sz="0" w:space="0" w:color="auto"/>
        <w:right w:val="none" w:sz="0" w:space="0" w:color="auto"/>
      </w:divBdr>
    </w:div>
    <w:div w:id="1572500349">
      <w:bodyDiv w:val="1"/>
      <w:marLeft w:val="0"/>
      <w:marRight w:val="0"/>
      <w:marTop w:val="0"/>
      <w:marBottom w:val="0"/>
      <w:divBdr>
        <w:top w:val="none" w:sz="0" w:space="0" w:color="auto"/>
        <w:left w:val="none" w:sz="0" w:space="0" w:color="auto"/>
        <w:bottom w:val="none" w:sz="0" w:space="0" w:color="auto"/>
        <w:right w:val="none" w:sz="0" w:space="0" w:color="auto"/>
      </w:divBdr>
    </w:div>
    <w:div w:id="1578704969">
      <w:bodyDiv w:val="1"/>
      <w:marLeft w:val="0"/>
      <w:marRight w:val="0"/>
      <w:marTop w:val="0"/>
      <w:marBottom w:val="0"/>
      <w:divBdr>
        <w:top w:val="none" w:sz="0" w:space="0" w:color="auto"/>
        <w:left w:val="none" w:sz="0" w:space="0" w:color="auto"/>
        <w:bottom w:val="none" w:sz="0" w:space="0" w:color="auto"/>
        <w:right w:val="none" w:sz="0" w:space="0" w:color="auto"/>
      </w:divBdr>
    </w:div>
    <w:div w:id="1581712321">
      <w:bodyDiv w:val="1"/>
      <w:marLeft w:val="0"/>
      <w:marRight w:val="0"/>
      <w:marTop w:val="0"/>
      <w:marBottom w:val="0"/>
      <w:divBdr>
        <w:top w:val="none" w:sz="0" w:space="0" w:color="auto"/>
        <w:left w:val="none" w:sz="0" w:space="0" w:color="auto"/>
        <w:bottom w:val="none" w:sz="0" w:space="0" w:color="auto"/>
        <w:right w:val="none" w:sz="0" w:space="0" w:color="auto"/>
      </w:divBdr>
    </w:div>
    <w:div w:id="1594699505">
      <w:bodyDiv w:val="1"/>
      <w:marLeft w:val="0"/>
      <w:marRight w:val="0"/>
      <w:marTop w:val="0"/>
      <w:marBottom w:val="0"/>
      <w:divBdr>
        <w:top w:val="none" w:sz="0" w:space="0" w:color="auto"/>
        <w:left w:val="none" w:sz="0" w:space="0" w:color="auto"/>
        <w:bottom w:val="none" w:sz="0" w:space="0" w:color="auto"/>
        <w:right w:val="none" w:sz="0" w:space="0" w:color="auto"/>
      </w:divBdr>
    </w:div>
    <w:div w:id="1596327982">
      <w:bodyDiv w:val="1"/>
      <w:marLeft w:val="0"/>
      <w:marRight w:val="0"/>
      <w:marTop w:val="0"/>
      <w:marBottom w:val="0"/>
      <w:divBdr>
        <w:top w:val="none" w:sz="0" w:space="0" w:color="auto"/>
        <w:left w:val="none" w:sz="0" w:space="0" w:color="auto"/>
        <w:bottom w:val="none" w:sz="0" w:space="0" w:color="auto"/>
        <w:right w:val="none" w:sz="0" w:space="0" w:color="auto"/>
      </w:divBdr>
    </w:div>
    <w:div w:id="1601180962">
      <w:bodyDiv w:val="1"/>
      <w:marLeft w:val="0"/>
      <w:marRight w:val="0"/>
      <w:marTop w:val="0"/>
      <w:marBottom w:val="0"/>
      <w:divBdr>
        <w:top w:val="none" w:sz="0" w:space="0" w:color="auto"/>
        <w:left w:val="none" w:sz="0" w:space="0" w:color="auto"/>
        <w:bottom w:val="none" w:sz="0" w:space="0" w:color="auto"/>
        <w:right w:val="none" w:sz="0" w:space="0" w:color="auto"/>
      </w:divBdr>
    </w:div>
    <w:div w:id="1606579047">
      <w:bodyDiv w:val="1"/>
      <w:marLeft w:val="0"/>
      <w:marRight w:val="0"/>
      <w:marTop w:val="0"/>
      <w:marBottom w:val="0"/>
      <w:divBdr>
        <w:top w:val="none" w:sz="0" w:space="0" w:color="auto"/>
        <w:left w:val="none" w:sz="0" w:space="0" w:color="auto"/>
        <w:bottom w:val="none" w:sz="0" w:space="0" w:color="auto"/>
        <w:right w:val="none" w:sz="0" w:space="0" w:color="auto"/>
      </w:divBdr>
    </w:div>
    <w:div w:id="1606766801">
      <w:bodyDiv w:val="1"/>
      <w:marLeft w:val="0"/>
      <w:marRight w:val="0"/>
      <w:marTop w:val="0"/>
      <w:marBottom w:val="0"/>
      <w:divBdr>
        <w:top w:val="none" w:sz="0" w:space="0" w:color="auto"/>
        <w:left w:val="none" w:sz="0" w:space="0" w:color="auto"/>
        <w:bottom w:val="none" w:sz="0" w:space="0" w:color="auto"/>
        <w:right w:val="none" w:sz="0" w:space="0" w:color="auto"/>
      </w:divBdr>
    </w:div>
    <w:div w:id="1608079265">
      <w:bodyDiv w:val="1"/>
      <w:marLeft w:val="0"/>
      <w:marRight w:val="0"/>
      <w:marTop w:val="0"/>
      <w:marBottom w:val="0"/>
      <w:divBdr>
        <w:top w:val="none" w:sz="0" w:space="0" w:color="auto"/>
        <w:left w:val="none" w:sz="0" w:space="0" w:color="auto"/>
        <w:bottom w:val="none" w:sz="0" w:space="0" w:color="auto"/>
        <w:right w:val="none" w:sz="0" w:space="0" w:color="auto"/>
      </w:divBdr>
    </w:div>
    <w:div w:id="1624266097">
      <w:bodyDiv w:val="1"/>
      <w:marLeft w:val="0"/>
      <w:marRight w:val="0"/>
      <w:marTop w:val="0"/>
      <w:marBottom w:val="0"/>
      <w:divBdr>
        <w:top w:val="none" w:sz="0" w:space="0" w:color="auto"/>
        <w:left w:val="none" w:sz="0" w:space="0" w:color="auto"/>
        <w:bottom w:val="none" w:sz="0" w:space="0" w:color="auto"/>
        <w:right w:val="none" w:sz="0" w:space="0" w:color="auto"/>
      </w:divBdr>
    </w:div>
    <w:div w:id="1627352477">
      <w:bodyDiv w:val="1"/>
      <w:marLeft w:val="0"/>
      <w:marRight w:val="0"/>
      <w:marTop w:val="0"/>
      <w:marBottom w:val="0"/>
      <w:divBdr>
        <w:top w:val="none" w:sz="0" w:space="0" w:color="auto"/>
        <w:left w:val="none" w:sz="0" w:space="0" w:color="auto"/>
        <w:bottom w:val="none" w:sz="0" w:space="0" w:color="auto"/>
        <w:right w:val="none" w:sz="0" w:space="0" w:color="auto"/>
      </w:divBdr>
    </w:div>
    <w:div w:id="1629552677">
      <w:bodyDiv w:val="1"/>
      <w:marLeft w:val="0"/>
      <w:marRight w:val="0"/>
      <w:marTop w:val="0"/>
      <w:marBottom w:val="0"/>
      <w:divBdr>
        <w:top w:val="none" w:sz="0" w:space="0" w:color="auto"/>
        <w:left w:val="none" w:sz="0" w:space="0" w:color="auto"/>
        <w:bottom w:val="none" w:sz="0" w:space="0" w:color="auto"/>
        <w:right w:val="none" w:sz="0" w:space="0" w:color="auto"/>
      </w:divBdr>
    </w:div>
    <w:div w:id="1634943444">
      <w:bodyDiv w:val="1"/>
      <w:marLeft w:val="0"/>
      <w:marRight w:val="0"/>
      <w:marTop w:val="0"/>
      <w:marBottom w:val="0"/>
      <w:divBdr>
        <w:top w:val="none" w:sz="0" w:space="0" w:color="auto"/>
        <w:left w:val="none" w:sz="0" w:space="0" w:color="auto"/>
        <w:bottom w:val="none" w:sz="0" w:space="0" w:color="auto"/>
        <w:right w:val="none" w:sz="0" w:space="0" w:color="auto"/>
      </w:divBdr>
    </w:div>
    <w:div w:id="1635870404">
      <w:bodyDiv w:val="1"/>
      <w:marLeft w:val="0"/>
      <w:marRight w:val="0"/>
      <w:marTop w:val="0"/>
      <w:marBottom w:val="0"/>
      <w:divBdr>
        <w:top w:val="none" w:sz="0" w:space="0" w:color="auto"/>
        <w:left w:val="none" w:sz="0" w:space="0" w:color="auto"/>
        <w:bottom w:val="none" w:sz="0" w:space="0" w:color="auto"/>
        <w:right w:val="none" w:sz="0" w:space="0" w:color="auto"/>
      </w:divBdr>
    </w:div>
    <w:div w:id="1647122339">
      <w:bodyDiv w:val="1"/>
      <w:marLeft w:val="0"/>
      <w:marRight w:val="0"/>
      <w:marTop w:val="0"/>
      <w:marBottom w:val="0"/>
      <w:divBdr>
        <w:top w:val="none" w:sz="0" w:space="0" w:color="auto"/>
        <w:left w:val="none" w:sz="0" w:space="0" w:color="auto"/>
        <w:bottom w:val="none" w:sz="0" w:space="0" w:color="auto"/>
        <w:right w:val="none" w:sz="0" w:space="0" w:color="auto"/>
      </w:divBdr>
    </w:div>
    <w:div w:id="1650286946">
      <w:bodyDiv w:val="1"/>
      <w:marLeft w:val="0"/>
      <w:marRight w:val="0"/>
      <w:marTop w:val="0"/>
      <w:marBottom w:val="0"/>
      <w:divBdr>
        <w:top w:val="none" w:sz="0" w:space="0" w:color="auto"/>
        <w:left w:val="none" w:sz="0" w:space="0" w:color="auto"/>
        <w:bottom w:val="none" w:sz="0" w:space="0" w:color="auto"/>
        <w:right w:val="none" w:sz="0" w:space="0" w:color="auto"/>
      </w:divBdr>
    </w:div>
    <w:div w:id="1660958543">
      <w:bodyDiv w:val="1"/>
      <w:marLeft w:val="0"/>
      <w:marRight w:val="0"/>
      <w:marTop w:val="0"/>
      <w:marBottom w:val="0"/>
      <w:divBdr>
        <w:top w:val="none" w:sz="0" w:space="0" w:color="auto"/>
        <w:left w:val="none" w:sz="0" w:space="0" w:color="auto"/>
        <w:bottom w:val="none" w:sz="0" w:space="0" w:color="auto"/>
        <w:right w:val="none" w:sz="0" w:space="0" w:color="auto"/>
      </w:divBdr>
    </w:div>
    <w:div w:id="1670257842">
      <w:bodyDiv w:val="1"/>
      <w:marLeft w:val="0"/>
      <w:marRight w:val="0"/>
      <w:marTop w:val="0"/>
      <w:marBottom w:val="0"/>
      <w:divBdr>
        <w:top w:val="none" w:sz="0" w:space="0" w:color="auto"/>
        <w:left w:val="none" w:sz="0" w:space="0" w:color="auto"/>
        <w:bottom w:val="none" w:sz="0" w:space="0" w:color="auto"/>
        <w:right w:val="none" w:sz="0" w:space="0" w:color="auto"/>
      </w:divBdr>
    </w:div>
    <w:div w:id="1671635095">
      <w:bodyDiv w:val="1"/>
      <w:marLeft w:val="0"/>
      <w:marRight w:val="0"/>
      <w:marTop w:val="0"/>
      <w:marBottom w:val="0"/>
      <w:divBdr>
        <w:top w:val="none" w:sz="0" w:space="0" w:color="auto"/>
        <w:left w:val="none" w:sz="0" w:space="0" w:color="auto"/>
        <w:bottom w:val="none" w:sz="0" w:space="0" w:color="auto"/>
        <w:right w:val="none" w:sz="0" w:space="0" w:color="auto"/>
      </w:divBdr>
    </w:div>
    <w:div w:id="1672760422">
      <w:bodyDiv w:val="1"/>
      <w:marLeft w:val="0"/>
      <w:marRight w:val="0"/>
      <w:marTop w:val="0"/>
      <w:marBottom w:val="0"/>
      <w:divBdr>
        <w:top w:val="none" w:sz="0" w:space="0" w:color="auto"/>
        <w:left w:val="none" w:sz="0" w:space="0" w:color="auto"/>
        <w:bottom w:val="none" w:sz="0" w:space="0" w:color="auto"/>
        <w:right w:val="none" w:sz="0" w:space="0" w:color="auto"/>
      </w:divBdr>
    </w:div>
    <w:div w:id="1681424176">
      <w:bodyDiv w:val="1"/>
      <w:marLeft w:val="0"/>
      <w:marRight w:val="0"/>
      <w:marTop w:val="0"/>
      <w:marBottom w:val="0"/>
      <w:divBdr>
        <w:top w:val="none" w:sz="0" w:space="0" w:color="auto"/>
        <w:left w:val="none" w:sz="0" w:space="0" w:color="auto"/>
        <w:bottom w:val="none" w:sz="0" w:space="0" w:color="auto"/>
        <w:right w:val="none" w:sz="0" w:space="0" w:color="auto"/>
      </w:divBdr>
    </w:div>
    <w:div w:id="1686863082">
      <w:bodyDiv w:val="1"/>
      <w:marLeft w:val="0"/>
      <w:marRight w:val="0"/>
      <w:marTop w:val="0"/>
      <w:marBottom w:val="0"/>
      <w:divBdr>
        <w:top w:val="none" w:sz="0" w:space="0" w:color="auto"/>
        <w:left w:val="none" w:sz="0" w:space="0" w:color="auto"/>
        <w:bottom w:val="none" w:sz="0" w:space="0" w:color="auto"/>
        <w:right w:val="none" w:sz="0" w:space="0" w:color="auto"/>
      </w:divBdr>
    </w:div>
    <w:div w:id="1688678851">
      <w:bodyDiv w:val="1"/>
      <w:marLeft w:val="0"/>
      <w:marRight w:val="0"/>
      <w:marTop w:val="0"/>
      <w:marBottom w:val="0"/>
      <w:divBdr>
        <w:top w:val="none" w:sz="0" w:space="0" w:color="auto"/>
        <w:left w:val="none" w:sz="0" w:space="0" w:color="auto"/>
        <w:bottom w:val="none" w:sz="0" w:space="0" w:color="auto"/>
        <w:right w:val="none" w:sz="0" w:space="0" w:color="auto"/>
      </w:divBdr>
    </w:div>
    <w:div w:id="1695811678">
      <w:bodyDiv w:val="1"/>
      <w:marLeft w:val="0"/>
      <w:marRight w:val="0"/>
      <w:marTop w:val="0"/>
      <w:marBottom w:val="0"/>
      <w:divBdr>
        <w:top w:val="none" w:sz="0" w:space="0" w:color="auto"/>
        <w:left w:val="none" w:sz="0" w:space="0" w:color="auto"/>
        <w:bottom w:val="none" w:sz="0" w:space="0" w:color="auto"/>
        <w:right w:val="none" w:sz="0" w:space="0" w:color="auto"/>
      </w:divBdr>
    </w:div>
    <w:div w:id="1696887617">
      <w:bodyDiv w:val="1"/>
      <w:marLeft w:val="0"/>
      <w:marRight w:val="0"/>
      <w:marTop w:val="0"/>
      <w:marBottom w:val="0"/>
      <w:divBdr>
        <w:top w:val="none" w:sz="0" w:space="0" w:color="auto"/>
        <w:left w:val="none" w:sz="0" w:space="0" w:color="auto"/>
        <w:bottom w:val="none" w:sz="0" w:space="0" w:color="auto"/>
        <w:right w:val="none" w:sz="0" w:space="0" w:color="auto"/>
      </w:divBdr>
    </w:div>
    <w:div w:id="1703092184">
      <w:bodyDiv w:val="1"/>
      <w:marLeft w:val="0"/>
      <w:marRight w:val="0"/>
      <w:marTop w:val="0"/>
      <w:marBottom w:val="0"/>
      <w:divBdr>
        <w:top w:val="none" w:sz="0" w:space="0" w:color="auto"/>
        <w:left w:val="none" w:sz="0" w:space="0" w:color="auto"/>
        <w:bottom w:val="none" w:sz="0" w:space="0" w:color="auto"/>
        <w:right w:val="none" w:sz="0" w:space="0" w:color="auto"/>
      </w:divBdr>
    </w:div>
    <w:div w:id="1708675136">
      <w:bodyDiv w:val="1"/>
      <w:marLeft w:val="0"/>
      <w:marRight w:val="0"/>
      <w:marTop w:val="0"/>
      <w:marBottom w:val="0"/>
      <w:divBdr>
        <w:top w:val="none" w:sz="0" w:space="0" w:color="auto"/>
        <w:left w:val="none" w:sz="0" w:space="0" w:color="auto"/>
        <w:bottom w:val="none" w:sz="0" w:space="0" w:color="auto"/>
        <w:right w:val="none" w:sz="0" w:space="0" w:color="auto"/>
      </w:divBdr>
    </w:div>
    <w:div w:id="1727533323">
      <w:bodyDiv w:val="1"/>
      <w:marLeft w:val="0"/>
      <w:marRight w:val="0"/>
      <w:marTop w:val="0"/>
      <w:marBottom w:val="0"/>
      <w:divBdr>
        <w:top w:val="none" w:sz="0" w:space="0" w:color="auto"/>
        <w:left w:val="none" w:sz="0" w:space="0" w:color="auto"/>
        <w:bottom w:val="none" w:sz="0" w:space="0" w:color="auto"/>
        <w:right w:val="none" w:sz="0" w:space="0" w:color="auto"/>
      </w:divBdr>
    </w:div>
    <w:div w:id="1730615704">
      <w:bodyDiv w:val="1"/>
      <w:marLeft w:val="0"/>
      <w:marRight w:val="0"/>
      <w:marTop w:val="0"/>
      <w:marBottom w:val="0"/>
      <w:divBdr>
        <w:top w:val="none" w:sz="0" w:space="0" w:color="auto"/>
        <w:left w:val="none" w:sz="0" w:space="0" w:color="auto"/>
        <w:bottom w:val="none" w:sz="0" w:space="0" w:color="auto"/>
        <w:right w:val="none" w:sz="0" w:space="0" w:color="auto"/>
      </w:divBdr>
    </w:div>
    <w:div w:id="1750157001">
      <w:bodyDiv w:val="1"/>
      <w:marLeft w:val="0"/>
      <w:marRight w:val="0"/>
      <w:marTop w:val="0"/>
      <w:marBottom w:val="0"/>
      <w:divBdr>
        <w:top w:val="none" w:sz="0" w:space="0" w:color="auto"/>
        <w:left w:val="none" w:sz="0" w:space="0" w:color="auto"/>
        <w:bottom w:val="none" w:sz="0" w:space="0" w:color="auto"/>
        <w:right w:val="none" w:sz="0" w:space="0" w:color="auto"/>
      </w:divBdr>
    </w:div>
    <w:div w:id="1757172004">
      <w:bodyDiv w:val="1"/>
      <w:marLeft w:val="0"/>
      <w:marRight w:val="0"/>
      <w:marTop w:val="0"/>
      <w:marBottom w:val="0"/>
      <w:divBdr>
        <w:top w:val="none" w:sz="0" w:space="0" w:color="auto"/>
        <w:left w:val="none" w:sz="0" w:space="0" w:color="auto"/>
        <w:bottom w:val="none" w:sz="0" w:space="0" w:color="auto"/>
        <w:right w:val="none" w:sz="0" w:space="0" w:color="auto"/>
      </w:divBdr>
    </w:div>
    <w:div w:id="1758205941">
      <w:bodyDiv w:val="1"/>
      <w:marLeft w:val="0"/>
      <w:marRight w:val="0"/>
      <w:marTop w:val="0"/>
      <w:marBottom w:val="0"/>
      <w:divBdr>
        <w:top w:val="none" w:sz="0" w:space="0" w:color="auto"/>
        <w:left w:val="none" w:sz="0" w:space="0" w:color="auto"/>
        <w:bottom w:val="none" w:sz="0" w:space="0" w:color="auto"/>
        <w:right w:val="none" w:sz="0" w:space="0" w:color="auto"/>
      </w:divBdr>
    </w:div>
    <w:div w:id="1759251181">
      <w:bodyDiv w:val="1"/>
      <w:marLeft w:val="0"/>
      <w:marRight w:val="0"/>
      <w:marTop w:val="0"/>
      <w:marBottom w:val="0"/>
      <w:divBdr>
        <w:top w:val="none" w:sz="0" w:space="0" w:color="auto"/>
        <w:left w:val="none" w:sz="0" w:space="0" w:color="auto"/>
        <w:bottom w:val="none" w:sz="0" w:space="0" w:color="auto"/>
        <w:right w:val="none" w:sz="0" w:space="0" w:color="auto"/>
      </w:divBdr>
    </w:div>
    <w:div w:id="1775784390">
      <w:bodyDiv w:val="1"/>
      <w:marLeft w:val="0"/>
      <w:marRight w:val="0"/>
      <w:marTop w:val="0"/>
      <w:marBottom w:val="0"/>
      <w:divBdr>
        <w:top w:val="none" w:sz="0" w:space="0" w:color="auto"/>
        <w:left w:val="none" w:sz="0" w:space="0" w:color="auto"/>
        <w:bottom w:val="none" w:sz="0" w:space="0" w:color="auto"/>
        <w:right w:val="none" w:sz="0" w:space="0" w:color="auto"/>
      </w:divBdr>
    </w:div>
    <w:div w:id="1780182363">
      <w:bodyDiv w:val="1"/>
      <w:marLeft w:val="0"/>
      <w:marRight w:val="0"/>
      <w:marTop w:val="0"/>
      <w:marBottom w:val="0"/>
      <w:divBdr>
        <w:top w:val="none" w:sz="0" w:space="0" w:color="auto"/>
        <w:left w:val="none" w:sz="0" w:space="0" w:color="auto"/>
        <w:bottom w:val="none" w:sz="0" w:space="0" w:color="auto"/>
        <w:right w:val="none" w:sz="0" w:space="0" w:color="auto"/>
      </w:divBdr>
    </w:div>
    <w:div w:id="1782989034">
      <w:bodyDiv w:val="1"/>
      <w:marLeft w:val="0"/>
      <w:marRight w:val="0"/>
      <w:marTop w:val="0"/>
      <w:marBottom w:val="0"/>
      <w:divBdr>
        <w:top w:val="none" w:sz="0" w:space="0" w:color="auto"/>
        <w:left w:val="none" w:sz="0" w:space="0" w:color="auto"/>
        <w:bottom w:val="none" w:sz="0" w:space="0" w:color="auto"/>
        <w:right w:val="none" w:sz="0" w:space="0" w:color="auto"/>
      </w:divBdr>
    </w:div>
    <w:div w:id="1784690740">
      <w:bodyDiv w:val="1"/>
      <w:marLeft w:val="0"/>
      <w:marRight w:val="0"/>
      <w:marTop w:val="0"/>
      <w:marBottom w:val="0"/>
      <w:divBdr>
        <w:top w:val="none" w:sz="0" w:space="0" w:color="auto"/>
        <w:left w:val="none" w:sz="0" w:space="0" w:color="auto"/>
        <w:bottom w:val="none" w:sz="0" w:space="0" w:color="auto"/>
        <w:right w:val="none" w:sz="0" w:space="0" w:color="auto"/>
      </w:divBdr>
    </w:div>
    <w:div w:id="1794205941">
      <w:bodyDiv w:val="1"/>
      <w:marLeft w:val="0"/>
      <w:marRight w:val="0"/>
      <w:marTop w:val="0"/>
      <w:marBottom w:val="0"/>
      <w:divBdr>
        <w:top w:val="none" w:sz="0" w:space="0" w:color="auto"/>
        <w:left w:val="none" w:sz="0" w:space="0" w:color="auto"/>
        <w:bottom w:val="none" w:sz="0" w:space="0" w:color="auto"/>
        <w:right w:val="none" w:sz="0" w:space="0" w:color="auto"/>
      </w:divBdr>
    </w:div>
    <w:div w:id="1802648104">
      <w:bodyDiv w:val="1"/>
      <w:marLeft w:val="0"/>
      <w:marRight w:val="0"/>
      <w:marTop w:val="0"/>
      <w:marBottom w:val="0"/>
      <w:divBdr>
        <w:top w:val="none" w:sz="0" w:space="0" w:color="auto"/>
        <w:left w:val="none" w:sz="0" w:space="0" w:color="auto"/>
        <w:bottom w:val="none" w:sz="0" w:space="0" w:color="auto"/>
        <w:right w:val="none" w:sz="0" w:space="0" w:color="auto"/>
      </w:divBdr>
    </w:div>
    <w:div w:id="1805199015">
      <w:bodyDiv w:val="1"/>
      <w:marLeft w:val="0"/>
      <w:marRight w:val="0"/>
      <w:marTop w:val="0"/>
      <w:marBottom w:val="0"/>
      <w:divBdr>
        <w:top w:val="none" w:sz="0" w:space="0" w:color="auto"/>
        <w:left w:val="none" w:sz="0" w:space="0" w:color="auto"/>
        <w:bottom w:val="none" w:sz="0" w:space="0" w:color="auto"/>
        <w:right w:val="none" w:sz="0" w:space="0" w:color="auto"/>
      </w:divBdr>
    </w:div>
    <w:div w:id="1813255757">
      <w:bodyDiv w:val="1"/>
      <w:marLeft w:val="0"/>
      <w:marRight w:val="0"/>
      <w:marTop w:val="0"/>
      <w:marBottom w:val="0"/>
      <w:divBdr>
        <w:top w:val="none" w:sz="0" w:space="0" w:color="auto"/>
        <w:left w:val="none" w:sz="0" w:space="0" w:color="auto"/>
        <w:bottom w:val="none" w:sz="0" w:space="0" w:color="auto"/>
        <w:right w:val="none" w:sz="0" w:space="0" w:color="auto"/>
      </w:divBdr>
    </w:div>
    <w:div w:id="1813478370">
      <w:bodyDiv w:val="1"/>
      <w:marLeft w:val="0"/>
      <w:marRight w:val="0"/>
      <w:marTop w:val="0"/>
      <w:marBottom w:val="0"/>
      <w:divBdr>
        <w:top w:val="none" w:sz="0" w:space="0" w:color="auto"/>
        <w:left w:val="none" w:sz="0" w:space="0" w:color="auto"/>
        <w:bottom w:val="none" w:sz="0" w:space="0" w:color="auto"/>
        <w:right w:val="none" w:sz="0" w:space="0" w:color="auto"/>
      </w:divBdr>
    </w:div>
    <w:div w:id="1819494541">
      <w:bodyDiv w:val="1"/>
      <w:marLeft w:val="0"/>
      <w:marRight w:val="0"/>
      <w:marTop w:val="0"/>
      <w:marBottom w:val="0"/>
      <w:divBdr>
        <w:top w:val="none" w:sz="0" w:space="0" w:color="auto"/>
        <w:left w:val="none" w:sz="0" w:space="0" w:color="auto"/>
        <w:bottom w:val="none" w:sz="0" w:space="0" w:color="auto"/>
        <w:right w:val="none" w:sz="0" w:space="0" w:color="auto"/>
      </w:divBdr>
    </w:div>
    <w:div w:id="1824420148">
      <w:bodyDiv w:val="1"/>
      <w:marLeft w:val="0"/>
      <w:marRight w:val="0"/>
      <w:marTop w:val="0"/>
      <w:marBottom w:val="0"/>
      <w:divBdr>
        <w:top w:val="none" w:sz="0" w:space="0" w:color="auto"/>
        <w:left w:val="none" w:sz="0" w:space="0" w:color="auto"/>
        <w:bottom w:val="none" w:sz="0" w:space="0" w:color="auto"/>
        <w:right w:val="none" w:sz="0" w:space="0" w:color="auto"/>
      </w:divBdr>
    </w:div>
    <w:div w:id="1829437871">
      <w:bodyDiv w:val="1"/>
      <w:marLeft w:val="0"/>
      <w:marRight w:val="0"/>
      <w:marTop w:val="0"/>
      <w:marBottom w:val="0"/>
      <w:divBdr>
        <w:top w:val="none" w:sz="0" w:space="0" w:color="auto"/>
        <w:left w:val="none" w:sz="0" w:space="0" w:color="auto"/>
        <w:bottom w:val="none" w:sz="0" w:space="0" w:color="auto"/>
        <w:right w:val="none" w:sz="0" w:space="0" w:color="auto"/>
      </w:divBdr>
    </w:div>
    <w:div w:id="1845709004">
      <w:bodyDiv w:val="1"/>
      <w:marLeft w:val="0"/>
      <w:marRight w:val="0"/>
      <w:marTop w:val="0"/>
      <w:marBottom w:val="0"/>
      <w:divBdr>
        <w:top w:val="none" w:sz="0" w:space="0" w:color="auto"/>
        <w:left w:val="none" w:sz="0" w:space="0" w:color="auto"/>
        <w:bottom w:val="none" w:sz="0" w:space="0" w:color="auto"/>
        <w:right w:val="none" w:sz="0" w:space="0" w:color="auto"/>
      </w:divBdr>
    </w:div>
    <w:div w:id="1852912124">
      <w:bodyDiv w:val="1"/>
      <w:marLeft w:val="0"/>
      <w:marRight w:val="0"/>
      <w:marTop w:val="0"/>
      <w:marBottom w:val="0"/>
      <w:divBdr>
        <w:top w:val="none" w:sz="0" w:space="0" w:color="auto"/>
        <w:left w:val="none" w:sz="0" w:space="0" w:color="auto"/>
        <w:bottom w:val="none" w:sz="0" w:space="0" w:color="auto"/>
        <w:right w:val="none" w:sz="0" w:space="0" w:color="auto"/>
      </w:divBdr>
    </w:div>
    <w:div w:id="1857577228">
      <w:bodyDiv w:val="1"/>
      <w:marLeft w:val="0"/>
      <w:marRight w:val="0"/>
      <w:marTop w:val="0"/>
      <w:marBottom w:val="0"/>
      <w:divBdr>
        <w:top w:val="none" w:sz="0" w:space="0" w:color="auto"/>
        <w:left w:val="none" w:sz="0" w:space="0" w:color="auto"/>
        <w:bottom w:val="none" w:sz="0" w:space="0" w:color="auto"/>
        <w:right w:val="none" w:sz="0" w:space="0" w:color="auto"/>
      </w:divBdr>
    </w:div>
    <w:div w:id="1857770658">
      <w:bodyDiv w:val="1"/>
      <w:marLeft w:val="0"/>
      <w:marRight w:val="0"/>
      <w:marTop w:val="0"/>
      <w:marBottom w:val="0"/>
      <w:divBdr>
        <w:top w:val="none" w:sz="0" w:space="0" w:color="auto"/>
        <w:left w:val="none" w:sz="0" w:space="0" w:color="auto"/>
        <w:bottom w:val="none" w:sz="0" w:space="0" w:color="auto"/>
        <w:right w:val="none" w:sz="0" w:space="0" w:color="auto"/>
      </w:divBdr>
    </w:div>
    <w:div w:id="1870802230">
      <w:bodyDiv w:val="1"/>
      <w:marLeft w:val="0"/>
      <w:marRight w:val="0"/>
      <w:marTop w:val="0"/>
      <w:marBottom w:val="0"/>
      <w:divBdr>
        <w:top w:val="none" w:sz="0" w:space="0" w:color="auto"/>
        <w:left w:val="none" w:sz="0" w:space="0" w:color="auto"/>
        <w:bottom w:val="none" w:sz="0" w:space="0" w:color="auto"/>
        <w:right w:val="none" w:sz="0" w:space="0" w:color="auto"/>
      </w:divBdr>
    </w:div>
    <w:div w:id="1873836580">
      <w:bodyDiv w:val="1"/>
      <w:marLeft w:val="0"/>
      <w:marRight w:val="0"/>
      <w:marTop w:val="0"/>
      <w:marBottom w:val="0"/>
      <w:divBdr>
        <w:top w:val="none" w:sz="0" w:space="0" w:color="auto"/>
        <w:left w:val="none" w:sz="0" w:space="0" w:color="auto"/>
        <w:bottom w:val="none" w:sz="0" w:space="0" w:color="auto"/>
        <w:right w:val="none" w:sz="0" w:space="0" w:color="auto"/>
      </w:divBdr>
    </w:div>
    <w:div w:id="1875851323">
      <w:bodyDiv w:val="1"/>
      <w:marLeft w:val="0"/>
      <w:marRight w:val="0"/>
      <w:marTop w:val="0"/>
      <w:marBottom w:val="0"/>
      <w:divBdr>
        <w:top w:val="none" w:sz="0" w:space="0" w:color="auto"/>
        <w:left w:val="none" w:sz="0" w:space="0" w:color="auto"/>
        <w:bottom w:val="none" w:sz="0" w:space="0" w:color="auto"/>
        <w:right w:val="none" w:sz="0" w:space="0" w:color="auto"/>
      </w:divBdr>
    </w:div>
    <w:div w:id="1876582508">
      <w:bodyDiv w:val="1"/>
      <w:marLeft w:val="0"/>
      <w:marRight w:val="0"/>
      <w:marTop w:val="0"/>
      <w:marBottom w:val="0"/>
      <w:divBdr>
        <w:top w:val="none" w:sz="0" w:space="0" w:color="auto"/>
        <w:left w:val="none" w:sz="0" w:space="0" w:color="auto"/>
        <w:bottom w:val="none" w:sz="0" w:space="0" w:color="auto"/>
        <w:right w:val="none" w:sz="0" w:space="0" w:color="auto"/>
      </w:divBdr>
    </w:div>
    <w:div w:id="1879077690">
      <w:bodyDiv w:val="1"/>
      <w:marLeft w:val="0"/>
      <w:marRight w:val="0"/>
      <w:marTop w:val="0"/>
      <w:marBottom w:val="0"/>
      <w:divBdr>
        <w:top w:val="none" w:sz="0" w:space="0" w:color="auto"/>
        <w:left w:val="none" w:sz="0" w:space="0" w:color="auto"/>
        <w:bottom w:val="none" w:sz="0" w:space="0" w:color="auto"/>
        <w:right w:val="none" w:sz="0" w:space="0" w:color="auto"/>
      </w:divBdr>
    </w:div>
    <w:div w:id="1883398571">
      <w:bodyDiv w:val="1"/>
      <w:marLeft w:val="0"/>
      <w:marRight w:val="0"/>
      <w:marTop w:val="0"/>
      <w:marBottom w:val="0"/>
      <w:divBdr>
        <w:top w:val="none" w:sz="0" w:space="0" w:color="auto"/>
        <w:left w:val="none" w:sz="0" w:space="0" w:color="auto"/>
        <w:bottom w:val="none" w:sz="0" w:space="0" w:color="auto"/>
        <w:right w:val="none" w:sz="0" w:space="0" w:color="auto"/>
      </w:divBdr>
    </w:div>
    <w:div w:id="1895459657">
      <w:bodyDiv w:val="1"/>
      <w:marLeft w:val="0"/>
      <w:marRight w:val="0"/>
      <w:marTop w:val="0"/>
      <w:marBottom w:val="0"/>
      <w:divBdr>
        <w:top w:val="none" w:sz="0" w:space="0" w:color="auto"/>
        <w:left w:val="none" w:sz="0" w:space="0" w:color="auto"/>
        <w:bottom w:val="none" w:sz="0" w:space="0" w:color="auto"/>
        <w:right w:val="none" w:sz="0" w:space="0" w:color="auto"/>
      </w:divBdr>
    </w:div>
    <w:div w:id="1897008117">
      <w:bodyDiv w:val="1"/>
      <w:marLeft w:val="0"/>
      <w:marRight w:val="0"/>
      <w:marTop w:val="0"/>
      <w:marBottom w:val="0"/>
      <w:divBdr>
        <w:top w:val="none" w:sz="0" w:space="0" w:color="auto"/>
        <w:left w:val="none" w:sz="0" w:space="0" w:color="auto"/>
        <w:bottom w:val="none" w:sz="0" w:space="0" w:color="auto"/>
        <w:right w:val="none" w:sz="0" w:space="0" w:color="auto"/>
      </w:divBdr>
    </w:div>
    <w:div w:id="1900285310">
      <w:bodyDiv w:val="1"/>
      <w:marLeft w:val="0"/>
      <w:marRight w:val="0"/>
      <w:marTop w:val="0"/>
      <w:marBottom w:val="0"/>
      <w:divBdr>
        <w:top w:val="none" w:sz="0" w:space="0" w:color="auto"/>
        <w:left w:val="none" w:sz="0" w:space="0" w:color="auto"/>
        <w:bottom w:val="none" w:sz="0" w:space="0" w:color="auto"/>
        <w:right w:val="none" w:sz="0" w:space="0" w:color="auto"/>
      </w:divBdr>
    </w:div>
    <w:div w:id="1902128627">
      <w:bodyDiv w:val="1"/>
      <w:marLeft w:val="0"/>
      <w:marRight w:val="0"/>
      <w:marTop w:val="0"/>
      <w:marBottom w:val="0"/>
      <w:divBdr>
        <w:top w:val="none" w:sz="0" w:space="0" w:color="auto"/>
        <w:left w:val="none" w:sz="0" w:space="0" w:color="auto"/>
        <w:bottom w:val="none" w:sz="0" w:space="0" w:color="auto"/>
        <w:right w:val="none" w:sz="0" w:space="0" w:color="auto"/>
      </w:divBdr>
    </w:div>
    <w:div w:id="1905288714">
      <w:bodyDiv w:val="1"/>
      <w:marLeft w:val="0"/>
      <w:marRight w:val="0"/>
      <w:marTop w:val="0"/>
      <w:marBottom w:val="0"/>
      <w:divBdr>
        <w:top w:val="none" w:sz="0" w:space="0" w:color="auto"/>
        <w:left w:val="none" w:sz="0" w:space="0" w:color="auto"/>
        <w:bottom w:val="none" w:sz="0" w:space="0" w:color="auto"/>
        <w:right w:val="none" w:sz="0" w:space="0" w:color="auto"/>
      </w:divBdr>
    </w:div>
    <w:div w:id="1912156858">
      <w:bodyDiv w:val="1"/>
      <w:marLeft w:val="0"/>
      <w:marRight w:val="0"/>
      <w:marTop w:val="0"/>
      <w:marBottom w:val="0"/>
      <w:divBdr>
        <w:top w:val="none" w:sz="0" w:space="0" w:color="auto"/>
        <w:left w:val="none" w:sz="0" w:space="0" w:color="auto"/>
        <w:bottom w:val="none" w:sz="0" w:space="0" w:color="auto"/>
        <w:right w:val="none" w:sz="0" w:space="0" w:color="auto"/>
      </w:divBdr>
    </w:div>
    <w:div w:id="1919053984">
      <w:bodyDiv w:val="1"/>
      <w:marLeft w:val="0"/>
      <w:marRight w:val="0"/>
      <w:marTop w:val="0"/>
      <w:marBottom w:val="0"/>
      <w:divBdr>
        <w:top w:val="none" w:sz="0" w:space="0" w:color="auto"/>
        <w:left w:val="none" w:sz="0" w:space="0" w:color="auto"/>
        <w:bottom w:val="none" w:sz="0" w:space="0" w:color="auto"/>
        <w:right w:val="none" w:sz="0" w:space="0" w:color="auto"/>
      </w:divBdr>
    </w:div>
    <w:div w:id="1920678942">
      <w:bodyDiv w:val="1"/>
      <w:marLeft w:val="0"/>
      <w:marRight w:val="0"/>
      <w:marTop w:val="0"/>
      <w:marBottom w:val="0"/>
      <w:divBdr>
        <w:top w:val="none" w:sz="0" w:space="0" w:color="auto"/>
        <w:left w:val="none" w:sz="0" w:space="0" w:color="auto"/>
        <w:bottom w:val="none" w:sz="0" w:space="0" w:color="auto"/>
        <w:right w:val="none" w:sz="0" w:space="0" w:color="auto"/>
      </w:divBdr>
    </w:div>
    <w:div w:id="1926722262">
      <w:bodyDiv w:val="1"/>
      <w:marLeft w:val="0"/>
      <w:marRight w:val="0"/>
      <w:marTop w:val="0"/>
      <w:marBottom w:val="0"/>
      <w:divBdr>
        <w:top w:val="none" w:sz="0" w:space="0" w:color="auto"/>
        <w:left w:val="none" w:sz="0" w:space="0" w:color="auto"/>
        <w:bottom w:val="none" w:sz="0" w:space="0" w:color="auto"/>
        <w:right w:val="none" w:sz="0" w:space="0" w:color="auto"/>
      </w:divBdr>
    </w:div>
    <w:div w:id="1939827905">
      <w:bodyDiv w:val="1"/>
      <w:marLeft w:val="0"/>
      <w:marRight w:val="0"/>
      <w:marTop w:val="0"/>
      <w:marBottom w:val="0"/>
      <w:divBdr>
        <w:top w:val="none" w:sz="0" w:space="0" w:color="auto"/>
        <w:left w:val="none" w:sz="0" w:space="0" w:color="auto"/>
        <w:bottom w:val="none" w:sz="0" w:space="0" w:color="auto"/>
        <w:right w:val="none" w:sz="0" w:space="0" w:color="auto"/>
      </w:divBdr>
    </w:div>
    <w:div w:id="1950239720">
      <w:bodyDiv w:val="1"/>
      <w:marLeft w:val="0"/>
      <w:marRight w:val="0"/>
      <w:marTop w:val="0"/>
      <w:marBottom w:val="0"/>
      <w:divBdr>
        <w:top w:val="none" w:sz="0" w:space="0" w:color="auto"/>
        <w:left w:val="none" w:sz="0" w:space="0" w:color="auto"/>
        <w:bottom w:val="none" w:sz="0" w:space="0" w:color="auto"/>
        <w:right w:val="none" w:sz="0" w:space="0" w:color="auto"/>
      </w:divBdr>
    </w:div>
    <w:div w:id="1953248320">
      <w:bodyDiv w:val="1"/>
      <w:marLeft w:val="0"/>
      <w:marRight w:val="0"/>
      <w:marTop w:val="0"/>
      <w:marBottom w:val="0"/>
      <w:divBdr>
        <w:top w:val="none" w:sz="0" w:space="0" w:color="auto"/>
        <w:left w:val="none" w:sz="0" w:space="0" w:color="auto"/>
        <w:bottom w:val="none" w:sz="0" w:space="0" w:color="auto"/>
        <w:right w:val="none" w:sz="0" w:space="0" w:color="auto"/>
      </w:divBdr>
    </w:div>
    <w:div w:id="1959406954">
      <w:bodyDiv w:val="1"/>
      <w:marLeft w:val="0"/>
      <w:marRight w:val="0"/>
      <w:marTop w:val="0"/>
      <w:marBottom w:val="0"/>
      <w:divBdr>
        <w:top w:val="none" w:sz="0" w:space="0" w:color="auto"/>
        <w:left w:val="none" w:sz="0" w:space="0" w:color="auto"/>
        <w:bottom w:val="none" w:sz="0" w:space="0" w:color="auto"/>
        <w:right w:val="none" w:sz="0" w:space="0" w:color="auto"/>
      </w:divBdr>
    </w:div>
    <w:div w:id="1965574049">
      <w:bodyDiv w:val="1"/>
      <w:marLeft w:val="0"/>
      <w:marRight w:val="0"/>
      <w:marTop w:val="0"/>
      <w:marBottom w:val="0"/>
      <w:divBdr>
        <w:top w:val="none" w:sz="0" w:space="0" w:color="auto"/>
        <w:left w:val="none" w:sz="0" w:space="0" w:color="auto"/>
        <w:bottom w:val="none" w:sz="0" w:space="0" w:color="auto"/>
        <w:right w:val="none" w:sz="0" w:space="0" w:color="auto"/>
      </w:divBdr>
    </w:div>
    <w:div w:id="1968466356">
      <w:bodyDiv w:val="1"/>
      <w:marLeft w:val="0"/>
      <w:marRight w:val="0"/>
      <w:marTop w:val="0"/>
      <w:marBottom w:val="0"/>
      <w:divBdr>
        <w:top w:val="none" w:sz="0" w:space="0" w:color="auto"/>
        <w:left w:val="none" w:sz="0" w:space="0" w:color="auto"/>
        <w:bottom w:val="none" w:sz="0" w:space="0" w:color="auto"/>
        <w:right w:val="none" w:sz="0" w:space="0" w:color="auto"/>
      </w:divBdr>
    </w:div>
    <w:div w:id="1971326657">
      <w:bodyDiv w:val="1"/>
      <w:marLeft w:val="0"/>
      <w:marRight w:val="0"/>
      <w:marTop w:val="0"/>
      <w:marBottom w:val="0"/>
      <w:divBdr>
        <w:top w:val="none" w:sz="0" w:space="0" w:color="auto"/>
        <w:left w:val="none" w:sz="0" w:space="0" w:color="auto"/>
        <w:bottom w:val="none" w:sz="0" w:space="0" w:color="auto"/>
        <w:right w:val="none" w:sz="0" w:space="0" w:color="auto"/>
      </w:divBdr>
    </w:div>
    <w:div w:id="1971549990">
      <w:bodyDiv w:val="1"/>
      <w:marLeft w:val="0"/>
      <w:marRight w:val="0"/>
      <w:marTop w:val="0"/>
      <w:marBottom w:val="0"/>
      <w:divBdr>
        <w:top w:val="none" w:sz="0" w:space="0" w:color="auto"/>
        <w:left w:val="none" w:sz="0" w:space="0" w:color="auto"/>
        <w:bottom w:val="none" w:sz="0" w:space="0" w:color="auto"/>
        <w:right w:val="none" w:sz="0" w:space="0" w:color="auto"/>
      </w:divBdr>
    </w:div>
    <w:div w:id="1973752319">
      <w:bodyDiv w:val="1"/>
      <w:marLeft w:val="0"/>
      <w:marRight w:val="0"/>
      <w:marTop w:val="0"/>
      <w:marBottom w:val="0"/>
      <w:divBdr>
        <w:top w:val="none" w:sz="0" w:space="0" w:color="auto"/>
        <w:left w:val="none" w:sz="0" w:space="0" w:color="auto"/>
        <w:bottom w:val="none" w:sz="0" w:space="0" w:color="auto"/>
        <w:right w:val="none" w:sz="0" w:space="0" w:color="auto"/>
      </w:divBdr>
    </w:div>
    <w:div w:id="1984502477">
      <w:bodyDiv w:val="1"/>
      <w:marLeft w:val="0"/>
      <w:marRight w:val="0"/>
      <w:marTop w:val="0"/>
      <w:marBottom w:val="0"/>
      <w:divBdr>
        <w:top w:val="none" w:sz="0" w:space="0" w:color="auto"/>
        <w:left w:val="none" w:sz="0" w:space="0" w:color="auto"/>
        <w:bottom w:val="none" w:sz="0" w:space="0" w:color="auto"/>
        <w:right w:val="none" w:sz="0" w:space="0" w:color="auto"/>
      </w:divBdr>
    </w:div>
    <w:div w:id="1992785041">
      <w:bodyDiv w:val="1"/>
      <w:marLeft w:val="0"/>
      <w:marRight w:val="0"/>
      <w:marTop w:val="0"/>
      <w:marBottom w:val="0"/>
      <w:divBdr>
        <w:top w:val="none" w:sz="0" w:space="0" w:color="auto"/>
        <w:left w:val="none" w:sz="0" w:space="0" w:color="auto"/>
        <w:bottom w:val="none" w:sz="0" w:space="0" w:color="auto"/>
        <w:right w:val="none" w:sz="0" w:space="0" w:color="auto"/>
      </w:divBdr>
    </w:div>
    <w:div w:id="1995599343">
      <w:bodyDiv w:val="1"/>
      <w:marLeft w:val="0"/>
      <w:marRight w:val="0"/>
      <w:marTop w:val="0"/>
      <w:marBottom w:val="0"/>
      <w:divBdr>
        <w:top w:val="none" w:sz="0" w:space="0" w:color="auto"/>
        <w:left w:val="none" w:sz="0" w:space="0" w:color="auto"/>
        <w:bottom w:val="none" w:sz="0" w:space="0" w:color="auto"/>
        <w:right w:val="none" w:sz="0" w:space="0" w:color="auto"/>
      </w:divBdr>
    </w:div>
    <w:div w:id="2011759284">
      <w:bodyDiv w:val="1"/>
      <w:marLeft w:val="0"/>
      <w:marRight w:val="0"/>
      <w:marTop w:val="0"/>
      <w:marBottom w:val="0"/>
      <w:divBdr>
        <w:top w:val="none" w:sz="0" w:space="0" w:color="auto"/>
        <w:left w:val="none" w:sz="0" w:space="0" w:color="auto"/>
        <w:bottom w:val="none" w:sz="0" w:space="0" w:color="auto"/>
        <w:right w:val="none" w:sz="0" w:space="0" w:color="auto"/>
      </w:divBdr>
    </w:div>
    <w:div w:id="2013333887">
      <w:bodyDiv w:val="1"/>
      <w:marLeft w:val="0"/>
      <w:marRight w:val="0"/>
      <w:marTop w:val="0"/>
      <w:marBottom w:val="0"/>
      <w:divBdr>
        <w:top w:val="none" w:sz="0" w:space="0" w:color="auto"/>
        <w:left w:val="none" w:sz="0" w:space="0" w:color="auto"/>
        <w:bottom w:val="none" w:sz="0" w:space="0" w:color="auto"/>
        <w:right w:val="none" w:sz="0" w:space="0" w:color="auto"/>
      </w:divBdr>
    </w:div>
    <w:div w:id="2013678757">
      <w:bodyDiv w:val="1"/>
      <w:marLeft w:val="0"/>
      <w:marRight w:val="0"/>
      <w:marTop w:val="0"/>
      <w:marBottom w:val="0"/>
      <w:divBdr>
        <w:top w:val="none" w:sz="0" w:space="0" w:color="auto"/>
        <w:left w:val="none" w:sz="0" w:space="0" w:color="auto"/>
        <w:bottom w:val="none" w:sz="0" w:space="0" w:color="auto"/>
        <w:right w:val="none" w:sz="0" w:space="0" w:color="auto"/>
      </w:divBdr>
    </w:div>
    <w:div w:id="2015719001">
      <w:bodyDiv w:val="1"/>
      <w:marLeft w:val="0"/>
      <w:marRight w:val="0"/>
      <w:marTop w:val="0"/>
      <w:marBottom w:val="0"/>
      <w:divBdr>
        <w:top w:val="none" w:sz="0" w:space="0" w:color="auto"/>
        <w:left w:val="none" w:sz="0" w:space="0" w:color="auto"/>
        <w:bottom w:val="none" w:sz="0" w:space="0" w:color="auto"/>
        <w:right w:val="none" w:sz="0" w:space="0" w:color="auto"/>
      </w:divBdr>
    </w:div>
    <w:div w:id="2017877891">
      <w:bodyDiv w:val="1"/>
      <w:marLeft w:val="0"/>
      <w:marRight w:val="0"/>
      <w:marTop w:val="0"/>
      <w:marBottom w:val="0"/>
      <w:divBdr>
        <w:top w:val="none" w:sz="0" w:space="0" w:color="auto"/>
        <w:left w:val="none" w:sz="0" w:space="0" w:color="auto"/>
        <w:bottom w:val="none" w:sz="0" w:space="0" w:color="auto"/>
        <w:right w:val="none" w:sz="0" w:space="0" w:color="auto"/>
      </w:divBdr>
    </w:div>
    <w:div w:id="2028947537">
      <w:bodyDiv w:val="1"/>
      <w:marLeft w:val="0"/>
      <w:marRight w:val="0"/>
      <w:marTop w:val="0"/>
      <w:marBottom w:val="0"/>
      <w:divBdr>
        <w:top w:val="none" w:sz="0" w:space="0" w:color="auto"/>
        <w:left w:val="none" w:sz="0" w:space="0" w:color="auto"/>
        <w:bottom w:val="none" w:sz="0" w:space="0" w:color="auto"/>
        <w:right w:val="none" w:sz="0" w:space="0" w:color="auto"/>
      </w:divBdr>
    </w:div>
    <w:div w:id="2036736029">
      <w:bodyDiv w:val="1"/>
      <w:marLeft w:val="0"/>
      <w:marRight w:val="0"/>
      <w:marTop w:val="0"/>
      <w:marBottom w:val="0"/>
      <w:divBdr>
        <w:top w:val="none" w:sz="0" w:space="0" w:color="auto"/>
        <w:left w:val="none" w:sz="0" w:space="0" w:color="auto"/>
        <w:bottom w:val="none" w:sz="0" w:space="0" w:color="auto"/>
        <w:right w:val="none" w:sz="0" w:space="0" w:color="auto"/>
      </w:divBdr>
    </w:div>
    <w:div w:id="2038039952">
      <w:bodyDiv w:val="1"/>
      <w:marLeft w:val="0"/>
      <w:marRight w:val="0"/>
      <w:marTop w:val="0"/>
      <w:marBottom w:val="0"/>
      <w:divBdr>
        <w:top w:val="none" w:sz="0" w:space="0" w:color="auto"/>
        <w:left w:val="none" w:sz="0" w:space="0" w:color="auto"/>
        <w:bottom w:val="none" w:sz="0" w:space="0" w:color="auto"/>
        <w:right w:val="none" w:sz="0" w:space="0" w:color="auto"/>
      </w:divBdr>
    </w:div>
    <w:div w:id="2040084594">
      <w:bodyDiv w:val="1"/>
      <w:marLeft w:val="0"/>
      <w:marRight w:val="0"/>
      <w:marTop w:val="0"/>
      <w:marBottom w:val="0"/>
      <w:divBdr>
        <w:top w:val="none" w:sz="0" w:space="0" w:color="auto"/>
        <w:left w:val="none" w:sz="0" w:space="0" w:color="auto"/>
        <w:bottom w:val="none" w:sz="0" w:space="0" w:color="auto"/>
        <w:right w:val="none" w:sz="0" w:space="0" w:color="auto"/>
      </w:divBdr>
    </w:div>
    <w:div w:id="2045640729">
      <w:bodyDiv w:val="1"/>
      <w:marLeft w:val="0"/>
      <w:marRight w:val="0"/>
      <w:marTop w:val="0"/>
      <w:marBottom w:val="0"/>
      <w:divBdr>
        <w:top w:val="none" w:sz="0" w:space="0" w:color="auto"/>
        <w:left w:val="none" w:sz="0" w:space="0" w:color="auto"/>
        <w:bottom w:val="none" w:sz="0" w:space="0" w:color="auto"/>
        <w:right w:val="none" w:sz="0" w:space="0" w:color="auto"/>
      </w:divBdr>
    </w:div>
    <w:div w:id="2046296975">
      <w:bodyDiv w:val="1"/>
      <w:marLeft w:val="0"/>
      <w:marRight w:val="0"/>
      <w:marTop w:val="0"/>
      <w:marBottom w:val="0"/>
      <w:divBdr>
        <w:top w:val="none" w:sz="0" w:space="0" w:color="auto"/>
        <w:left w:val="none" w:sz="0" w:space="0" w:color="auto"/>
        <w:bottom w:val="none" w:sz="0" w:space="0" w:color="auto"/>
        <w:right w:val="none" w:sz="0" w:space="0" w:color="auto"/>
      </w:divBdr>
    </w:div>
    <w:div w:id="2053456550">
      <w:bodyDiv w:val="1"/>
      <w:marLeft w:val="0"/>
      <w:marRight w:val="0"/>
      <w:marTop w:val="0"/>
      <w:marBottom w:val="0"/>
      <w:divBdr>
        <w:top w:val="none" w:sz="0" w:space="0" w:color="auto"/>
        <w:left w:val="none" w:sz="0" w:space="0" w:color="auto"/>
        <w:bottom w:val="none" w:sz="0" w:space="0" w:color="auto"/>
        <w:right w:val="none" w:sz="0" w:space="0" w:color="auto"/>
      </w:divBdr>
    </w:div>
    <w:div w:id="2057272544">
      <w:bodyDiv w:val="1"/>
      <w:marLeft w:val="0"/>
      <w:marRight w:val="0"/>
      <w:marTop w:val="0"/>
      <w:marBottom w:val="0"/>
      <w:divBdr>
        <w:top w:val="none" w:sz="0" w:space="0" w:color="auto"/>
        <w:left w:val="none" w:sz="0" w:space="0" w:color="auto"/>
        <w:bottom w:val="none" w:sz="0" w:space="0" w:color="auto"/>
        <w:right w:val="none" w:sz="0" w:space="0" w:color="auto"/>
      </w:divBdr>
    </w:div>
    <w:div w:id="2065443389">
      <w:bodyDiv w:val="1"/>
      <w:marLeft w:val="0"/>
      <w:marRight w:val="0"/>
      <w:marTop w:val="0"/>
      <w:marBottom w:val="0"/>
      <w:divBdr>
        <w:top w:val="none" w:sz="0" w:space="0" w:color="auto"/>
        <w:left w:val="none" w:sz="0" w:space="0" w:color="auto"/>
        <w:bottom w:val="none" w:sz="0" w:space="0" w:color="auto"/>
        <w:right w:val="none" w:sz="0" w:space="0" w:color="auto"/>
      </w:divBdr>
    </w:div>
    <w:div w:id="2075005249">
      <w:bodyDiv w:val="1"/>
      <w:marLeft w:val="0"/>
      <w:marRight w:val="0"/>
      <w:marTop w:val="0"/>
      <w:marBottom w:val="0"/>
      <w:divBdr>
        <w:top w:val="none" w:sz="0" w:space="0" w:color="auto"/>
        <w:left w:val="none" w:sz="0" w:space="0" w:color="auto"/>
        <w:bottom w:val="none" w:sz="0" w:space="0" w:color="auto"/>
        <w:right w:val="none" w:sz="0" w:space="0" w:color="auto"/>
      </w:divBdr>
    </w:div>
    <w:div w:id="2077240860">
      <w:bodyDiv w:val="1"/>
      <w:marLeft w:val="0"/>
      <w:marRight w:val="0"/>
      <w:marTop w:val="0"/>
      <w:marBottom w:val="0"/>
      <w:divBdr>
        <w:top w:val="none" w:sz="0" w:space="0" w:color="auto"/>
        <w:left w:val="none" w:sz="0" w:space="0" w:color="auto"/>
        <w:bottom w:val="none" w:sz="0" w:space="0" w:color="auto"/>
        <w:right w:val="none" w:sz="0" w:space="0" w:color="auto"/>
      </w:divBdr>
    </w:div>
    <w:div w:id="2090080032">
      <w:bodyDiv w:val="1"/>
      <w:marLeft w:val="0"/>
      <w:marRight w:val="0"/>
      <w:marTop w:val="0"/>
      <w:marBottom w:val="0"/>
      <w:divBdr>
        <w:top w:val="none" w:sz="0" w:space="0" w:color="auto"/>
        <w:left w:val="none" w:sz="0" w:space="0" w:color="auto"/>
        <w:bottom w:val="none" w:sz="0" w:space="0" w:color="auto"/>
        <w:right w:val="none" w:sz="0" w:space="0" w:color="auto"/>
      </w:divBdr>
    </w:div>
    <w:div w:id="2099447342">
      <w:bodyDiv w:val="1"/>
      <w:marLeft w:val="0"/>
      <w:marRight w:val="0"/>
      <w:marTop w:val="0"/>
      <w:marBottom w:val="0"/>
      <w:divBdr>
        <w:top w:val="none" w:sz="0" w:space="0" w:color="auto"/>
        <w:left w:val="none" w:sz="0" w:space="0" w:color="auto"/>
        <w:bottom w:val="none" w:sz="0" w:space="0" w:color="auto"/>
        <w:right w:val="none" w:sz="0" w:space="0" w:color="auto"/>
      </w:divBdr>
    </w:div>
    <w:div w:id="2105956448">
      <w:bodyDiv w:val="1"/>
      <w:marLeft w:val="0"/>
      <w:marRight w:val="0"/>
      <w:marTop w:val="0"/>
      <w:marBottom w:val="0"/>
      <w:divBdr>
        <w:top w:val="none" w:sz="0" w:space="0" w:color="auto"/>
        <w:left w:val="none" w:sz="0" w:space="0" w:color="auto"/>
        <w:bottom w:val="none" w:sz="0" w:space="0" w:color="auto"/>
        <w:right w:val="none" w:sz="0" w:space="0" w:color="auto"/>
      </w:divBdr>
    </w:div>
    <w:div w:id="2108380295">
      <w:bodyDiv w:val="1"/>
      <w:marLeft w:val="0"/>
      <w:marRight w:val="0"/>
      <w:marTop w:val="0"/>
      <w:marBottom w:val="0"/>
      <w:divBdr>
        <w:top w:val="none" w:sz="0" w:space="0" w:color="auto"/>
        <w:left w:val="none" w:sz="0" w:space="0" w:color="auto"/>
        <w:bottom w:val="none" w:sz="0" w:space="0" w:color="auto"/>
        <w:right w:val="none" w:sz="0" w:space="0" w:color="auto"/>
      </w:divBdr>
    </w:div>
    <w:div w:id="2115636900">
      <w:bodyDiv w:val="1"/>
      <w:marLeft w:val="0"/>
      <w:marRight w:val="0"/>
      <w:marTop w:val="0"/>
      <w:marBottom w:val="0"/>
      <w:divBdr>
        <w:top w:val="none" w:sz="0" w:space="0" w:color="auto"/>
        <w:left w:val="none" w:sz="0" w:space="0" w:color="auto"/>
        <w:bottom w:val="none" w:sz="0" w:space="0" w:color="auto"/>
        <w:right w:val="none" w:sz="0" w:space="0" w:color="auto"/>
      </w:divBdr>
    </w:div>
    <w:div w:id="2117671785">
      <w:bodyDiv w:val="1"/>
      <w:marLeft w:val="0"/>
      <w:marRight w:val="0"/>
      <w:marTop w:val="0"/>
      <w:marBottom w:val="0"/>
      <w:divBdr>
        <w:top w:val="none" w:sz="0" w:space="0" w:color="auto"/>
        <w:left w:val="none" w:sz="0" w:space="0" w:color="auto"/>
        <w:bottom w:val="none" w:sz="0" w:space="0" w:color="auto"/>
        <w:right w:val="none" w:sz="0" w:space="0" w:color="auto"/>
      </w:divBdr>
    </w:div>
    <w:div w:id="2122600240">
      <w:bodyDiv w:val="1"/>
      <w:marLeft w:val="0"/>
      <w:marRight w:val="0"/>
      <w:marTop w:val="0"/>
      <w:marBottom w:val="0"/>
      <w:divBdr>
        <w:top w:val="none" w:sz="0" w:space="0" w:color="auto"/>
        <w:left w:val="none" w:sz="0" w:space="0" w:color="auto"/>
        <w:bottom w:val="none" w:sz="0" w:space="0" w:color="auto"/>
        <w:right w:val="none" w:sz="0" w:space="0" w:color="auto"/>
      </w:divBdr>
    </w:div>
    <w:div w:id="2123961651">
      <w:bodyDiv w:val="1"/>
      <w:marLeft w:val="0"/>
      <w:marRight w:val="0"/>
      <w:marTop w:val="0"/>
      <w:marBottom w:val="0"/>
      <w:divBdr>
        <w:top w:val="none" w:sz="0" w:space="0" w:color="auto"/>
        <w:left w:val="none" w:sz="0" w:space="0" w:color="auto"/>
        <w:bottom w:val="none" w:sz="0" w:space="0" w:color="auto"/>
        <w:right w:val="none" w:sz="0" w:space="0" w:color="auto"/>
      </w:divBdr>
    </w:div>
    <w:div w:id="2127235945">
      <w:bodyDiv w:val="1"/>
      <w:marLeft w:val="0"/>
      <w:marRight w:val="0"/>
      <w:marTop w:val="0"/>
      <w:marBottom w:val="0"/>
      <w:divBdr>
        <w:top w:val="none" w:sz="0" w:space="0" w:color="auto"/>
        <w:left w:val="none" w:sz="0" w:space="0" w:color="auto"/>
        <w:bottom w:val="none" w:sz="0" w:space="0" w:color="auto"/>
        <w:right w:val="none" w:sz="0" w:space="0" w:color="auto"/>
      </w:divBdr>
    </w:div>
    <w:div w:id="2128505168">
      <w:bodyDiv w:val="1"/>
      <w:marLeft w:val="0"/>
      <w:marRight w:val="0"/>
      <w:marTop w:val="0"/>
      <w:marBottom w:val="0"/>
      <w:divBdr>
        <w:top w:val="none" w:sz="0" w:space="0" w:color="auto"/>
        <w:left w:val="none" w:sz="0" w:space="0" w:color="auto"/>
        <w:bottom w:val="none" w:sz="0" w:space="0" w:color="auto"/>
        <w:right w:val="none" w:sz="0" w:space="0" w:color="auto"/>
      </w:divBdr>
    </w:div>
    <w:div w:id="2131631115">
      <w:bodyDiv w:val="1"/>
      <w:marLeft w:val="0"/>
      <w:marRight w:val="0"/>
      <w:marTop w:val="0"/>
      <w:marBottom w:val="0"/>
      <w:divBdr>
        <w:top w:val="none" w:sz="0" w:space="0" w:color="auto"/>
        <w:left w:val="none" w:sz="0" w:space="0" w:color="auto"/>
        <w:bottom w:val="none" w:sz="0" w:space="0" w:color="auto"/>
        <w:right w:val="none" w:sz="0" w:space="0" w:color="auto"/>
      </w:divBdr>
    </w:div>
    <w:div w:id="2133398419">
      <w:bodyDiv w:val="1"/>
      <w:marLeft w:val="0"/>
      <w:marRight w:val="0"/>
      <w:marTop w:val="0"/>
      <w:marBottom w:val="0"/>
      <w:divBdr>
        <w:top w:val="none" w:sz="0" w:space="0" w:color="auto"/>
        <w:left w:val="none" w:sz="0" w:space="0" w:color="auto"/>
        <w:bottom w:val="none" w:sz="0" w:space="0" w:color="auto"/>
        <w:right w:val="none" w:sz="0" w:space="0" w:color="auto"/>
      </w:divBdr>
    </w:div>
    <w:div w:id="2134590052">
      <w:bodyDiv w:val="1"/>
      <w:marLeft w:val="0"/>
      <w:marRight w:val="0"/>
      <w:marTop w:val="0"/>
      <w:marBottom w:val="0"/>
      <w:divBdr>
        <w:top w:val="none" w:sz="0" w:space="0" w:color="auto"/>
        <w:left w:val="none" w:sz="0" w:space="0" w:color="auto"/>
        <w:bottom w:val="none" w:sz="0" w:space="0" w:color="auto"/>
        <w:right w:val="none" w:sz="0" w:space="0" w:color="auto"/>
      </w:divBdr>
    </w:div>
    <w:div w:id="2137065383">
      <w:bodyDiv w:val="1"/>
      <w:marLeft w:val="0"/>
      <w:marRight w:val="0"/>
      <w:marTop w:val="0"/>
      <w:marBottom w:val="0"/>
      <w:divBdr>
        <w:top w:val="none" w:sz="0" w:space="0" w:color="auto"/>
        <w:left w:val="none" w:sz="0" w:space="0" w:color="auto"/>
        <w:bottom w:val="none" w:sz="0" w:space="0" w:color="auto"/>
        <w:right w:val="none" w:sz="0" w:space="0" w:color="auto"/>
      </w:divBdr>
    </w:div>
    <w:div w:id="2137135125">
      <w:bodyDiv w:val="1"/>
      <w:marLeft w:val="0"/>
      <w:marRight w:val="0"/>
      <w:marTop w:val="0"/>
      <w:marBottom w:val="0"/>
      <w:divBdr>
        <w:top w:val="none" w:sz="0" w:space="0" w:color="auto"/>
        <w:left w:val="none" w:sz="0" w:space="0" w:color="auto"/>
        <w:bottom w:val="none" w:sz="0" w:space="0" w:color="auto"/>
        <w:right w:val="none" w:sz="0" w:space="0" w:color="auto"/>
      </w:divBdr>
    </w:div>
    <w:div w:id="2141680943">
      <w:bodyDiv w:val="1"/>
      <w:marLeft w:val="0"/>
      <w:marRight w:val="0"/>
      <w:marTop w:val="0"/>
      <w:marBottom w:val="0"/>
      <w:divBdr>
        <w:top w:val="none" w:sz="0" w:space="0" w:color="auto"/>
        <w:left w:val="none" w:sz="0" w:space="0" w:color="auto"/>
        <w:bottom w:val="none" w:sz="0" w:space="0" w:color="auto"/>
        <w:right w:val="none" w:sz="0" w:space="0" w:color="auto"/>
      </w:divBdr>
    </w:div>
    <w:div w:id="2145804652">
      <w:bodyDiv w:val="1"/>
      <w:marLeft w:val="0"/>
      <w:marRight w:val="0"/>
      <w:marTop w:val="0"/>
      <w:marBottom w:val="0"/>
      <w:divBdr>
        <w:top w:val="none" w:sz="0" w:space="0" w:color="auto"/>
        <w:left w:val="none" w:sz="0" w:space="0" w:color="auto"/>
        <w:bottom w:val="none" w:sz="0" w:space="0" w:color="auto"/>
        <w:right w:val="none" w:sz="0" w:space="0" w:color="auto"/>
      </w:divBdr>
    </w:div>
    <w:div w:id="2146854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24</Pages>
  <Words>6975</Words>
  <Characters>39759</Characters>
  <Application>Microsoft Office Word</Application>
  <DocSecurity>2</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 Yixian</dc:creator>
  <cp:keywords/>
  <dc:description/>
  <cp:lastModifiedBy>ychen153@student.ubc.ca</cp:lastModifiedBy>
  <cp:revision>3</cp:revision>
  <dcterms:created xsi:type="dcterms:W3CDTF">2022-04-27T22:55:00Z</dcterms:created>
  <dcterms:modified xsi:type="dcterms:W3CDTF">2022-09-06T22:32:00Z</dcterms:modified>
</cp:coreProperties>
</file>