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FEB1D" w14:textId="77777777" w:rsidR="00281AE3" w:rsidRDefault="00281AE3" w:rsidP="00281AE3">
      <w:pPr>
        <w:pStyle w:val="Caption"/>
        <w:keepNext/>
      </w:pPr>
      <w:bookmarkStart w:id="0" w:name="_Ref110675335"/>
      <w:r w:rsidRPr="00B01556">
        <w:rPr>
          <w:b/>
          <w:bCs w:val="0"/>
        </w:rPr>
        <w:t xml:space="preserve">Extended Data Table </w:t>
      </w:r>
      <w:r w:rsidRPr="00B01556">
        <w:rPr>
          <w:b/>
          <w:bCs w:val="0"/>
          <w:noProof/>
        </w:rPr>
        <w:t>1</w:t>
      </w:r>
      <w:bookmarkEnd w:id="0"/>
      <w:r>
        <w:t xml:space="preserve"> Overview of CCU scenario characteristics</w:t>
      </w:r>
    </w:p>
    <w:tbl>
      <w:tblPr>
        <w:tblStyle w:val="TableGrid"/>
        <w:tblW w:w="0" w:type="auto"/>
        <w:tblBorders>
          <w:left w:val="none" w:sz="0" w:space="0" w:color="auto"/>
          <w:right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418"/>
        <w:gridCol w:w="4111"/>
        <w:gridCol w:w="991"/>
        <w:gridCol w:w="992"/>
        <w:gridCol w:w="992"/>
      </w:tblGrid>
      <w:tr w:rsidR="00281AE3" w:rsidRPr="00021B75" w14:paraId="5A60631F" w14:textId="77777777" w:rsidTr="00E22DB2">
        <w:tc>
          <w:tcPr>
            <w:tcW w:w="1418" w:type="dxa"/>
            <w:vAlign w:val="center"/>
          </w:tcPr>
          <w:p w14:paraId="108B75F4" w14:textId="77777777" w:rsidR="00281AE3" w:rsidRPr="00021B75" w:rsidRDefault="00281AE3" w:rsidP="00E22DB2">
            <w:pPr>
              <w:jc w:val="center"/>
              <w:rPr>
                <w:rFonts w:ascii="Calibri" w:hAnsi="Calibri" w:cs="Calibri"/>
              </w:rPr>
            </w:pPr>
            <w:r w:rsidRPr="00021B75">
              <w:rPr>
                <w:rFonts w:ascii="Calibri" w:hAnsi="Calibri" w:cs="Calibri"/>
              </w:rPr>
              <w:t>Characteristics</w:t>
            </w:r>
          </w:p>
        </w:tc>
        <w:tc>
          <w:tcPr>
            <w:tcW w:w="4111" w:type="dxa"/>
            <w:vAlign w:val="center"/>
          </w:tcPr>
          <w:p w14:paraId="5138D0E1" w14:textId="77777777" w:rsidR="00281AE3" w:rsidRPr="00021B75" w:rsidRDefault="00281AE3" w:rsidP="00E22DB2">
            <w:pPr>
              <w:jc w:val="center"/>
              <w:rPr>
                <w:rFonts w:ascii="Calibri" w:hAnsi="Calibri" w:cs="Calibri"/>
              </w:rPr>
            </w:pPr>
            <w:r>
              <w:rPr>
                <w:rFonts w:ascii="Calibri" w:hAnsi="Calibri" w:cs="Calibri"/>
              </w:rPr>
              <w:t>Explanation on CCU scenario</w:t>
            </w:r>
          </w:p>
        </w:tc>
        <w:tc>
          <w:tcPr>
            <w:tcW w:w="991" w:type="dxa"/>
            <w:vAlign w:val="center"/>
          </w:tcPr>
          <w:p w14:paraId="0BB22D45" w14:textId="77777777" w:rsidR="00281AE3" w:rsidRPr="00021B75" w:rsidRDefault="00281AE3" w:rsidP="00E22DB2">
            <w:pPr>
              <w:jc w:val="center"/>
              <w:rPr>
                <w:rFonts w:ascii="Calibri" w:hAnsi="Calibri" w:cs="Calibri"/>
              </w:rPr>
            </w:pPr>
            <w:r>
              <w:rPr>
                <w:rFonts w:ascii="Calibri" w:hAnsi="Calibri" w:cs="Calibri"/>
              </w:rPr>
              <w:t>1.5C-</w:t>
            </w:r>
            <w:r>
              <w:rPr>
                <w:rFonts w:ascii="Calibri" w:hAnsi="Calibri" w:cs="Calibri" w:hint="eastAsia"/>
              </w:rPr>
              <w:t>C</w:t>
            </w:r>
            <w:r>
              <w:rPr>
                <w:rFonts w:ascii="Calibri" w:hAnsi="Calibri" w:cs="Calibri"/>
              </w:rPr>
              <w:t>CU</w:t>
            </w:r>
          </w:p>
        </w:tc>
        <w:tc>
          <w:tcPr>
            <w:tcW w:w="992" w:type="dxa"/>
            <w:vAlign w:val="center"/>
          </w:tcPr>
          <w:p w14:paraId="4D7F6843" w14:textId="77777777" w:rsidR="00281AE3" w:rsidRPr="00021B75" w:rsidRDefault="00281AE3" w:rsidP="00E22DB2">
            <w:pPr>
              <w:jc w:val="center"/>
              <w:rPr>
                <w:rFonts w:ascii="Calibri" w:hAnsi="Calibri" w:cs="Calibri"/>
              </w:rPr>
            </w:pPr>
            <w:r>
              <w:rPr>
                <w:rFonts w:ascii="Calibri" w:hAnsi="Calibri" w:cs="Calibri"/>
              </w:rPr>
              <w:t>1.5C-</w:t>
            </w:r>
            <w:r>
              <w:rPr>
                <w:rFonts w:ascii="Calibri" w:hAnsi="Calibri" w:cs="Calibri" w:hint="eastAsia"/>
              </w:rPr>
              <w:t>D</w:t>
            </w:r>
            <w:r>
              <w:rPr>
                <w:rFonts w:ascii="Calibri" w:hAnsi="Calibri" w:cs="Calibri"/>
              </w:rPr>
              <w:t>EC</w:t>
            </w:r>
          </w:p>
        </w:tc>
        <w:tc>
          <w:tcPr>
            <w:tcW w:w="992" w:type="dxa"/>
            <w:vAlign w:val="center"/>
          </w:tcPr>
          <w:p w14:paraId="2BCFB506" w14:textId="77777777" w:rsidR="00281AE3" w:rsidRPr="00021B75" w:rsidRDefault="00281AE3" w:rsidP="00E22DB2">
            <w:pPr>
              <w:jc w:val="center"/>
              <w:rPr>
                <w:rFonts w:ascii="Calibri" w:hAnsi="Calibri" w:cs="Calibri"/>
              </w:rPr>
            </w:pPr>
            <w:r>
              <w:rPr>
                <w:rFonts w:ascii="Calibri" w:hAnsi="Calibri" w:cs="Calibri"/>
              </w:rPr>
              <w:t>1.5C-</w:t>
            </w:r>
            <w:r>
              <w:rPr>
                <w:rFonts w:ascii="Calibri" w:hAnsi="Calibri" w:cs="Calibri" w:hint="eastAsia"/>
              </w:rPr>
              <w:t>C</w:t>
            </w:r>
            <w:r>
              <w:rPr>
                <w:rFonts w:ascii="Calibri" w:hAnsi="Calibri" w:cs="Calibri"/>
              </w:rPr>
              <w:t>DR</w:t>
            </w:r>
          </w:p>
        </w:tc>
      </w:tr>
      <w:tr w:rsidR="00281AE3" w:rsidRPr="00021B75" w14:paraId="1655341C" w14:textId="77777777" w:rsidTr="00E22DB2">
        <w:tc>
          <w:tcPr>
            <w:tcW w:w="1418" w:type="dxa"/>
            <w:tcBorders>
              <w:bottom w:val="nil"/>
            </w:tcBorders>
          </w:tcPr>
          <w:p w14:paraId="3EC78217" w14:textId="77777777" w:rsidR="00281AE3" w:rsidRPr="00021B75" w:rsidRDefault="00281AE3" w:rsidP="00E22DB2">
            <w:pPr>
              <w:rPr>
                <w:rFonts w:ascii="Calibri" w:hAnsi="Calibri" w:cs="Calibri"/>
              </w:rPr>
            </w:pPr>
            <w:r>
              <w:rPr>
                <w:rFonts w:ascii="Calibri" w:hAnsi="Calibri" w:cs="Calibri"/>
              </w:rPr>
              <w:t>T</w:t>
            </w:r>
            <w:r w:rsidRPr="00021B75">
              <w:rPr>
                <w:rFonts w:ascii="Calibri" w:hAnsi="Calibri" w:cs="Calibri"/>
              </w:rPr>
              <w:t>echnological changes in the energy demand</w:t>
            </w:r>
          </w:p>
        </w:tc>
        <w:tc>
          <w:tcPr>
            <w:tcW w:w="4111" w:type="dxa"/>
            <w:tcBorders>
              <w:bottom w:val="nil"/>
            </w:tcBorders>
          </w:tcPr>
          <w:p w14:paraId="06D6806E" w14:textId="77777777" w:rsidR="00281AE3" w:rsidRPr="00021B75" w:rsidRDefault="00281AE3" w:rsidP="00E22DB2">
            <w:pPr>
              <w:rPr>
                <w:rFonts w:ascii="Calibri" w:hAnsi="Calibri" w:cs="Calibri"/>
              </w:rPr>
            </w:pPr>
            <w:r w:rsidRPr="00021B75">
              <w:rPr>
                <w:rFonts w:ascii="Calibri" w:hAnsi="Calibri" w:cs="Calibri"/>
              </w:rPr>
              <w:t>Reduced transition risks by avoiding rapid changes of energy demand technologies, especially electrification. Existing hydrocarbon-based infrastructure can remain, avoiding stranded asset risks. Emergency options for energy demand technologies and infrastructure lock-in.</w:t>
            </w:r>
          </w:p>
        </w:tc>
        <w:tc>
          <w:tcPr>
            <w:tcW w:w="991" w:type="dxa"/>
            <w:tcBorders>
              <w:bottom w:val="nil"/>
            </w:tcBorders>
          </w:tcPr>
          <w:p w14:paraId="6E09A7CB" w14:textId="77777777" w:rsidR="00281AE3" w:rsidRPr="00021B75" w:rsidRDefault="00281AE3" w:rsidP="00E22DB2">
            <w:pPr>
              <w:jc w:val="center"/>
              <w:rPr>
                <w:rFonts w:ascii="Calibri" w:hAnsi="Calibri" w:cs="Calibri"/>
              </w:rPr>
            </w:pPr>
            <w:r>
              <w:rPr>
                <w:rFonts w:ascii="Calibri" w:hAnsi="Calibri" w:cs="Calibri" w:hint="eastAsia"/>
              </w:rPr>
              <w:t>M</w:t>
            </w:r>
            <w:r>
              <w:rPr>
                <w:rFonts w:ascii="Calibri" w:hAnsi="Calibri" w:cs="Calibri"/>
              </w:rPr>
              <w:t>oderate</w:t>
            </w:r>
          </w:p>
        </w:tc>
        <w:tc>
          <w:tcPr>
            <w:tcW w:w="992" w:type="dxa"/>
            <w:tcBorders>
              <w:bottom w:val="nil"/>
            </w:tcBorders>
          </w:tcPr>
          <w:p w14:paraId="0376FA8E" w14:textId="77777777" w:rsidR="00281AE3" w:rsidRPr="00021B75" w:rsidRDefault="00281AE3" w:rsidP="00E22DB2">
            <w:pPr>
              <w:jc w:val="center"/>
              <w:rPr>
                <w:rFonts w:ascii="Calibri" w:hAnsi="Calibri" w:cs="Calibri"/>
              </w:rPr>
            </w:pPr>
            <w:r>
              <w:rPr>
                <w:rFonts w:ascii="Calibri" w:hAnsi="Calibri" w:cs="Calibri" w:hint="eastAsia"/>
              </w:rPr>
              <w:t>L</w:t>
            </w:r>
            <w:r>
              <w:rPr>
                <w:rFonts w:ascii="Calibri" w:hAnsi="Calibri" w:cs="Calibri"/>
              </w:rPr>
              <w:t>arge</w:t>
            </w:r>
          </w:p>
        </w:tc>
        <w:tc>
          <w:tcPr>
            <w:tcW w:w="992" w:type="dxa"/>
            <w:tcBorders>
              <w:bottom w:val="nil"/>
            </w:tcBorders>
          </w:tcPr>
          <w:p w14:paraId="0676CAF8" w14:textId="77777777" w:rsidR="00281AE3" w:rsidRPr="00021B75" w:rsidRDefault="00281AE3" w:rsidP="00E22DB2">
            <w:pPr>
              <w:jc w:val="center"/>
              <w:rPr>
                <w:rFonts w:ascii="Calibri" w:hAnsi="Calibri" w:cs="Calibri"/>
              </w:rPr>
            </w:pPr>
            <w:r>
              <w:rPr>
                <w:rFonts w:ascii="Calibri" w:hAnsi="Calibri" w:cs="Calibri" w:hint="eastAsia"/>
              </w:rPr>
              <w:t>L</w:t>
            </w:r>
            <w:r>
              <w:rPr>
                <w:rFonts w:ascii="Calibri" w:hAnsi="Calibri" w:cs="Calibri"/>
              </w:rPr>
              <w:t>arge</w:t>
            </w:r>
          </w:p>
        </w:tc>
      </w:tr>
      <w:tr w:rsidR="00281AE3" w:rsidRPr="00021B75" w14:paraId="6D4005DE" w14:textId="77777777" w:rsidTr="00E22DB2">
        <w:tc>
          <w:tcPr>
            <w:tcW w:w="1418" w:type="dxa"/>
            <w:tcBorders>
              <w:top w:val="nil"/>
              <w:bottom w:val="nil"/>
            </w:tcBorders>
          </w:tcPr>
          <w:p w14:paraId="5DBCC97F" w14:textId="77777777" w:rsidR="00281AE3" w:rsidRPr="00021B75" w:rsidRDefault="00281AE3" w:rsidP="00E22DB2">
            <w:pPr>
              <w:rPr>
                <w:rFonts w:ascii="Calibri" w:hAnsi="Calibri" w:cs="Calibri"/>
              </w:rPr>
            </w:pPr>
            <w:r>
              <w:rPr>
                <w:rFonts w:ascii="Calibri" w:hAnsi="Calibri" w:cs="Calibri"/>
              </w:rPr>
              <w:t>D</w:t>
            </w:r>
            <w:r w:rsidRPr="00021B75">
              <w:rPr>
                <w:rFonts w:ascii="Calibri" w:hAnsi="Calibri" w:cs="Calibri"/>
              </w:rPr>
              <w:t>ependencies on fossil and biomass primary supply</w:t>
            </w:r>
          </w:p>
        </w:tc>
        <w:tc>
          <w:tcPr>
            <w:tcW w:w="4111" w:type="dxa"/>
            <w:tcBorders>
              <w:top w:val="nil"/>
              <w:bottom w:val="nil"/>
            </w:tcBorders>
          </w:tcPr>
          <w:p w14:paraId="2E8AF73D" w14:textId="77777777" w:rsidR="00281AE3" w:rsidRPr="00021B75" w:rsidRDefault="00281AE3" w:rsidP="00E22DB2">
            <w:pPr>
              <w:rPr>
                <w:rFonts w:ascii="Calibri" w:hAnsi="Calibri" w:cs="Calibri"/>
              </w:rPr>
            </w:pPr>
            <w:r w:rsidRPr="00021B75">
              <w:rPr>
                <w:rFonts w:ascii="Calibri" w:hAnsi="Calibri" w:cs="Calibri"/>
              </w:rPr>
              <w:t xml:space="preserve">Primary energy supply from fossil and biomass are less than 200 EJ per year in 2050, which is almost same level with the IMP-Ren and IMP-SP scenarios in </w:t>
            </w:r>
            <w:r>
              <w:rPr>
                <w:rFonts w:ascii="Calibri" w:hAnsi="Calibri" w:cs="Calibri"/>
              </w:rPr>
              <w:t xml:space="preserve">the </w:t>
            </w:r>
            <w:r w:rsidRPr="00021B75">
              <w:rPr>
                <w:rFonts w:ascii="Calibri" w:hAnsi="Calibri" w:cs="Calibri"/>
              </w:rPr>
              <w:t>AR6. Low CDR implementation, about 1 Gt-CO</w:t>
            </w:r>
            <w:r w:rsidRPr="00021B75">
              <w:rPr>
                <w:rFonts w:ascii="Calibri" w:hAnsi="Calibri" w:cs="Calibri"/>
                <w:vertAlign w:val="subscript"/>
              </w:rPr>
              <w:t>2</w:t>
            </w:r>
            <w:r w:rsidRPr="00021B75">
              <w:rPr>
                <w:rFonts w:ascii="Calibri" w:hAnsi="Calibri" w:cs="Calibri"/>
              </w:rPr>
              <w:t xml:space="preserve"> per year in 2050. Generally associated sustainability concerns </w:t>
            </w:r>
            <w:r>
              <w:rPr>
                <w:rFonts w:ascii="Calibri" w:hAnsi="Calibri" w:cs="Calibri"/>
              </w:rPr>
              <w:t xml:space="preserve">can be </w:t>
            </w:r>
            <w:r w:rsidRPr="00021B75">
              <w:rPr>
                <w:rFonts w:ascii="Calibri" w:hAnsi="Calibri" w:cs="Calibri"/>
              </w:rPr>
              <w:t>lower.</w:t>
            </w:r>
          </w:p>
        </w:tc>
        <w:tc>
          <w:tcPr>
            <w:tcW w:w="991" w:type="dxa"/>
            <w:tcBorders>
              <w:top w:val="nil"/>
              <w:bottom w:val="nil"/>
            </w:tcBorders>
          </w:tcPr>
          <w:p w14:paraId="243B9A6E" w14:textId="77777777" w:rsidR="00281AE3" w:rsidRPr="00021B75" w:rsidRDefault="00281AE3" w:rsidP="00E22DB2">
            <w:pPr>
              <w:jc w:val="center"/>
              <w:rPr>
                <w:rFonts w:ascii="Calibri" w:hAnsi="Calibri" w:cs="Calibri"/>
              </w:rPr>
            </w:pPr>
            <w:r>
              <w:rPr>
                <w:rFonts w:ascii="Calibri" w:hAnsi="Calibri" w:cs="Calibri" w:hint="eastAsia"/>
              </w:rPr>
              <w:t>L</w:t>
            </w:r>
            <w:r>
              <w:rPr>
                <w:rFonts w:ascii="Calibri" w:hAnsi="Calibri" w:cs="Calibri"/>
              </w:rPr>
              <w:t>ow</w:t>
            </w:r>
          </w:p>
        </w:tc>
        <w:tc>
          <w:tcPr>
            <w:tcW w:w="992" w:type="dxa"/>
            <w:tcBorders>
              <w:top w:val="nil"/>
              <w:bottom w:val="nil"/>
            </w:tcBorders>
          </w:tcPr>
          <w:p w14:paraId="1DA03B70" w14:textId="77777777" w:rsidR="00281AE3" w:rsidRPr="00021B75" w:rsidRDefault="00281AE3" w:rsidP="00E22DB2">
            <w:pPr>
              <w:jc w:val="center"/>
              <w:rPr>
                <w:rFonts w:ascii="Calibri" w:hAnsi="Calibri" w:cs="Calibri"/>
              </w:rPr>
            </w:pPr>
            <w:r>
              <w:rPr>
                <w:rFonts w:ascii="Calibri" w:hAnsi="Calibri" w:cs="Calibri" w:hint="eastAsia"/>
              </w:rPr>
              <w:t>L</w:t>
            </w:r>
            <w:r>
              <w:rPr>
                <w:rFonts w:ascii="Calibri" w:hAnsi="Calibri" w:cs="Calibri"/>
              </w:rPr>
              <w:t>ow</w:t>
            </w:r>
          </w:p>
        </w:tc>
        <w:tc>
          <w:tcPr>
            <w:tcW w:w="992" w:type="dxa"/>
            <w:tcBorders>
              <w:top w:val="nil"/>
              <w:bottom w:val="nil"/>
            </w:tcBorders>
          </w:tcPr>
          <w:p w14:paraId="27150A7C" w14:textId="77777777" w:rsidR="00281AE3" w:rsidRPr="00021B75" w:rsidRDefault="00281AE3" w:rsidP="00E22DB2">
            <w:pPr>
              <w:jc w:val="center"/>
              <w:rPr>
                <w:rFonts w:ascii="Calibri" w:hAnsi="Calibri" w:cs="Calibri"/>
              </w:rPr>
            </w:pPr>
            <w:r>
              <w:rPr>
                <w:rFonts w:ascii="Calibri" w:hAnsi="Calibri" w:cs="Calibri" w:hint="eastAsia"/>
              </w:rPr>
              <w:t>M</w:t>
            </w:r>
            <w:r>
              <w:rPr>
                <w:rFonts w:ascii="Calibri" w:hAnsi="Calibri" w:cs="Calibri"/>
              </w:rPr>
              <w:t>edium</w:t>
            </w:r>
          </w:p>
        </w:tc>
      </w:tr>
      <w:tr w:rsidR="00281AE3" w:rsidRPr="00021B75" w14:paraId="68729F13" w14:textId="77777777" w:rsidTr="00E22DB2">
        <w:tc>
          <w:tcPr>
            <w:tcW w:w="1418" w:type="dxa"/>
            <w:tcBorders>
              <w:top w:val="nil"/>
              <w:bottom w:val="nil"/>
            </w:tcBorders>
          </w:tcPr>
          <w:p w14:paraId="4C2E1926" w14:textId="77777777" w:rsidR="00281AE3" w:rsidRPr="00021B75" w:rsidRDefault="00281AE3" w:rsidP="00E22DB2">
            <w:pPr>
              <w:rPr>
                <w:rFonts w:ascii="Calibri" w:hAnsi="Calibri" w:cs="Calibri"/>
              </w:rPr>
            </w:pPr>
            <w:r>
              <w:rPr>
                <w:rFonts w:ascii="Calibri" w:hAnsi="Calibri" w:cs="Calibri"/>
              </w:rPr>
              <w:t xml:space="preserve">Scale of </w:t>
            </w:r>
            <w:r w:rsidRPr="00021B75">
              <w:rPr>
                <w:rFonts w:ascii="Calibri" w:hAnsi="Calibri" w:cs="Calibri"/>
              </w:rPr>
              <w:t>non-biomass renewables</w:t>
            </w:r>
          </w:p>
        </w:tc>
        <w:tc>
          <w:tcPr>
            <w:tcW w:w="4111" w:type="dxa"/>
            <w:tcBorders>
              <w:top w:val="nil"/>
              <w:bottom w:val="nil"/>
            </w:tcBorders>
          </w:tcPr>
          <w:p w14:paraId="1F879841" w14:textId="77777777" w:rsidR="00281AE3" w:rsidRPr="00021B75" w:rsidRDefault="00281AE3" w:rsidP="00E22DB2">
            <w:pPr>
              <w:rPr>
                <w:rFonts w:ascii="Calibri" w:hAnsi="Calibri" w:cs="Calibri"/>
              </w:rPr>
            </w:pPr>
            <w:r w:rsidRPr="00021B75">
              <w:rPr>
                <w:rFonts w:ascii="Calibri" w:hAnsi="Calibri" w:cs="Calibri"/>
              </w:rPr>
              <w:t>Non-biomass renewable supply exceeds 600EJ per year by 2050, which is higher than the AR6 scenario range. Direct electricity use in the final energy demand is less than 200 EJ per year, while the rest is used for hydrogen and synfuel production.</w:t>
            </w:r>
          </w:p>
        </w:tc>
        <w:tc>
          <w:tcPr>
            <w:tcW w:w="991" w:type="dxa"/>
            <w:tcBorders>
              <w:top w:val="nil"/>
              <w:bottom w:val="nil"/>
            </w:tcBorders>
          </w:tcPr>
          <w:p w14:paraId="2FE8BA19" w14:textId="77777777" w:rsidR="00281AE3" w:rsidRPr="00021B75" w:rsidRDefault="00281AE3" w:rsidP="00E22DB2">
            <w:pPr>
              <w:jc w:val="center"/>
              <w:rPr>
                <w:rFonts w:ascii="Calibri" w:hAnsi="Calibri" w:cs="Calibri"/>
              </w:rPr>
            </w:pPr>
            <w:r>
              <w:rPr>
                <w:rFonts w:ascii="Calibri" w:hAnsi="Calibri" w:cs="Calibri"/>
              </w:rPr>
              <w:t>Very high</w:t>
            </w:r>
          </w:p>
        </w:tc>
        <w:tc>
          <w:tcPr>
            <w:tcW w:w="992" w:type="dxa"/>
            <w:tcBorders>
              <w:top w:val="nil"/>
              <w:bottom w:val="nil"/>
            </w:tcBorders>
          </w:tcPr>
          <w:p w14:paraId="0E382BAC" w14:textId="77777777" w:rsidR="00281AE3" w:rsidRPr="00021B75" w:rsidRDefault="00281AE3" w:rsidP="00E22DB2">
            <w:pPr>
              <w:jc w:val="center"/>
              <w:rPr>
                <w:rFonts w:ascii="Calibri" w:hAnsi="Calibri" w:cs="Calibri"/>
              </w:rPr>
            </w:pPr>
            <w:r>
              <w:rPr>
                <w:rFonts w:ascii="Calibri" w:hAnsi="Calibri" w:cs="Calibri"/>
              </w:rPr>
              <w:t>High</w:t>
            </w:r>
          </w:p>
        </w:tc>
        <w:tc>
          <w:tcPr>
            <w:tcW w:w="992" w:type="dxa"/>
            <w:tcBorders>
              <w:top w:val="nil"/>
              <w:bottom w:val="nil"/>
            </w:tcBorders>
          </w:tcPr>
          <w:p w14:paraId="1BF0301E" w14:textId="77777777" w:rsidR="00281AE3" w:rsidRPr="00021B75" w:rsidRDefault="00281AE3" w:rsidP="00E22DB2">
            <w:pPr>
              <w:jc w:val="center"/>
              <w:rPr>
                <w:rFonts w:ascii="Calibri" w:hAnsi="Calibri" w:cs="Calibri"/>
              </w:rPr>
            </w:pPr>
            <w:r>
              <w:rPr>
                <w:rFonts w:ascii="Calibri" w:hAnsi="Calibri" w:cs="Calibri"/>
              </w:rPr>
              <w:t>Medium</w:t>
            </w:r>
          </w:p>
        </w:tc>
      </w:tr>
      <w:tr w:rsidR="00281AE3" w:rsidRPr="00021B75" w14:paraId="3741DCD3" w14:textId="77777777" w:rsidTr="00E22DB2">
        <w:tc>
          <w:tcPr>
            <w:tcW w:w="1418" w:type="dxa"/>
            <w:tcBorders>
              <w:top w:val="nil"/>
              <w:bottom w:val="nil"/>
            </w:tcBorders>
          </w:tcPr>
          <w:p w14:paraId="104D943E" w14:textId="77777777" w:rsidR="00281AE3" w:rsidRPr="00021B75" w:rsidRDefault="00281AE3" w:rsidP="00E22DB2">
            <w:pPr>
              <w:rPr>
                <w:rFonts w:ascii="Calibri" w:hAnsi="Calibri" w:cs="Calibri"/>
              </w:rPr>
            </w:pPr>
            <w:r>
              <w:rPr>
                <w:rFonts w:ascii="Calibri" w:hAnsi="Calibri" w:cs="Calibri"/>
              </w:rPr>
              <w:t>C</w:t>
            </w:r>
            <w:r w:rsidRPr="00021B75">
              <w:rPr>
                <w:rFonts w:ascii="Calibri" w:hAnsi="Calibri" w:cs="Calibri"/>
              </w:rPr>
              <w:t>arbon-dependent energy demand</w:t>
            </w:r>
          </w:p>
        </w:tc>
        <w:tc>
          <w:tcPr>
            <w:tcW w:w="4111" w:type="dxa"/>
            <w:tcBorders>
              <w:top w:val="nil"/>
              <w:bottom w:val="nil"/>
            </w:tcBorders>
          </w:tcPr>
          <w:p w14:paraId="0B3CB710" w14:textId="77777777" w:rsidR="00281AE3" w:rsidRPr="00021B75" w:rsidRDefault="00281AE3" w:rsidP="00E22DB2">
            <w:pPr>
              <w:rPr>
                <w:rFonts w:ascii="Calibri" w:hAnsi="Calibri" w:cs="Calibri"/>
              </w:rPr>
            </w:pPr>
            <w:r w:rsidRPr="00021B75">
              <w:rPr>
                <w:rFonts w:ascii="Calibri" w:hAnsi="Calibri" w:cs="Calibri"/>
              </w:rPr>
              <w:t>Despite low dependencies on fossil and biomass extractions, carbon input to energy systems is almost doubled compared with the renewable and electrification-based scenario. Carbon capture by DAC increases about 10 Gt-CO</w:t>
            </w:r>
            <w:r w:rsidRPr="00021B75">
              <w:rPr>
                <w:rFonts w:ascii="Calibri" w:hAnsi="Calibri" w:cs="Calibri"/>
                <w:vertAlign w:val="subscript"/>
              </w:rPr>
              <w:t>2</w:t>
            </w:r>
            <w:r w:rsidRPr="00021B75">
              <w:rPr>
                <w:rFonts w:ascii="Calibri" w:hAnsi="Calibri" w:cs="Calibri"/>
              </w:rPr>
              <w:t xml:space="preserve"> per year by 2050. Low CCS and CDR implementation.</w:t>
            </w:r>
          </w:p>
        </w:tc>
        <w:tc>
          <w:tcPr>
            <w:tcW w:w="991" w:type="dxa"/>
            <w:tcBorders>
              <w:top w:val="nil"/>
              <w:bottom w:val="nil"/>
            </w:tcBorders>
          </w:tcPr>
          <w:p w14:paraId="33479E8E" w14:textId="77777777" w:rsidR="00281AE3" w:rsidRPr="00021B75" w:rsidRDefault="00281AE3" w:rsidP="00E22DB2">
            <w:pPr>
              <w:jc w:val="center"/>
              <w:rPr>
                <w:rFonts w:ascii="Calibri" w:hAnsi="Calibri" w:cs="Calibri"/>
              </w:rPr>
            </w:pPr>
            <w:r>
              <w:rPr>
                <w:rFonts w:ascii="Calibri" w:hAnsi="Calibri" w:cs="Calibri"/>
              </w:rPr>
              <w:t>Medium</w:t>
            </w:r>
          </w:p>
        </w:tc>
        <w:tc>
          <w:tcPr>
            <w:tcW w:w="992" w:type="dxa"/>
            <w:tcBorders>
              <w:top w:val="nil"/>
              <w:bottom w:val="nil"/>
            </w:tcBorders>
          </w:tcPr>
          <w:p w14:paraId="5D9A7AD6" w14:textId="77777777" w:rsidR="00281AE3" w:rsidRPr="00021B75" w:rsidRDefault="00281AE3" w:rsidP="00E22DB2">
            <w:pPr>
              <w:jc w:val="center"/>
              <w:rPr>
                <w:rFonts w:ascii="Calibri" w:hAnsi="Calibri" w:cs="Calibri"/>
              </w:rPr>
            </w:pPr>
            <w:r>
              <w:rPr>
                <w:rFonts w:ascii="Calibri" w:hAnsi="Calibri" w:cs="Calibri" w:hint="eastAsia"/>
              </w:rPr>
              <w:t>L</w:t>
            </w:r>
            <w:r>
              <w:rPr>
                <w:rFonts w:ascii="Calibri" w:hAnsi="Calibri" w:cs="Calibri"/>
              </w:rPr>
              <w:t>ow</w:t>
            </w:r>
          </w:p>
        </w:tc>
        <w:tc>
          <w:tcPr>
            <w:tcW w:w="992" w:type="dxa"/>
            <w:tcBorders>
              <w:top w:val="nil"/>
              <w:bottom w:val="nil"/>
            </w:tcBorders>
          </w:tcPr>
          <w:p w14:paraId="0A674800" w14:textId="77777777" w:rsidR="00281AE3" w:rsidRPr="00021B75" w:rsidRDefault="00281AE3" w:rsidP="00E22DB2">
            <w:pPr>
              <w:jc w:val="center"/>
              <w:rPr>
                <w:rFonts w:ascii="Calibri" w:hAnsi="Calibri" w:cs="Calibri"/>
              </w:rPr>
            </w:pPr>
            <w:r>
              <w:rPr>
                <w:rFonts w:ascii="Calibri" w:hAnsi="Calibri" w:cs="Calibri"/>
              </w:rPr>
              <w:t>Medium</w:t>
            </w:r>
          </w:p>
        </w:tc>
      </w:tr>
      <w:tr w:rsidR="00281AE3" w:rsidRPr="00021B75" w14:paraId="7CB86A24" w14:textId="77777777" w:rsidTr="00E22DB2">
        <w:tc>
          <w:tcPr>
            <w:tcW w:w="1418" w:type="dxa"/>
            <w:tcBorders>
              <w:top w:val="nil"/>
            </w:tcBorders>
          </w:tcPr>
          <w:p w14:paraId="74C166A9" w14:textId="77777777" w:rsidR="00281AE3" w:rsidRPr="00021B75" w:rsidRDefault="00281AE3" w:rsidP="00E22DB2">
            <w:pPr>
              <w:rPr>
                <w:rFonts w:ascii="Calibri" w:hAnsi="Calibri" w:cs="Calibri"/>
              </w:rPr>
            </w:pPr>
            <w:r>
              <w:rPr>
                <w:rFonts w:ascii="Calibri" w:hAnsi="Calibri" w:cs="Calibri"/>
              </w:rPr>
              <w:t>M</w:t>
            </w:r>
            <w:r w:rsidRPr="00021B75">
              <w:rPr>
                <w:rFonts w:ascii="Calibri" w:hAnsi="Calibri" w:cs="Calibri"/>
              </w:rPr>
              <w:t>itigation cost</w:t>
            </w:r>
          </w:p>
        </w:tc>
        <w:tc>
          <w:tcPr>
            <w:tcW w:w="4111" w:type="dxa"/>
            <w:tcBorders>
              <w:top w:val="nil"/>
            </w:tcBorders>
          </w:tcPr>
          <w:p w14:paraId="3A8C63B2" w14:textId="77777777" w:rsidR="00281AE3" w:rsidRPr="00021B75" w:rsidRDefault="00281AE3" w:rsidP="00E22DB2">
            <w:pPr>
              <w:rPr>
                <w:rFonts w:ascii="Calibri" w:hAnsi="Calibri" w:cs="Calibri"/>
              </w:rPr>
            </w:pPr>
            <w:r>
              <w:rPr>
                <w:rFonts w:ascii="Calibri" w:hAnsi="Calibri" w:cs="Calibri"/>
              </w:rPr>
              <w:t>M</w:t>
            </w:r>
            <w:r w:rsidRPr="00021B75">
              <w:rPr>
                <w:rFonts w:ascii="Calibri" w:hAnsi="Calibri" w:cs="Calibri"/>
              </w:rPr>
              <w:t xml:space="preserve">itigation costs </w:t>
            </w:r>
            <w:r>
              <w:rPr>
                <w:rFonts w:ascii="Calibri" w:hAnsi="Calibri" w:cs="Calibri"/>
              </w:rPr>
              <w:t xml:space="preserve">and carbon prices </w:t>
            </w:r>
            <w:r w:rsidRPr="00021B75">
              <w:rPr>
                <w:rFonts w:ascii="Calibri" w:hAnsi="Calibri" w:cs="Calibri"/>
              </w:rPr>
              <w:t>are almost doubled compared with the renewable and electrification-based scenario, due mainly to synfuel productions, while energy technology investment for energy demand sectors is reduced.</w:t>
            </w:r>
          </w:p>
        </w:tc>
        <w:tc>
          <w:tcPr>
            <w:tcW w:w="991" w:type="dxa"/>
            <w:tcBorders>
              <w:top w:val="nil"/>
            </w:tcBorders>
          </w:tcPr>
          <w:p w14:paraId="36D978B5" w14:textId="77777777" w:rsidR="00281AE3" w:rsidRPr="00021B75" w:rsidRDefault="00281AE3" w:rsidP="00E22DB2">
            <w:pPr>
              <w:jc w:val="center"/>
              <w:rPr>
                <w:rFonts w:ascii="Calibri" w:hAnsi="Calibri" w:cs="Calibri"/>
              </w:rPr>
            </w:pPr>
            <w:r>
              <w:rPr>
                <w:rFonts w:ascii="Calibri" w:hAnsi="Calibri" w:cs="Calibri"/>
              </w:rPr>
              <w:t>High</w:t>
            </w:r>
          </w:p>
        </w:tc>
        <w:tc>
          <w:tcPr>
            <w:tcW w:w="992" w:type="dxa"/>
            <w:tcBorders>
              <w:top w:val="nil"/>
            </w:tcBorders>
          </w:tcPr>
          <w:p w14:paraId="4FF897D0" w14:textId="77777777" w:rsidR="00281AE3" w:rsidRPr="00021B75" w:rsidRDefault="00281AE3" w:rsidP="00E22DB2">
            <w:pPr>
              <w:jc w:val="center"/>
              <w:rPr>
                <w:rFonts w:ascii="Calibri" w:hAnsi="Calibri" w:cs="Calibri"/>
              </w:rPr>
            </w:pPr>
            <w:r>
              <w:rPr>
                <w:rFonts w:ascii="Calibri" w:hAnsi="Calibri" w:cs="Calibri"/>
              </w:rPr>
              <w:t>Medium</w:t>
            </w:r>
          </w:p>
        </w:tc>
        <w:tc>
          <w:tcPr>
            <w:tcW w:w="992" w:type="dxa"/>
            <w:tcBorders>
              <w:top w:val="nil"/>
            </w:tcBorders>
          </w:tcPr>
          <w:p w14:paraId="0EE4DB29" w14:textId="77777777" w:rsidR="00281AE3" w:rsidRPr="00021B75" w:rsidRDefault="00281AE3" w:rsidP="00E22DB2">
            <w:pPr>
              <w:jc w:val="center"/>
              <w:rPr>
                <w:rFonts w:ascii="Calibri" w:hAnsi="Calibri" w:cs="Calibri"/>
              </w:rPr>
            </w:pPr>
            <w:r>
              <w:rPr>
                <w:rFonts w:ascii="Calibri" w:hAnsi="Calibri" w:cs="Calibri"/>
              </w:rPr>
              <w:t>Low-Medium</w:t>
            </w:r>
          </w:p>
        </w:tc>
      </w:tr>
    </w:tbl>
    <w:p w14:paraId="1D52C83F" w14:textId="77777777" w:rsidR="00386883" w:rsidRDefault="00000000"/>
    <w:sectPr w:rsidR="0038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E3"/>
    <w:rsid w:val="00281AE3"/>
    <w:rsid w:val="003107CE"/>
    <w:rsid w:val="00316534"/>
    <w:rsid w:val="00373D83"/>
    <w:rsid w:val="005C224D"/>
    <w:rsid w:val="00622525"/>
    <w:rsid w:val="006B2C4D"/>
    <w:rsid w:val="00786892"/>
    <w:rsid w:val="007A60A6"/>
    <w:rsid w:val="00A0389B"/>
    <w:rsid w:val="00B1250C"/>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6FA7C"/>
  <w15:chartTrackingRefBased/>
  <w15:docId w15:val="{24CEF44B-BDCE-4E48-AA83-BD73B0D6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AE3"/>
    <w:pPr>
      <w:widowControl w:val="0"/>
      <w:spacing w:after="0" w:line="240" w:lineRule="auto"/>
      <w:jc w:val="both"/>
    </w:pPr>
    <w:rPr>
      <w:rFonts w:eastAsiaTheme="minorEastAsia"/>
      <w:kern w:val="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81AE3"/>
    <w:rPr>
      <w:bCs/>
      <w:szCs w:val="21"/>
    </w:rPr>
  </w:style>
  <w:style w:type="table" w:styleId="TableGrid">
    <w:name w:val="Table Grid"/>
    <w:basedOn w:val="TableNormal"/>
    <w:rsid w:val="00281AE3"/>
    <w:pPr>
      <w:spacing w:after="0" w:line="240" w:lineRule="auto"/>
    </w:pPr>
    <w:rPr>
      <w:rFonts w:eastAsiaTheme="minorEastAsia"/>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1451</Characters>
  <Application>Microsoft Office Word</Application>
  <DocSecurity>0</DocSecurity>
  <Lines>12</Lines>
  <Paragraphs>3</Paragraphs>
  <ScaleCrop>false</ScaleCrop>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2022-11-02T18:58:00Z</dcterms:created>
  <dcterms:modified xsi:type="dcterms:W3CDTF">2022-11-02T18:58:00Z</dcterms:modified>
</cp:coreProperties>
</file>