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5051" w14:textId="44D5C08A" w:rsidR="00545897" w:rsidRDefault="00E14545" w:rsidP="00354518">
      <w:pPr>
        <w:tabs>
          <w:tab w:val="left" w:pos="5830"/>
        </w:tabs>
        <w:spacing w:line="360" w:lineRule="auto"/>
        <w:jc w:val="both"/>
        <w:rPr>
          <w:rFonts w:ascii="Times New Roman" w:hAnsi="Times New Roman"/>
          <w:b/>
          <w:bCs/>
          <w:sz w:val="28"/>
          <w:szCs w:val="32"/>
        </w:rPr>
      </w:pPr>
      <w:r w:rsidRPr="00E14545">
        <w:rPr>
          <w:rFonts w:ascii="Times New Roman" w:hAnsi="Times New Roman"/>
          <w:b/>
          <w:bCs/>
          <w:sz w:val="28"/>
          <w:szCs w:val="32"/>
        </w:rPr>
        <w:t>Appendices</w:t>
      </w:r>
    </w:p>
    <w:p w14:paraId="7405FBBC" w14:textId="77777777" w:rsidR="00545897" w:rsidRPr="006A084A" w:rsidRDefault="00545897" w:rsidP="00545897">
      <w:pPr>
        <w:spacing w:before="400" w:after="200"/>
        <w:jc w:val="both"/>
        <w:rPr>
          <w:rFonts w:ascii="Times New Roman" w:hAnsi="Times New Roman"/>
          <w:b/>
          <w:bCs/>
          <w:sz w:val="24"/>
          <w:szCs w:val="28"/>
        </w:rPr>
      </w:pPr>
      <w:r>
        <w:rPr>
          <w:rFonts w:ascii="Times New Roman" w:hAnsi="Times New Roman"/>
          <w:b/>
          <w:bCs/>
          <w:sz w:val="24"/>
          <w:szCs w:val="28"/>
        </w:rPr>
        <w:t>S</w:t>
      </w:r>
      <w:r w:rsidRPr="00790AA1">
        <w:rPr>
          <w:rFonts w:ascii="Times New Roman" w:hAnsi="Times New Roman"/>
          <w:b/>
          <w:bCs/>
          <w:sz w:val="24"/>
          <w:szCs w:val="28"/>
        </w:rPr>
        <w:t xml:space="preserve">easons according to </w:t>
      </w:r>
      <w:r>
        <w:rPr>
          <w:rFonts w:ascii="Times New Roman" w:hAnsi="Times New Roman"/>
          <w:b/>
          <w:bCs/>
          <w:sz w:val="24"/>
          <w:szCs w:val="28"/>
        </w:rPr>
        <w:t>r</w:t>
      </w:r>
      <w:r w:rsidRPr="006A084A">
        <w:rPr>
          <w:rFonts w:ascii="Times New Roman" w:hAnsi="Times New Roman"/>
          <w:b/>
          <w:bCs/>
          <w:sz w:val="24"/>
          <w:szCs w:val="28"/>
        </w:rPr>
        <w:t>ainfall</w:t>
      </w:r>
    </w:p>
    <w:p w14:paraId="249760BF" w14:textId="5A90366F" w:rsidR="00545897" w:rsidRDefault="00545897" w:rsidP="00545897">
      <w:pPr>
        <w:spacing w:line="360" w:lineRule="auto"/>
        <w:jc w:val="both"/>
        <w:rPr>
          <w:rFonts w:ascii="Times New Roman" w:hAnsi="Times New Roman"/>
          <w:szCs w:val="22"/>
        </w:rPr>
      </w:pPr>
      <w:r w:rsidRPr="006A084A">
        <w:rPr>
          <w:rFonts w:ascii="Times New Roman" w:hAnsi="Times New Roman"/>
          <w:szCs w:val="22"/>
        </w:rPr>
        <w:t>The cluster analysis of the monthly rainfalls registered between 1995 and 2015 divided the months of the year into three groups (</w:t>
      </w:r>
      <w:r>
        <w:rPr>
          <w:rFonts w:ascii="Times New Roman" w:hAnsi="Times New Roman"/>
          <w:szCs w:val="22"/>
        </w:rPr>
        <w:t>Fig.</w:t>
      </w:r>
      <w:r w:rsidRPr="006A084A">
        <w:rPr>
          <w:rFonts w:ascii="Times New Roman" w:hAnsi="Times New Roman"/>
          <w:szCs w:val="22"/>
        </w:rPr>
        <w:t xml:space="preserve"> </w:t>
      </w:r>
      <w:r w:rsidR="009800A9">
        <w:rPr>
          <w:rFonts w:ascii="Times New Roman" w:hAnsi="Times New Roman"/>
          <w:szCs w:val="22"/>
        </w:rPr>
        <w:t>A</w:t>
      </w:r>
      <w:r w:rsidR="00F32682">
        <w:rPr>
          <w:rFonts w:ascii="Times New Roman" w:hAnsi="Times New Roman"/>
          <w:szCs w:val="22"/>
        </w:rPr>
        <w:t>1</w:t>
      </w:r>
      <w:r w:rsidRPr="006A084A">
        <w:rPr>
          <w:rFonts w:ascii="Times New Roman" w:hAnsi="Times New Roman"/>
          <w:szCs w:val="22"/>
        </w:rPr>
        <w:t>a): group I includes the months of the rainy season (July, September, October, November, and December), with rainfalls above 500 mm; group II comprises the months of the dry season (January, February, March, April, and June), with rainfalls lower that 500 mm; and group III includes the months with variable rainfalls (May and August). However, considering the magnitude of rainfalls and calendar location of the months of group III, May and August were classified as months of the dry and rainy season, respectively (</w:t>
      </w:r>
      <w:r>
        <w:rPr>
          <w:rFonts w:ascii="Times New Roman" w:hAnsi="Times New Roman"/>
          <w:szCs w:val="22"/>
        </w:rPr>
        <w:t>Fig.</w:t>
      </w:r>
      <w:r w:rsidRPr="006A084A">
        <w:rPr>
          <w:rFonts w:ascii="Times New Roman" w:hAnsi="Times New Roman"/>
          <w:szCs w:val="22"/>
        </w:rPr>
        <w:t xml:space="preserve"> </w:t>
      </w:r>
      <w:r w:rsidR="009800A9">
        <w:rPr>
          <w:rFonts w:ascii="Times New Roman" w:hAnsi="Times New Roman"/>
          <w:szCs w:val="22"/>
        </w:rPr>
        <w:t>A</w:t>
      </w:r>
      <w:r w:rsidR="00F32682">
        <w:rPr>
          <w:rFonts w:ascii="Times New Roman" w:hAnsi="Times New Roman"/>
          <w:szCs w:val="22"/>
        </w:rPr>
        <w:t>1</w:t>
      </w:r>
      <w:r w:rsidRPr="006A084A">
        <w:rPr>
          <w:rFonts w:ascii="Times New Roman" w:hAnsi="Times New Roman"/>
          <w:szCs w:val="22"/>
        </w:rPr>
        <w:t xml:space="preserve">b); therefore, two sampling groups were finally analyzed. </w:t>
      </w:r>
    </w:p>
    <w:p w14:paraId="1301E366" w14:textId="77777777" w:rsidR="006123C9" w:rsidRPr="0026166F" w:rsidRDefault="006123C9" w:rsidP="00545897">
      <w:pPr>
        <w:spacing w:line="360" w:lineRule="auto"/>
        <w:jc w:val="both"/>
        <w:rPr>
          <w:rFonts w:ascii="Times New Roman" w:hAnsi="Times New Roman"/>
          <w:szCs w:val="22"/>
        </w:rPr>
      </w:pPr>
    </w:p>
    <w:p w14:paraId="72CEC9B5" w14:textId="3BE1E7A4" w:rsidR="00545897" w:rsidRDefault="00545897" w:rsidP="006123C9">
      <w:pPr>
        <w:tabs>
          <w:tab w:val="left" w:pos="5830"/>
        </w:tabs>
        <w:spacing w:line="360" w:lineRule="auto"/>
        <w:jc w:val="center"/>
        <w:rPr>
          <w:rFonts w:ascii="Times New Roman" w:hAnsi="Times New Roman"/>
          <w:b/>
          <w:bCs/>
          <w:sz w:val="28"/>
          <w:szCs w:val="32"/>
        </w:rPr>
      </w:pPr>
      <w:r>
        <w:rPr>
          <w:noProof/>
        </w:rPr>
        <w:drawing>
          <wp:inline distT="0" distB="0" distL="0" distR="0" wp14:anchorId="6ADB5E2B" wp14:editId="60B75FC5">
            <wp:extent cx="4319223" cy="490358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7547" cy="4913035"/>
                    </a:xfrm>
                    <a:prstGeom prst="rect">
                      <a:avLst/>
                    </a:prstGeom>
                    <a:noFill/>
                    <a:ln>
                      <a:noFill/>
                    </a:ln>
                  </pic:spPr>
                </pic:pic>
              </a:graphicData>
            </a:graphic>
          </wp:inline>
        </w:drawing>
      </w:r>
    </w:p>
    <w:p w14:paraId="1E7100D5" w14:textId="0B1E4DB0" w:rsidR="004A23DC" w:rsidRPr="00D52371" w:rsidRDefault="004A23DC" w:rsidP="004A23DC">
      <w:pPr>
        <w:spacing w:line="360" w:lineRule="auto"/>
        <w:jc w:val="both"/>
        <w:rPr>
          <w:rFonts w:ascii="Times New Roman" w:hAnsi="Times New Roman"/>
          <w:color w:val="404040" w:themeColor="text1" w:themeTint="BF"/>
          <w:sz w:val="18"/>
        </w:rPr>
      </w:pPr>
      <w:r w:rsidRPr="00F32682">
        <w:rPr>
          <w:rFonts w:ascii="Times New Roman" w:hAnsi="Times New Roman"/>
          <w:b/>
          <w:sz w:val="18"/>
        </w:rPr>
        <w:t>Fig.</w:t>
      </w:r>
      <w:r w:rsidR="00F32682">
        <w:rPr>
          <w:rFonts w:ascii="Times New Roman" w:hAnsi="Times New Roman"/>
          <w:b/>
          <w:sz w:val="18"/>
        </w:rPr>
        <w:t xml:space="preserve"> </w:t>
      </w:r>
      <w:r w:rsidR="009800A9">
        <w:rPr>
          <w:rFonts w:ascii="Times New Roman" w:hAnsi="Times New Roman"/>
          <w:b/>
          <w:sz w:val="18"/>
        </w:rPr>
        <w:t>A</w:t>
      </w:r>
      <w:r w:rsidR="00F32682">
        <w:rPr>
          <w:rFonts w:ascii="Times New Roman" w:hAnsi="Times New Roman"/>
          <w:b/>
          <w:sz w:val="18"/>
        </w:rPr>
        <w:t>1</w:t>
      </w:r>
      <w:r w:rsidRPr="004A23DC">
        <w:rPr>
          <w:rFonts w:ascii="Times New Roman" w:hAnsi="Times New Roman"/>
          <w:color w:val="FF0000"/>
          <w:sz w:val="18"/>
        </w:rPr>
        <w:t xml:space="preserve"> </w:t>
      </w:r>
      <w:r w:rsidRPr="00D52371">
        <w:rPr>
          <w:rFonts w:ascii="Times New Roman" w:hAnsi="Times New Roman"/>
          <w:color w:val="404040" w:themeColor="text1" w:themeTint="BF"/>
          <w:sz w:val="18"/>
        </w:rPr>
        <w:t>Rainfalls in the Buenaventura Bay. (a) Total monthly rainfall in 2015 (grey bars) and historic rainfall pattern (1931–2015) (black line). (b) Cluster analysis of rainfall</w:t>
      </w:r>
      <w:r>
        <w:rPr>
          <w:rFonts w:ascii="Times New Roman" w:hAnsi="Times New Roman"/>
          <w:color w:val="404040" w:themeColor="text1" w:themeTint="BF"/>
          <w:sz w:val="18"/>
        </w:rPr>
        <w:t>s</w:t>
      </w:r>
    </w:p>
    <w:p w14:paraId="64806035" w14:textId="17E1DCDE" w:rsidR="00545897" w:rsidRDefault="00545897" w:rsidP="00354518">
      <w:pPr>
        <w:tabs>
          <w:tab w:val="left" w:pos="5830"/>
        </w:tabs>
        <w:spacing w:line="360" w:lineRule="auto"/>
        <w:jc w:val="both"/>
        <w:rPr>
          <w:rFonts w:ascii="Times New Roman" w:hAnsi="Times New Roman"/>
          <w:b/>
          <w:bCs/>
          <w:sz w:val="28"/>
          <w:szCs w:val="32"/>
        </w:rPr>
      </w:pPr>
    </w:p>
    <w:p w14:paraId="7C0E5BCF" w14:textId="77777777" w:rsidR="006123C9" w:rsidRPr="006A084A" w:rsidRDefault="006123C9" w:rsidP="006123C9">
      <w:pPr>
        <w:spacing w:line="360" w:lineRule="auto"/>
        <w:jc w:val="both"/>
        <w:rPr>
          <w:rFonts w:ascii="Times New Roman" w:hAnsi="Times New Roman"/>
          <w:i/>
          <w:color w:val="404040" w:themeColor="text1" w:themeTint="BF"/>
          <w:sz w:val="18"/>
        </w:rPr>
      </w:pPr>
    </w:p>
    <w:p w14:paraId="4DE50378" w14:textId="77777777" w:rsidR="006123C9" w:rsidRPr="006A084A" w:rsidRDefault="006123C9" w:rsidP="006123C9">
      <w:pPr>
        <w:spacing w:line="360" w:lineRule="auto"/>
        <w:jc w:val="center"/>
        <w:rPr>
          <w:rFonts w:ascii="Times New Roman" w:hAnsi="Times New Roman"/>
          <w:i/>
          <w:color w:val="404040" w:themeColor="text1" w:themeTint="BF"/>
          <w:sz w:val="18"/>
        </w:rPr>
      </w:pPr>
      <w:r>
        <w:rPr>
          <w:rFonts w:ascii="Times New Roman" w:hAnsi="Times New Roman"/>
          <w:i/>
          <w:noProof/>
          <w:color w:val="404040" w:themeColor="text1" w:themeTint="BF"/>
          <w:sz w:val="18"/>
        </w:rPr>
        <w:lastRenderedPageBreak/>
        <w:drawing>
          <wp:inline distT="0" distB="0" distL="0" distR="0" wp14:anchorId="7D63B5AD" wp14:editId="753D9698">
            <wp:extent cx="4054852" cy="2553126"/>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4823" cy="2559404"/>
                    </a:xfrm>
                    <a:prstGeom prst="rect">
                      <a:avLst/>
                    </a:prstGeom>
                    <a:noFill/>
                    <a:ln>
                      <a:noFill/>
                    </a:ln>
                  </pic:spPr>
                </pic:pic>
              </a:graphicData>
            </a:graphic>
          </wp:inline>
        </w:drawing>
      </w:r>
    </w:p>
    <w:p w14:paraId="65C2E264" w14:textId="1323C816" w:rsidR="006123C9" w:rsidRPr="00D52371" w:rsidRDefault="006123C9" w:rsidP="006123C9">
      <w:pPr>
        <w:spacing w:line="360" w:lineRule="auto"/>
        <w:jc w:val="both"/>
        <w:rPr>
          <w:rFonts w:ascii="Times New Roman" w:hAnsi="Times New Roman"/>
          <w:color w:val="404040" w:themeColor="text1" w:themeTint="BF"/>
          <w:sz w:val="18"/>
        </w:rPr>
      </w:pPr>
      <w:r w:rsidRPr="00D52371">
        <w:rPr>
          <w:rFonts w:ascii="Times New Roman" w:hAnsi="Times New Roman"/>
          <w:b/>
          <w:color w:val="404040" w:themeColor="text1" w:themeTint="BF"/>
          <w:sz w:val="18"/>
        </w:rPr>
        <w:t>Fig</w:t>
      </w:r>
      <w:r>
        <w:rPr>
          <w:rFonts w:ascii="Times New Roman" w:hAnsi="Times New Roman"/>
          <w:b/>
          <w:color w:val="404040" w:themeColor="text1" w:themeTint="BF"/>
          <w:sz w:val="18"/>
        </w:rPr>
        <w:t>.</w:t>
      </w:r>
      <w:r w:rsidRPr="00D52371">
        <w:rPr>
          <w:rFonts w:ascii="Times New Roman" w:hAnsi="Times New Roman"/>
          <w:b/>
          <w:color w:val="404040" w:themeColor="text1" w:themeTint="BF"/>
          <w:sz w:val="18"/>
        </w:rPr>
        <w:t xml:space="preserve"> </w:t>
      </w:r>
      <w:r w:rsidR="009800A9">
        <w:rPr>
          <w:rFonts w:ascii="Times New Roman" w:hAnsi="Times New Roman"/>
          <w:b/>
          <w:color w:val="404040" w:themeColor="text1" w:themeTint="BF"/>
          <w:sz w:val="18"/>
        </w:rPr>
        <w:t>A</w:t>
      </w:r>
      <w:r w:rsidR="00F32682">
        <w:rPr>
          <w:rFonts w:ascii="Times New Roman" w:hAnsi="Times New Roman"/>
          <w:b/>
          <w:color w:val="404040" w:themeColor="text1" w:themeTint="BF"/>
          <w:sz w:val="18"/>
        </w:rPr>
        <w:t>2</w:t>
      </w:r>
      <w:r w:rsidRPr="00D52371">
        <w:rPr>
          <w:rFonts w:ascii="Times New Roman" w:hAnsi="Times New Roman"/>
          <w:color w:val="404040" w:themeColor="text1" w:themeTint="BF"/>
          <w:sz w:val="18"/>
        </w:rPr>
        <w:t xml:space="preserve"> Environmental variables: (a) salinity, (b) temperature, (c) dissolved oxygen, and (d) pH (mean ± SD) in function of the seasons and sampling areas. Rainfall &lt; 500 mm in the dry season (white bars), and Rainfall &gt; 500 mm in the rainy season (black bars). Area 1 (A1), area 2 (A2), area 3 (A3),</w:t>
      </w:r>
      <w:r>
        <w:rPr>
          <w:rFonts w:ascii="Times New Roman" w:hAnsi="Times New Roman"/>
          <w:color w:val="404040" w:themeColor="text1" w:themeTint="BF"/>
          <w:sz w:val="18"/>
        </w:rPr>
        <w:t xml:space="preserve"> and area 4 (A4</w:t>
      </w:r>
      <w:r w:rsidRPr="00F32682">
        <w:rPr>
          <w:rFonts w:ascii="Times New Roman" w:hAnsi="Times New Roman"/>
          <w:color w:val="404040" w:themeColor="text1" w:themeTint="BF"/>
          <w:sz w:val="18"/>
        </w:rPr>
        <w:t>). Significant differences between sampling areas are indicated with lower case letters</w:t>
      </w:r>
      <w:r w:rsidRPr="00F32682">
        <w:t xml:space="preserve"> </w:t>
      </w:r>
      <w:r w:rsidRPr="00F32682">
        <w:rPr>
          <w:rFonts w:ascii="Times New Roman" w:hAnsi="Times New Roman"/>
          <w:color w:val="404040" w:themeColor="text1" w:themeTint="BF"/>
          <w:sz w:val="18"/>
        </w:rPr>
        <w:t>within the figure, above the bars. Significant differences between sampling seasons are indicated with asterisks (p(PERM) &lt; 0.05*).</w:t>
      </w:r>
    </w:p>
    <w:p w14:paraId="00740154" w14:textId="77777777" w:rsidR="006123C9" w:rsidRDefault="006123C9" w:rsidP="006123C9">
      <w:pPr>
        <w:spacing w:line="360" w:lineRule="auto"/>
        <w:jc w:val="both"/>
        <w:rPr>
          <w:rFonts w:ascii="Times New Roman" w:eastAsia="Calibri" w:hAnsi="Times New Roman"/>
          <w:color w:val="404040" w:themeColor="text1" w:themeTint="BF"/>
          <w:sz w:val="18"/>
          <w:szCs w:val="18"/>
          <w:lang w:eastAsia="en-US"/>
        </w:rPr>
      </w:pPr>
    </w:p>
    <w:p w14:paraId="588733CF" w14:textId="77777777" w:rsidR="00354518" w:rsidRDefault="00354518" w:rsidP="00354518">
      <w:pPr>
        <w:spacing w:line="360" w:lineRule="auto"/>
        <w:jc w:val="both"/>
        <w:rPr>
          <w:rFonts w:ascii="Times New Roman" w:eastAsia="Calibri" w:hAnsi="Times New Roman"/>
          <w:color w:val="404040" w:themeColor="text1" w:themeTint="BF"/>
          <w:sz w:val="18"/>
          <w:szCs w:val="18"/>
          <w:lang w:eastAsia="en-US"/>
        </w:rPr>
      </w:pPr>
    </w:p>
    <w:p w14:paraId="55DB6B6F" w14:textId="77777777" w:rsidR="00354518" w:rsidRPr="006A084A" w:rsidRDefault="00354518" w:rsidP="00354518">
      <w:pPr>
        <w:spacing w:line="360" w:lineRule="auto"/>
        <w:jc w:val="both"/>
        <w:rPr>
          <w:rFonts w:ascii="Times New Roman" w:hAnsi="Times New Roman"/>
          <w:i/>
          <w:color w:val="404040" w:themeColor="text1" w:themeTint="BF"/>
          <w:sz w:val="18"/>
        </w:rPr>
      </w:pPr>
    </w:p>
    <w:p w14:paraId="5DB555FE" w14:textId="77777777" w:rsidR="00354518" w:rsidRPr="006A084A" w:rsidRDefault="00354518" w:rsidP="00354518">
      <w:pPr>
        <w:spacing w:line="360" w:lineRule="auto"/>
        <w:jc w:val="both"/>
        <w:rPr>
          <w:rFonts w:ascii="Times New Roman" w:hAnsi="Times New Roman"/>
          <w:i/>
          <w:color w:val="404040" w:themeColor="text1" w:themeTint="BF"/>
          <w:sz w:val="18"/>
        </w:rPr>
      </w:pPr>
      <w:r w:rsidRPr="006A084A">
        <w:rPr>
          <w:rFonts w:ascii="Times New Roman" w:hAnsi="Times New Roman"/>
          <w:noProof/>
          <w:color w:val="404040" w:themeColor="text1" w:themeTint="BF"/>
          <w:sz w:val="18"/>
          <w:lang w:val="es-ES" w:eastAsia="es-ES"/>
        </w:rPr>
        <w:drawing>
          <wp:inline distT="0" distB="0" distL="0" distR="0" wp14:anchorId="431BAE95" wp14:editId="1805525D">
            <wp:extent cx="4859020" cy="3221355"/>
            <wp:effectExtent l="0" t="0" r="0" b="0"/>
            <wp:docPr id="5" name="Picture 5" descr="GAM univariados sedimentos-T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M univariados sedimentos-TH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9020" cy="3221355"/>
                    </a:xfrm>
                    <a:prstGeom prst="rect">
                      <a:avLst/>
                    </a:prstGeom>
                    <a:noFill/>
                    <a:ln>
                      <a:noFill/>
                    </a:ln>
                  </pic:spPr>
                </pic:pic>
              </a:graphicData>
            </a:graphic>
          </wp:inline>
        </w:drawing>
      </w:r>
    </w:p>
    <w:p w14:paraId="10B0D4DB" w14:textId="448F6A57" w:rsidR="00354518" w:rsidRPr="002A31F1" w:rsidRDefault="00354518" w:rsidP="00354518">
      <w:pPr>
        <w:spacing w:line="360" w:lineRule="auto"/>
        <w:jc w:val="both"/>
        <w:rPr>
          <w:rFonts w:ascii="Times New Roman" w:hAnsi="Times New Roman"/>
          <w:color w:val="404040" w:themeColor="text1" w:themeTint="BF"/>
          <w:sz w:val="18"/>
        </w:rPr>
      </w:pPr>
      <w:r w:rsidRPr="00F32682">
        <w:rPr>
          <w:rFonts w:ascii="Times New Roman" w:hAnsi="Times New Roman"/>
          <w:b/>
          <w:color w:val="404040" w:themeColor="text1" w:themeTint="BF"/>
          <w:sz w:val="18"/>
        </w:rPr>
        <w:t xml:space="preserve">Fig. </w:t>
      </w:r>
      <w:r w:rsidR="009800A9">
        <w:rPr>
          <w:rFonts w:ascii="Times New Roman" w:hAnsi="Times New Roman"/>
          <w:b/>
          <w:color w:val="404040" w:themeColor="text1" w:themeTint="BF"/>
          <w:sz w:val="18"/>
        </w:rPr>
        <w:t>A</w:t>
      </w:r>
      <w:r w:rsidR="00F32682" w:rsidRPr="00F32682">
        <w:rPr>
          <w:rFonts w:ascii="Times New Roman" w:hAnsi="Times New Roman"/>
          <w:b/>
          <w:color w:val="404040" w:themeColor="text1" w:themeTint="BF"/>
          <w:sz w:val="18"/>
        </w:rPr>
        <w:t>3</w:t>
      </w:r>
      <w:r w:rsidRPr="00F32682">
        <w:rPr>
          <w:rFonts w:ascii="Times New Roman" w:hAnsi="Times New Roman"/>
          <w:color w:val="404040" w:themeColor="text1" w:themeTint="BF"/>
          <w:sz w:val="18"/>
        </w:rPr>
        <w:t xml:space="preserve"> Individual GAMs of THg in sediments as a dependent variable, and grain sizes and OM content as independent variables. The intermediate marks in the X-axis represent observed data. Y-axis shows THg in sediments in a fitted function. The dotted lines show a range of two standard errors</w:t>
      </w:r>
    </w:p>
    <w:p w14:paraId="6AE29864" w14:textId="77777777" w:rsidR="00354518" w:rsidRDefault="00354518" w:rsidP="00354518">
      <w:pPr>
        <w:spacing w:line="360" w:lineRule="auto"/>
        <w:jc w:val="both"/>
        <w:rPr>
          <w:rFonts w:ascii="Times New Roman" w:eastAsia="Calibri" w:hAnsi="Times New Roman"/>
          <w:color w:val="404040" w:themeColor="text1" w:themeTint="BF"/>
          <w:sz w:val="18"/>
          <w:szCs w:val="18"/>
          <w:lang w:eastAsia="en-US"/>
        </w:rPr>
      </w:pPr>
    </w:p>
    <w:p w14:paraId="11FD356F" w14:textId="77777777" w:rsidR="00354518" w:rsidRPr="006A084A" w:rsidRDefault="00354518" w:rsidP="00354518">
      <w:pPr>
        <w:spacing w:line="360" w:lineRule="auto"/>
        <w:jc w:val="both"/>
        <w:rPr>
          <w:rFonts w:ascii="Times New Roman" w:hAnsi="Times New Roman"/>
          <w:iCs/>
          <w:szCs w:val="22"/>
        </w:rPr>
      </w:pPr>
    </w:p>
    <w:p w14:paraId="39F7959A" w14:textId="77777777" w:rsidR="00354518" w:rsidRPr="006A084A" w:rsidRDefault="00354518" w:rsidP="00354518">
      <w:pPr>
        <w:spacing w:line="360" w:lineRule="auto"/>
        <w:jc w:val="both"/>
        <w:rPr>
          <w:rFonts w:ascii="Times New Roman" w:hAnsi="Times New Roman"/>
          <w:i/>
          <w:color w:val="404040" w:themeColor="text1" w:themeTint="BF"/>
          <w:sz w:val="18"/>
        </w:rPr>
      </w:pPr>
      <w:r w:rsidRPr="006A084A">
        <w:rPr>
          <w:rFonts w:ascii="Times New Roman" w:eastAsia="Calibri" w:hAnsi="Times New Roman"/>
          <w:i/>
          <w:iCs/>
          <w:noProof/>
          <w:color w:val="404040" w:themeColor="text1" w:themeTint="BF"/>
          <w:sz w:val="18"/>
          <w:szCs w:val="18"/>
          <w:lang w:val="es-ES" w:eastAsia="es-ES"/>
        </w:rPr>
        <w:lastRenderedPageBreak/>
        <w:drawing>
          <wp:inline distT="0" distB="0" distL="0" distR="0" wp14:anchorId="1F357129" wp14:editId="4DF09290">
            <wp:extent cx="5038387" cy="3468326"/>
            <wp:effectExtent l="0" t="0" r="0" b="0"/>
            <wp:docPr id="6" name="Picture 6" descr="GAM univariados FQ-T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M univariados FQ-TH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3913" cy="3472130"/>
                    </a:xfrm>
                    <a:prstGeom prst="rect">
                      <a:avLst/>
                    </a:prstGeom>
                    <a:noFill/>
                    <a:ln>
                      <a:noFill/>
                    </a:ln>
                  </pic:spPr>
                </pic:pic>
              </a:graphicData>
            </a:graphic>
          </wp:inline>
        </w:drawing>
      </w:r>
    </w:p>
    <w:p w14:paraId="6A330A36" w14:textId="615A242F" w:rsidR="00354518" w:rsidRPr="00C4788B" w:rsidRDefault="00354518" w:rsidP="00354518">
      <w:pPr>
        <w:spacing w:line="360" w:lineRule="auto"/>
        <w:jc w:val="both"/>
        <w:rPr>
          <w:rFonts w:ascii="Times New Roman" w:hAnsi="Times New Roman"/>
          <w:color w:val="404040" w:themeColor="text1" w:themeTint="BF"/>
          <w:sz w:val="18"/>
        </w:rPr>
      </w:pPr>
      <w:r w:rsidRPr="00F32682">
        <w:rPr>
          <w:rFonts w:ascii="Times New Roman" w:hAnsi="Times New Roman"/>
          <w:b/>
          <w:color w:val="404040" w:themeColor="text1" w:themeTint="BF"/>
          <w:sz w:val="18"/>
        </w:rPr>
        <w:t xml:space="preserve">Fig. </w:t>
      </w:r>
      <w:r w:rsidR="009800A9">
        <w:rPr>
          <w:rFonts w:ascii="Times New Roman" w:hAnsi="Times New Roman"/>
          <w:b/>
          <w:color w:val="404040" w:themeColor="text1" w:themeTint="BF"/>
          <w:sz w:val="18"/>
        </w:rPr>
        <w:t>A</w:t>
      </w:r>
      <w:r w:rsidR="00F32682" w:rsidRPr="00F32682">
        <w:rPr>
          <w:rFonts w:ascii="Times New Roman" w:hAnsi="Times New Roman"/>
          <w:b/>
          <w:color w:val="404040" w:themeColor="text1" w:themeTint="BF"/>
          <w:sz w:val="18"/>
        </w:rPr>
        <w:t>4</w:t>
      </w:r>
      <w:r w:rsidRPr="00F32682">
        <w:rPr>
          <w:rFonts w:ascii="Times New Roman" w:hAnsi="Times New Roman"/>
          <w:color w:val="404040" w:themeColor="text1" w:themeTint="BF"/>
          <w:sz w:val="18"/>
        </w:rPr>
        <w:t xml:space="preserve"> Individual GAMs of THg in sediments as a dependent variable, and the physicochemical variables of the water column as independent variables. The intermediate marks in the X-axis represent observed data. Y-axis shows THg in sediments in a fitted function. The dotted lines show a range of two standard errors</w:t>
      </w:r>
    </w:p>
    <w:p w14:paraId="719E0371" w14:textId="77777777" w:rsidR="00706B33" w:rsidRDefault="00706B33"/>
    <w:sectPr w:rsidR="00706B33" w:rsidSect="006A084A">
      <w:footerReference w:type="default" r:id="rId10"/>
      <w:pgSz w:w="11907" w:h="16840" w:code="9"/>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66CC" w14:textId="77777777" w:rsidR="00015CDE" w:rsidRDefault="00015CDE">
      <w:r>
        <w:separator/>
      </w:r>
    </w:p>
  </w:endnote>
  <w:endnote w:type="continuationSeparator" w:id="0">
    <w:p w14:paraId="75B8F8DA" w14:textId="77777777" w:rsidR="00015CDE" w:rsidRDefault="0001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089520"/>
      <w:docPartObj>
        <w:docPartGallery w:val="Page Numbers (Bottom of Page)"/>
        <w:docPartUnique/>
      </w:docPartObj>
    </w:sdtPr>
    <w:sdtContent>
      <w:p w14:paraId="02BC4FCC" w14:textId="77777777" w:rsidR="00BF2733" w:rsidRDefault="00354518">
        <w:pPr>
          <w:pStyle w:val="Piedepgina"/>
          <w:jc w:val="right"/>
        </w:pPr>
        <w:r>
          <w:fldChar w:fldCharType="begin"/>
        </w:r>
        <w:r>
          <w:instrText>PAGE   \* MERGEFORMAT</w:instrText>
        </w:r>
        <w:r>
          <w:fldChar w:fldCharType="separate"/>
        </w:r>
        <w:r w:rsidRPr="004C3BF2">
          <w:rPr>
            <w:noProof/>
            <w:lang w:val="es-ES"/>
          </w:rPr>
          <w:t>25</w:t>
        </w:r>
        <w:r>
          <w:fldChar w:fldCharType="end"/>
        </w:r>
      </w:p>
    </w:sdtContent>
  </w:sdt>
  <w:p w14:paraId="0D4E0075" w14:textId="77777777" w:rsidR="00BF2733"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200E" w14:textId="77777777" w:rsidR="00015CDE" w:rsidRDefault="00015CDE">
      <w:r>
        <w:separator/>
      </w:r>
    </w:p>
  </w:footnote>
  <w:footnote w:type="continuationSeparator" w:id="0">
    <w:p w14:paraId="6026FA57" w14:textId="77777777" w:rsidR="00015CDE" w:rsidRDefault="00015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18"/>
    <w:rsid w:val="00015CDE"/>
    <w:rsid w:val="00094CD6"/>
    <w:rsid w:val="00354518"/>
    <w:rsid w:val="004A23DC"/>
    <w:rsid w:val="00545897"/>
    <w:rsid w:val="006123C9"/>
    <w:rsid w:val="00706B33"/>
    <w:rsid w:val="009800A9"/>
    <w:rsid w:val="00BA38B5"/>
    <w:rsid w:val="00E14545"/>
    <w:rsid w:val="00F326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FDA2"/>
  <w15:chartTrackingRefBased/>
  <w15:docId w15:val="{AC191954-101F-4CF5-9EEF-914B4DEE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518"/>
    <w:pPr>
      <w:spacing w:after="0" w:line="240" w:lineRule="auto"/>
    </w:pPr>
    <w:rPr>
      <w:rFonts w:ascii="Calibri" w:eastAsia="SimSun" w:hAnsi="Calibri" w:cs="Times New Roman"/>
      <w:sz w:val="20"/>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354518"/>
    <w:pPr>
      <w:tabs>
        <w:tab w:val="center" w:pos="4252"/>
        <w:tab w:val="right" w:pos="8504"/>
      </w:tabs>
    </w:pPr>
  </w:style>
  <w:style w:type="character" w:customStyle="1" w:styleId="PiedepginaCar">
    <w:name w:val="Pie de página Car"/>
    <w:basedOn w:val="Fuentedeprrafopredeter"/>
    <w:link w:val="Piedepgina"/>
    <w:uiPriority w:val="99"/>
    <w:rsid w:val="00354518"/>
    <w:rPr>
      <w:rFonts w:ascii="Calibri" w:eastAsia="SimSun" w:hAnsi="Calibri" w:cs="Times New Roman"/>
      <w:sz w:val="20"/>
      <w:szCs w:val="20"/>
      <w:lang w:val="en-US" w:eastAsia="ja-JP"/>
    </w:rPr>
  </w:style>
  <w:style w:type="character" w:styleId="Nmerodelnea">
    <w:name w:val="line number"/>
    <w:basedOn w:val="Fuentedeprrafopredeter"/>
    <w:uiPriority w:val="99"/>
    <w:semiHidden/>
    <w:unhideWhenUsed/>
    <w:rsid w:val="00354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323</Words>
  <Characters>1779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Molina</dc:creator>
  <cp:keywords/>
  <dc:description/>
  <cp:lastModifiedBy>Andrés Molina</cp:lastModifiedBy>
  <cp:revision>3</cp:revision>
  <dcterms:created xsi:type="dcterms:W3CDTF">2022-09-09T16:06:00Z</dcterms:created>
  <dcterms:modified xsi:type="dcterms:W3CDTF">2022-09-09T16:07:00Z</dcterms:modified>
</cp:coreProperties>
</file>