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2E5" w:rsidRPr="00F1133E" w:rsidRDefault="007E62E5" w:rsidP="007E62E5">
      <w:pPr>
        <w:spacing w:line="480" w:lineRule="auto"/>
        <w:rPr>
          <w:rFonts w:ascii="Times New Roman" w:eastAsia="DengXian" w:hAnsi="Times New Roman" w:cs="Times New Roman"/>
          <w:b/>
          <w:bCs/>
          <w:color w:val="000000" w:themeColor="text1"/>
        </w:rPr>
      </w:pPr>
      <w:r w:rsidRPr="00F1133E">
        <w:rPr>
          <w:rFonts w:ascii="Times New Roman" w:eastAsia="DengXian" w:hAnsi="Times New Roman" w:cs="Times New Roman"/>
          <w:b/>
          <w:bCs/>
          <w:color w:val="000000" w:themeColor="text1"/>
        </w:rPr>
        <w:t>Supplementary materials</w:t>
      </w:r>
    </w:p>
    <w:p w:rsidR="007E62E5" w:rsidRDefault="007E62E5" w:rsidP="007E62E5">
      <w:pPr>
        <w:spacing w:after="0" w:line="240" w:lineRule="auto"/>
        <w:rPr>
          <w:rFonts w:ascii="Times New Roman" w:eastAsia="DengXian" w:hAnsi="Times New Roman" w:cs="Times New Roman"/>
          <w:color w:val="000000" w:themeColor="text1"/>
        </w:rPr>
      </w:pPr>
      <w:r w:rsidRPr="00F1133E">
        <w:rPr>
          <w:rFonts w:ascii="Times New Roman" w:eastAsia="DengXian" w:hAnsi="Times New Roman" w:cs="Times New Roman"/>
          <w:color w:val="000000" w:themeColor="text1"/>
        </w:rPr>
        <w:t xml:space="preserve">Supplementary Table 1. Regions of interest </w:t>
      </w:r>
      <w:r w:rsidRPr="00F1133E">
        <w:rPr>
          <w:rFonts w:ascii="Times New Roman" w:eastAsia="DengXian" w:hAnsi="Times New Roman" w:cs="Times New Roman"/>
          <w:color w:val="000000" w:themeColor="text1"/>
        </w:rPr>
        <w:fldChar w:fldCharType="begin"/>
      </w:r>
      <w:r w:rsidRPr="00F1133E">
        <w:rPr>
          <w:rFonts w:ascii="Times New Roman" w:eastAsia="DengXian" w:hAnsi="Times New Roman" w:cs="Times New Roman"/>
          <w:color w:val="000000" w:themeColor="text1"/>
        </w:rPr>
        <w:instrText xml:space="preserve"> ADDIN EN.CITE &lt;EndNote&gt;&lt;Cite ExcludeYear="1"&gt;&lt;Author&gt;Tzourio-Mazoyer&lt;/Author&gt;&lt;Year&gt;2002&lt;/Year&gt;&lt;RecNum&gt;162&lt;/RecNum&gt;&lt;DisplayText&gt;(Tzourio-Mazoyer et al.)&lt;/DisplayText&gt;&lt;record&gt;&lt;rec-number&gt;162&lt;/rec-number&gt;&lt;foreign-keys&gt;&lt;key app="EN" db-id="0x20tzas7a9s0vetw07xr95r5pwwedv9ft2f" timestamp="1662106043"&gt;162&lt;/key&gt;&lt;/foreign-keys&gt;&lt;ref-type name="Journal Article"&gt;17&lt;/ref-type&gt;&lt;contributors&gt;&lt;authors&gt;&lt;author&gt;Tzourio-Mazoyer, N.&lt;/author&gt;&lt;author&gt;Landeau, B.&lt;/author&gt;&lt;author&gt;Papathanassiou, D.&lt;/author&gt;&lt;author&gt;Crivello, F.&lt;/author&gt;&lt;author&gt;Etard, O.&lt;/author&gt;&lt;author&gt;Delcroix, N.&lt;/author&gt;&lt;author&gt;Mazoyer, B.&lt;/author&gt;&lt;author&gt;Joliot, M.&lt;/author&gt;&lt;/authors&gt;&lt;/contributors&gt;&lt;auth-address&gt;Groupe d&amp;apos;Imagerie Neurofonctionnelle, UMR 6095 CNRS CEA, Université de Caen, Université de Paris 5, France.&lt;/auth-address&gt;&lt;titles&gt;&lt;title&gt;Automated anatomical labeling of activations in SPM using a macroscopic anatomical parcellation of the MNI MRI single-subject brain&lt;/title&gt;&lt;secondary-title&gt;Neuroimage&lt;/secondary-title&gt;&lt;alt-title&gt;NeuroImage&lt;/alt-title&gt;&lt;/titles&gt;&lt;periodical&gt;&lt;full-title&gt;Neuroimage&lt;/full-title&gt;&lt;abbr-1&gt;NeuroImage&lt;/abbr-1&gt;&lt;/periodical&gt;&lt;alt-periodical&gt;&lt;full-title&gt;Neuroimage&lt;/full-title&gt;&lt;abbr-1&gt;NeuroImage&lt;/abbr-1&gt;&lt;/alt-periodical&gt;&lt;pages&gt;273-89&lt;/pages&gt;&lt;volume&gt;15&lt;/volume&gt;&lt;number&gt;1&lt;/number&gt;&lt;edition&gt;2002/01/05&lt;/edition&gt;&lt;keywords&gt;&lt;keyword&gt;Brain/*anatomy &amp;amp; histology&lt;/keyword&gt;&lt;keyword&gt;*Brain Mapping&lt;/keyword&gt;&lt;keyword&gt;Computer Graphics&lt;/keyword&gt;&lt;keyword&gt;Dominance, Cerebral/physiology&lt;/keyword&gt;&lt;keyword&gt;Humans&lt;/keyword&gt;&lt;keyword&gt;*Image Processing, Computer-Assisted&lt;/keyword&gt;&lt;keyword&gt;*Imaging, Three-Dimensional&lt;/keyword&gt;&lt;keyword&gt;*Magnetic Resonance Imaging&lt;/keyword&gt;&lt;keyword&gt;Reference Values&lt;/keyword&gt;&lt;/keywords&gt;&lt;dates&gt;&lt;year&gt;2002&lt;/year&gt;&lt;pub-dates&gt;&lt;date&gt;Jan&lt;/date&gt;&lt;/pub-dates&gt;&lt;/dates&gt;&lt;isbn&gt;1053-8119 (Print)&amp;#xD;1053-8119&lt;/isbn&gt;&lt;accession-num&gt;11771995&lt;/accession-num&gt;&lt;urls&gt;&lt;/urls&gt;&lt;electronic-resource-num&gt;10.1006/nimg.2001.0978&lt;/electronic-resource-num&gt;&lt;remote-database-provider&gt;NLM&lt;/remote-database-provider&gt;&lt;language&gt;eng&lt;/language&gt;&lt;/record&gt;&lt;/Cite&gt;&lt;/EndNote&gt;</w:instrText>
      </w:r>
      <w:r w:rsidRPr="00F1133E">
        <w:rPr>
          <w:rFonts w:ascii="Times New Roman" w:eastAsia="DengXian" w:hAnsi="Times New Roman" w:cs="Times New Roman"/>
          <w:color w:val="000000" w:themeColor="text1"/>
        </w:rPr>
        <w:fldChar w:fldCharType="separate"/>
      </w:r>
      <w:r w:rsidRPr="00F1133E">
        <w:rPr>
          <w:rFonts w:ascii="Times New Roman" w:eastAsia="DengXian" w:hAnsi="Times New Roman" w:cs="Times New Roman"/>
          <w:noProof/>
          <w:color w:val="000000" w:themeColor="text1"/>
        </w:rPr>
        <w:t>(</w:t>
      </w:r>
      <w:hyperlink w:anchor="_ENREF_39" w:tooltip="Tzourio-Mazoyer, 2002 #162" w:history="1">
        <w:r w:rsidRPr="00F1133E">
          <w:rPr>
            <w:rFonts w:ascii="Times New Roman" w:eastAsia="DengXian" w:hAnsi="Times New Roman" w:cs="Times New Roman"/>
            <w:noProof/>
            <w:color w:val="000000" w:themeColor="text1"/>
          </w:rPr>
          <w:t>Tzourio-Mazoyer et al.</w:t>
        </w:r>
      </w:hyperlink>
      <w:r w:rsidRPr="00F1133E">
        <w:rPr>
          <w:rFonts w:ascii="Times New Roman" w:eastAsia="DengXian" w:hAnsi="Times New Roman" w:cs="Times New Roman"/>
          <w:noProof/>
          <w:color w:val="000000" w:themeColor="text1"/>
        </w:rPr>
        <w:t>)</w:t>
      </w:r>
      <w:r w:rsidRPr="00F1133E">
        <w:rPr>
          <w:rFonts w:ascii="Times New Roman" w:eastAsia="DengXian" w:hAnsi="Times New Roman" w:cs="Times New Roman"/>
          <w:color w:val="000000" w:themeColor="text1"/>
        </w:rPr>
        <w:fldChar w:fldCharType="end"/>
      </w:r>
      <w:r w:rsidRPr="00F1133E">
        <w:rPr>
          <w:rFonts w:ascii="Times New Roman" w:eastAsia="DengXian" w:hAnsi="Times New Roman" w:cs="Times New Roman"/>
          <w:color w:val="000000" w:themeColor="text1"/>
        </w:rPr>
        <w:t xml:space="preserve"> included in the functional connectivity analysis </w:t>
      </w:r>
    </w:p>
    <w:tbl>
      <w:tblPr>
        <w:tblStyle w:val="TableGrid"/>
        <w:tblW w:w="9736" w:type="dxa"/>
        <w:tblLayout w:type="fixed"/>
        <w:tblLook w:val="04A0" w:firstRow="1" w:lastRow="0" w:firstColumn="1" w:lastColumn="0" w:noHBand="0" w:noVBand="1"/>
      </w:tblPr>
      <w:tblGrid>
        <w:gridCol w:w="4868"/>
        <w:gridCol w:w="4868"/>
      </w:tblGrid>
      <w:tr w:rsidR="007E62E5" w:rsidRPr="00F1133E" w:rsidTr="000219C9">
        <w:tc>
          <w:tcPr>
            <w:tcW w:w="4868" w:type="dxa"/>
          </w:tcPr>
          <w:p w:rsidR="007E62E5" w:rsidRPr="00F1133E" w:rsidRDefault="007E62E5" w:rsidP="000219C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1133E">
              <w:rPr>
                <w:rFonts w:ascii="Times New Roman" w:hAnsi="Times New Roman" w:cs="Times New Roman"/>
                <w:color w:val="000000" w:themeColor="text1"/>
              </w:rPr>
              <w:t>*IC (insular cortex)</w:t>
            </w:r>
          </w:p>
        </w:tc>
        <w:tc>
          <w:tcPr>
            <w:tcW w:w="4868" w:type="dxa"/>
          </w:tcPr>
          <w:p w:rsidR="007E62E5" w:rsidRPr="00F1133E" w:rsidRDefault="007E62E5" w:rsidP="000219C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1133E">
              <w:rPr>
                <w:rFonts w:ascii="Times New Roman" w:hAnsi="Times New Roman" w:cs="Times New Roman"/>
                <w:color w:val="000000" w:themeColor="text1"/>
              </w:rPr>
              <w:t>*SFG (superior frontal gyrus)</w:t>
            </w:r>
          </w:p>
        </w:tc>
      </w:tr>
      <w:tr w:rsidR="007E62E5" w:rsidRPr="00F1133E" w:rsidTr="000219C9">
        <w:tc>
          <w:tcPr>
            <w:tcW w:w="4868" w:type="dxa"/>
          </w:tcPr>
          <w:p w:rsidR="007E62E5" w:rsidRPr="00F1133E" w:rsidRDefault="007E62E5" w:rsidP="000219C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1133E">
              <w:rPr>
                <w:rFonts w:ascii="Times New Roman" w:hAnsi="Times New Roman" w:cs="Times New Roman"/>
                <w:color w:val="000000" w:themeColor="text1"/>
              </w:rPr>
              <w:t>*MidFG (middle frontal gyrus)</w:t>
            </w:r>
          </w:p>
        </w:tc>
        <w:tc>
          <w:tcPr>
            <w:tcW w:w="4868" w:type="dxa"/>
          </w:tcPr>
          <w:p w:rsidR="007E62E5" w:rsidRPr="00F1133E" w:rsidRDefault="007E62E5" w:rsidP="000219C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1133E">
              <w:rPr>
                <w:rFonts w:ascii="Times New Roman" w:hAnsi="Times New Roman" w:cs="Times New Roman"/>
                <w:color w:val="000000" w:themeColor="text1"/>
              </w:rPr>
              <w:t>*PreCG (precentral gyrus)</w:t>
            </w:r>
          </w:p>
        </w:tc>
      </w:tr>
      <w:tr w:rsidR="007E62E5" w:rsidRPr="00F1133E" w:rsidTr="000219C9">
        <w:tc>
          <w:tcPr>
            <w:tcW w:w="4868" w:type="dxa"/>
          </w:tcPr>
          <w:p w:rsidR="007E62E5" w:rsidRPr="00F1133E" w:rsidRDefault="007E62E5" w:rsidP="000219C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1133E">
              <w:rPr>
                <w:rFonts w:ascii="Times New Roman" w:hAnsi="Times New Roman" w:cs="Times New Roman"/>
                <w:color w:val="000000" w:themeColor="text1"/>
              </w:rPr>
              <w:t>*aSTG r (superior temporal gyrus, anterior division)</w:t>
            </w:r>
          </w:p>
        </w:tc>
        <w:tc>
          <w:tcPr>
            <w:tcW w:w="4868" w:type="dxa"/>
          </w:tcPr>
          <w:p w:rsidR="007E62E5" w:rsidRPr="00F1133E" w:rsidRDefault="007E62E5" w:rsidP="000219C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1133E">
              <w:rPr>
                <w:rFonts w:ascii="Times New Roman" w:hAnsi="Times New Roman" w:cs="Times New Roman"/>
                <w:color w:val="000000" w:themeColor="text1"/>
              </w:rPr>
              <w:t>*pSTG (posterior temporal gyrus, anterior division)</w:t>
            </w:r>
          </w:p>
        </w:tc>
      </w:tr>
      <w:tr w:rsidR="007E62E5" w:rsidRPr="00F1133E" w:rsidTr="000219C9">
        <w:tc>
          <w:tcPr>
            <w:tcW w:w="4868" w:type="dxa"/>
          </w:tcPr>
          <w:p w:rsidR="007E62E5" w:rsidRPr="00F1133E" w:rsidRDefault="007E62E5" w:rsidP="000219C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1133E">
              <w:rPr>
                <w:rFonts w:ascii="Times New Roman" w:hAnsi="Times New Roman" w:cs="Times New Roman"/>
                <w:color w:val="000000" w:themeColor="text1"/>
              </w:rPr>
              <w:t>*aMTG (middle temporal gyrus, anterior division)</w:t>
            </w:r>
          </w:p>
        </w:tc>
        <w:tc>
          <w:tcPr>
            <w:tcW w:w="4868" w:type="dxa"/>
          </w:tcPr>
          <w:p w:rsidR="007E62E5" w:rsidRPr="00F1133E" w:rsidRDefault="007E62E5" w:rsidP="000219C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1133E">
              <w:rPr>
                <w:rFonts w:ascii="Times New Roman" w:hAnsi="Times New Roman" w:cs="Times New Roman"/>
                <w:color w:val="000000" w:themeColor="text1"/>
              </w:rPr>
              <w:t>*pMTG (middle temporal gyrus, posterior division)</w:t>
            </w:r>
          </w:p>
        </w:tc>
      </w:tr>
      <w:tr w:rsidR="007E62E5" w:rsidRPr="00F1133E" w:rsidTr="000219C9">
        <w:tc>
          <w:tcPr>
            <w:tcW w:w="4868" w:type="dxa"/>
          </w:tcPr>
          <w:p w:rsidR="007E62E5" w:rsidRPr="00F1133E" w:rsidRDefault="007E62E5" w:rsidP="000219C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1133E">
              <w:rPr>
                <w:rFonts w:ascii="Times New Roman" w:hAnsi="Times New Roman" w:cs="Times New Roman"/>
                <w:color w:val="000000" w:themeColor="text1"/>
              </w:rPr>
              <w:t>*toMTG (middle temporal gyrus, temporooccipital part)</w:t>
            </w:r>
          </w:p>
        </w:tc>
        <w:tc>
          <w:tcPr>
            <w:tcW w:w="4868" w:type="dxa"/>
          </w:tcPr>
          <w:p w:rsidR="007E62E5" w:rsidRPr="00F1133E" w:rsidRDefault="007E62E5" w:rsidP="000219C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1133E">
              <w:rPr>
                <w:rFonts w:ascii="Times New Roman" w:hAnsi="Times New Roman" w:cs="Times New Roman"/>
                <w:color w:val="000000" w:themeColor="text1"/>
              </w:rPr>
              <w:t>*aITG (inferior temporal gyrus, anterior division)</w:t>
            </w:r>
          </w:p>
        </w:tc>
      </w:tr>
      <w:tr w:rsidR="007E62E5" w:rsidRPr="00F1133E" w:rsidTr="000219C9">
        <w:tc>
          <w:tcPr>
            <w:tcW w:w="4868" w:type="dxa"/>
          </w:tcPr>
          <w:p w:rsidR="007E62E5" w:rsidRPr="00F1133E" w:rsidRDefault="007E62E5" w:rsidP="000219C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1133E">
              <w:rPr>
                <w:rFonts w:ascii="Times New Roman" w:hAnsi="Times New Roman" w:cs="Times New Roman"/>
                <w:color w:val="000000" w:themeColor="text1"/>
              </w:rPr>
              <w:t>*pITG (inferior temporal gyrus, posterior division)</w:t>
            </w:r>
          </w:p>
        </w:tc>
        <w:tc>
          <w:tcPr>
            <w:tcW w:w="4868" w:type="dxa"/>
          </w:tcPr>
          <w:p w:rsidR="007E62E5" w:rsidRPr="00F1133E" w:rsidRDefault="007E62E5" w:rsidP="000219C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1133E">
              <w:rPr>
                <w:rFonts w:ascii="Times New Roman" w:hAnsi="Times New Roman" w:cs="Times New Roman"/>
                <w:color w:val="000000" w:themeColor="text1"/>
              </w:rPr>
              <w:t>*toITG (inferior temporal gyrus, temporooccipital part)</w:t>
            </w:r>
          </w:p>
        </w:tc>
      </w:tr>
      <w:tr w:rsidR="007E62E5" w:rsidRPr="00F1133E" w:rsidTr="000219C9">
        <w:tc>
          <w:tcPr>
            <w:tcW w:w="4868" w:type="dxa"/>
          </w:tcPr>
          <w:p w:rsidR="007E62E5" w:rsidRPr="00F1133E" w:rsidRDefault="007E62E5" w:rsidP="000219C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1133E">
              <w:rPr>
                <w:rFonts w:ascii="Times New Roman" w:hAnsi="Times New Roman" w:cs="Times New Roman"/>
                <w:color w:val="000000" w:themeColor="text1"/>
              </w:rPr>
              <w:t>*PostCG r (postcentral gyrus right)</w:t>
            </w:r>
          </w:p>
        </w:tc>
        <w:tc>
          <w:tcPr>
            <w:tcW w:w="4868" w:type="dxa"/>
          </w:tcPr>
          <w:p w:rsidR="007E62E5" w:rsidRPr="00F1133E" w:rsidRDefault="007E62E5" w:rsidP="000219C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1133E">
              <w:rPr>
                <w:rFonts w:ascii="Times New Roman" w:hAnsi="Times New Roman" w:cs="Times New Roman"/>
                <w:color w:val="000000" w:themeColor="text1"/>
              </w:rPr>
              <w:t>*aSMG (supramarginal gyrus, anterior division)</w:t>
            </w:r>
          </w:p>
        </w:tc>
      </w:tr>
      <w:tr w:rsidR="007E62E5" w:rsidRPr="00F1133E" w:rsidTr="000219C9">
        <w:tc>
          <w:tcPr>
            <w:tcW w:w="4868" w:type="dxa"/>
          </w:tcPr>
          <w:p w:rsidR="007E62E5" w:rsidRPr="00F1133E" w:rsidRDefault="007E62E5" w:rsidP="000219C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1133E">
              <w:rPr>
                <w:rFonts w:ascii="Times New Roman" w:hAnsi="Times New Roman" w:cs="Times New Roman"/>
                <w:color w:val="000000" w:themeColor="text1"/>
              </w:rPr>
              <w:t>*pSMG (supramarginal gyrus, posterior division)</w:t>
            </w:r>
          </w:p>
        </w:tc>
        <w:tc>
          <w:tcPr>
            <w:tcW w:w="4868" w:type="dxa"/>
          </w:tcPr>
          <w:p w:rsidR="007E62E5" w:rsidRPr="00F1133E" w:rsidRDefault="007E62E5" w:rsidP="000219C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1133E">
              <w:rPr>
                <w:rFonts w:ascii="Times New Roman" w:hAnsi="Times New Roman" w:cs="Times New Roman"/>
                <w:color w:val="000000" w:themeColor="text1"/>
              </w:rPr>
              <w:t>*AG (angular gyrus)</w:t>
            </w:r>
          </w:p>
        </w:tc>
      </w:tr>
      <w:tr w:rsidR="007E62E5" w:rsidRPr="00F1133E" w:rsidTr="000219C9">
        <w:tc>
          <w:tcPr>
            <w:tcW w:w="4868" w:type="dxa"/>
          </w:tcPr>
          <w:p w:rsidR="007E62E5" w:rsidRPr="00F1133E" w:rsidRDefault="007E62E5" w:rsidP="000219C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1133E">
              <w:rPr>
                <w:rFonts w:ascii="Times New Roman" w:hAnsi="Times New Roman" w:cs="Times New Roman"/>
                <w:color w:val="000000" w:themeColor="text1"/>
              </w:rPr>
              <w:t>*SMA (juxtapositional lobule cortex, formerly called supplementary motor area)</w:t>
            </w:r>
          </w:p>
        </w:tc>
        <w:tc>
          <w:tcPr>
            <w:tcW w:w="4868" w:type="dxa"/>
          </w:tcPr>
          <w:p w:rsidR="007E62E5" w:rsidRPr="00F1133E" w:rsidRDefault="007E62E5" w:rsidP="000219C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1133E">
              <w:rPr>
                <w:rFonts w:ascii="Times New Roman" w:hAnsi="Times New Roman" w:cs="Times New Roman"/>
                <w:color w:val="000000" w:themeColor="text1"/>
              </w:rPr>
              <w:t>SubCalC (subcallosal cortex)</w:t>
            </w:r>
          </w:p>
        </w:tc>
      </w:tr>
      <w:tr w:rsidR="007E62E5" w:rsidRPr="00F1133E" w:rsidTr="000219C9">
        <w:tc>
          <w:tcPr>
            <w:tcW w:w="4868" w:type="dxa"/>
          </w:tcPr>
          <w:p w:rsidR="007E62E5" w:rsidRPr="00F1133E" w:rsidRDefault="007E62E5" w:rsidP="000219C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1133E">
              <w:rPr>
                <w:rFonts w:ascii="Times New Roman" w:hAnsi="Times New Roman" w:cs="Times New Roman"/>
                <w:color w:val="000000" w:themeColor="text1"/>
              </w:rPr>
              <w:t>*PaCiG (paracingulate gyrus)</w:t>
            </w:r>
          </w:p>
        </w:tc>
        <w:tc>
          <w:tcPr>
            <w:tcW w:w="4868" w:type="dxa"/>
          </w:tcPr>
          <w:p w:rsidR="007E62E5" w:rsidRPr="00F1133E" w:rsidRDefault="007E62E5" w:rsidP="000219C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1133E">
              <w:rPr>
                <w:rFonts w:ascii="Times New Roman" w:hAnsi="Times New Roman" w:cs="Times New Roman"/>
                <w:color w:val="000000" w:themeColor="text1"/>
              </w:rPr>
              <w:t>PC (cingulate gyrus, posterior division)</w:t>
            </w:r>
          </w:p>
        </w:tc>
      </w:tr>
      <w:tr w:rsidR="007E62E5" w:rsidRPr="00F1133E" w:rsidTr="000219C9">
        <w:tc>
          <w:tcPr>
            <w:tcW w:w="4868" w:type="dxa"/>
          </w:tcPr>
          <w:p w:rsidR="007E62E5" w:rsidRPr="00F1133E" w:rsidRDefault="007E62E5" w:rsidP="000219C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1133E">
              <w:rPr>
                <w:rFonts w:ascii="Times New Roman" w:hAnsi="Times New Roman" w:cs="Times New Roman"/>
                <w:color w:val="000000" w:themeColor="text1"/>
              </w:rPr>
              <w:t>*aPaHC (parahippocampal gyrus, anterior division)</w:t>
            </w:r>
          </w:p>
        </w:tc>
        <w:tc>
          <w:tcPr>
            <w:tcW w:w="4868" w:type="dxa"/>
          </w:tcPr>
          <w:p w:rsidR="007E62E5" w:rsidRPr="00F1133E" w:rsidRDefault="007E62E5" w:rsidP="000219C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1133E">
              <w:rPr>
                <w:rFonts w:ascii="Times New Roman" w:hAnsi="Times New Roman" w:cs="Times New Roman"/>
                <w:color w:val="000000" w:themeColor="text1"/>
              </w:rPr>
              <w:t>*pPaHC (parahippocampal gyrus, posterior division)</w:t>
            </w:r>
          </w:p>
        </w:tc>
      </w:tr>
      <w:tr w:rsidR="007E62E5" w:rsidRPr="00F1133E" w:rsidTr="000219C9">
        <w:tc>
          <w:tcPr>
            <w:tcW w:w="4868" w:type="dxa"/>
          </w:tcPr>
          <w:p w:rsidR="007E62E5" w:rsidRPr="00F1133E" w:rsidRDefault="007E62E5" w:rsidP="000219C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1133E">
              <w:rPr>
                <w:rFonts w:ascii="Times New Roman" w:hAnsi="Times New Roman" w:cs="Times New Roman"/>
                <w:color w:val="000000" w:themeColor="text1"/>
              </w:rPr>
              <w:t>*aTFusC (temporal fusiform cortex, anterior division)</w:t>
            </w:r>
          </w:p>
        </w:tc>
        <w:tc>
          <w:tcPr>
            <w:tcW w:w="4868" w:type="dxa"/>
          </w:tcPr>
          <w:p w:rsidR="007E62E5" w:rsidRPr="00F1133E" w:rsidRDefault="007E62E5" w:rsidP="000219C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1133E">
              <w:rPr>
                <w:rFonts w:ascii="Times New Roman" w:hAnsi="Times New Roman" w:cs="Times New Roman"/>
                <w:color w:val="000000" w:themeColor="text1"/>
              </w:rPr>
              <w:t>*pTFusC (temporal fusiform cortex, posterior division)</w:t>
            </w:r>
          </w:p>
        </w:tc>
      </w:tr>
      <w:tr w:rsidR="007E62E5" w:rsidRPr="00F1133E" w:rsidTr="000219C9">
        <w:tc>
          <w:tcPr>
            <w:tcW w:w="4868" w:type="dxa"/>
          </w:tcPr>
          <w:p w:rsidR="007E62E5" w:rsidRPr="00F1133E" w:rsidRDefault="007E62E5" w:rsidP="000219C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1133E">
              <w:rPr>
                <w:rFonts w:ascii="Times New Roman" w:hAnsi="Times New Roman" w:cs="Times New Roman"/>
                <w:color w:val="000000" w:themeColor="text1"/>
              </w:rPr>
              <w:t>*FO (frontal operculum cortex)</w:t>
            </w:r>
          </w:p>
        </w:tc>
        <w:tc>
          <w:tcPr>
            <w:tcW w:w="4868" w:type="dxa"/>
          </w:tcPr>
          <w:p w:rsidR="007E62E5" w:rsidRPr="00F1133E" w:rsidRDefault="007E62E5" w:rsidP="000219C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1133E">
              <w:rPr>
                <w:rFonts w:ascii="Times New Roman" w:hAnsi="Times New Roman" w:cs="Times New Roman"/>
                <w:color w:val="000000" w:themeColor="text1"/>
              </w:rPr>
              <w:t>*CO (central opercular cortex)</w:t>
            </w:r>
          </w:p>
        </w:tc>
      </w:tr>
      <w:tr w:rsidR="007E62E5" w:rsidRPr="00F1133E" w:rsidTr="000219C9">
        <w:tc>
          <w:tcPr>
            <w:tcW w:w="4868" w:type="dxa"/>
          </w:tcPr>
          <w:p w:rsidR="007E62E5" w:rsidRPr="00F1133E" w:rsidRDefault="007E62E5" w:rsidP="000219C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1133E">
              <w:rPr>
                <w:rFonts w:ascii="Times New Roman" w:hAnsi="Times New Roman" w:cs="Times New Roman"/>
                <w:color w:val="000000" w:themeColor="text1"/>
              </w:rPr>
              <w:t>*PO (parietal operculum cortex)</w:t>
            </w:r>
          </w:p>
        </w:tc>
        <w:tc>
          <w:tcPr>
            <w:tcW w:w="4868" w:type="dxa"/>
          </w:tcPr>
          <w:p w:rsidR="007E62E5" w:rsidRPr="00F1133E" w:rsidRDefault="007E62E5" w:rsidP="000219C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1133E">
              <w:rPr>
                <w:rFonts w:ascii="Times New Roman" w:hAnsi="Times New Roman" w:cs="Times New Roman"/>
                <w:color w:val="000000" w:themeColor="text1"/>
              </w:rPr>
              <w:t>*PP (planum polare)</w:t>
            </w:r>
          </w:p>
        </w:tc>
      </w:tr>
      <w:tr w:rsidR="007E62E5" w:rsidRPr="00F1133E" w:rsidTr="000219C9">
        <w:tc>
          <w:tcPr>
            <w:tcW w:w="4868" w:type="dxa"/>
          </w:tcPr>
          <w:p w:rsidR="007E62E5" w:rsidRPr="00F1133E" w:rsidRDefault="007E62E5" w:rsidP="000219C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1133E">
              <w:rPr>
                <w:rFonts w:ascii="Times New Roman" w:hAnsi="Times New Roman" w:cs="Times New Roman"/>
                <w:color w:val="000000" w:themeColor="text1"/>
              </w:rPr>
              <w:lastRenderedPageBreak/>
              <w:t>*HG (Heschl’s gyrus)</w:t>
            </w:r>
          </w:p>
        </w:tc>
        <w:tc>
          <w:tcPr>
            <w:tcW w:w="4868" w:type="dxa"/>
          </w:tcPr>
          <w:p w:rsidR="007E62E5" w:rsidRPr="00F1133E" w:rsidRDefault="007E62E5" w:rsidP="000219C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1133E">
              <w:rPr>
                <w:rFonts w:ascii="Times New Roman" w:hAnsi="Times New Roman" w:cs="Times New Roman"/>
                <w:color w:val="000000" w:themeColor="text1"/>
              </w:rPr>
              <w:t>*PT (planum temporale)</w:t>
            </w:r>
          </w:p>
        </w:tc>
      </w:tr>
      <w:tr w:rsidR="007E62E5" w:rsidRPr="00F1133E" w:rsidTr="000219C9">
        <w:tc>
          <w:tcPr>
            <w:tcW w:w="4868" w:type="dxa"/>
          </w:tcPr>
          <w:p w:rsidR="007E62E5" w:rsidRPr="00F1133E" w:rsidRDefault="007E62E5" w:rsidP="000219C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1133E">
              <w:rPr>
                <w:rFonts w:ascii="Times New Roman" w:hAnsi="Times New Roman" w:cs="Times New Roman"/>
                <w:color w:val="000000" w:themeColor="text1"/>
              </w:rPr>
              <w:t>*Caudate</w:t>
            </w:r>
          </w:p>
          <w:p w:rsidR="007E62E5" w:rsidRPr="00F1133E" w:rsidRDefault="007E62E5" w:rsidP="000219C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1133E">
              <w:rPr>
                <w:rFonts w:ascii="Times New Roman" w:hAnsi="Times New Roman" w:cs="Times New Roman"/>
                <w:color w:val="000000" w:themeColor="text1"/>
              </w:rPr>
              <w:t>*Pallidum</w:t>
            </w:r>
          </w:p>
        </w:tc>
        <w:tc>
          <w:tcPr>
            <w:tcW w:w="4868" w:type="dxa"/>
          </w:tcPr>
          <w:p w:rsidR="007E62E5" w:rsidRPr="00F1133E" w:rsidRDefault="007E62E5" w:rsidP="000219C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1133E">
              <w:rPr>
                <w:rFonts w:ascii="Times New Roman" w:hAnsi="Times New Roman" w:cs="Times New Roman"/>
                <w:color w:val="000000" w:themeColor="text1"/>
              </w:rPr>
              <w:t>*Putamen</w:t>
            </w:r>
          </w:p>
          <w:p w:rsidR="007E62E5" w:rsidRPr="00F1133E" w:rsidRDefault="007E62E5" w:rsidP="000219C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1133E">
              <w:rPr>
                <w:rFonts w:ascii="Times New Roman" w:hAnsi="Times New Roman" w:cs="Times New Roman"/>
                <w:color w:val="000000" w:themeColor="text1"/>
              </w:rPr>
              <w:t>*Thalamus</w:t>
            </w:r>
          </w:p>
        </w:tc>
      </w:tr>
      <w:tr w:rsidR="007E62E5" w:rsidRPr="00F1133E" w:rsidTr="000219C9">
        <w:tc>
          <w:tcPr>
            <w:tcW w:w="4868" w:type="dxa"/>
          </w:tcPr>
          <w:p w:rsidR="007E62E5" w:rsidRPr="00F1133E" w:rsidRDefault="007E62E5" w:rsidP="000219C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1133E">
              <w:rPr>
                <w:rFonts w:ascii="Times New Roman" w:hAnsi="Times New Roman" w:cs="Times New Roman"/>
                <w:color w:val="000000" w:themeColor="text1"/>
              </w:rPr>
              <w:t>*Hippocampus</w:t>
            </w:r>
          </w:p>
        </w:tc>
        <w:tc>
          <w:tcPr>
            <w:tcW w:w="4868" w:type="dxa"/>
          </w:tcPr>
          <w:p w:rsidR="007E62E5" w:rsidRPr="00F1133E" w:rsidRDefault="007E62E5" w:rsidP="000219C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1133E">
              <w:rPr>
                <w:rFonts w:ascii="Times New Roman" w:hAnsi="Times New Roman" w:cs="Times New Roman"/>
                <w:color w:val="000000" w:themeColor="text1"/>
              </w:rPr>
              <w:t>*Accumbens</w:t>
            </w:r>
          </w:p>
        </w:tc>
      </w:tr>
      <w:tr w:rsidR="007E62E5" w:rsidRPr="00F1133E" w:rsidTr="000219C9">
        <w:tc>
          <w:tcPr>
            <w:tcW w:w="4868" w:type="dxa"/>
          </w:tcPr>
          <w:p w:rsidR="007E62E5" w:rsidRPr="00F1133E" w:rsidRDefault="007E62E5" w:rsidP="000219C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1133E">
              <w:rPr>
                <w:rFonts w:ascii="Times New Roman" w:hAnsi="Times New Roman" w:cs="Times New Roman"/>
                <w:color w:val="000000" w:themeColor="text1"/>
              </w:rPr>
              <w:t>*Amygdala</w:t>
            </w:r>
          </w:p>
        </w:tc>
        <w:tc>
          <w:tcPr>
            <w:tcW w:w="4868" w:type="dxa"/>
          </w:tcPr>
          <w:p w:rsidR="007E62E5" w:rsidRPr="00F1133E" w:rsidRDefault="007E62E5" w:rsidP="000219C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E62E5" w:rsidRPr="00F1133E" w:rsidTr="000219C9">
        <w:tc>
          <w:tcPr>
            <w:tcW w:w="4868" w:type="dxa"/>
          </w:tcPr>
          <w:p w:rsidR="007E62E5" w:rsidRPr="00F1133E" w:rsidRDefault="007E62E5" w:rsidP="000219C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1133E">
              <w:rPr>
                <w:rFonts w:ascii="Times New Roman" w:hAnsi="Times New Roman" w:cs="Times New Roman"/>
                <w:color w:val="000000" w:themeColor="text1"/>
              </w:rPr>
              <w:t>*Cereb1 (cerebellum Crus1)</w:t>
            </w:r>
          </w:p>
        </w:tc>
        <w:tc>
          <w:tcPr>
            <w:tcW w:w="4868" w:type="dxa"/>
          </w:tcPr>
          <w:p w:rsidR="007E62E5" w:rsidRPr="00F1133E" w:rsidRDefault="007E62E5" w:rsidP="000219C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1133E">
              <w:rPr>
                <w:rFonts w:ascii="Times New Roman" w:hAnsi="Times New Roman" w:cs="Times New Roman"/>
                <w:color w:val="000000" w:themeColor="text1"/>
              </w:rPr>
              <w:t>*Cereb2 (cerebellum Crus2)</w:t>
            </w:r>
          </w:p>
        </w:tc>
      </w:tr>
      <w:tr w:rsidR="007E62E5" w:rsidRPr="00F1133E" w:rsidTr="000219C9">
        <w:tc>
          <w:tcPr>
            <w:tcW w:w="4868" w:type="dxa"/>
          </w:tcPr>
          <w:p w:rsidR="007E62E5" w:rsidRPr="00F1133E" w:rsidRDefault="007E62E5" w:rsidP="000219C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1133E">
              <w:rPr>
                <w:rFonts w:ascii="Times New Roman" w:hAnsi="Times New Roman" w:cs="Times New Roman"/>
                <w:color w:val="000000" w:themeColor="text1"/>
              </w:rPr>
              <w:t>*Cereb3 (cerebellum 3)</w:t>
            </w:r>
          </w:p>
        </w:tc>
        <w:tc>
          <w:tcPr>
            <w:tcW w:w="4868" w:type="dxa"/>
          </w:tcPr>
          <w:p w:rsidR="007E62E5" w:rsidRPr="00F1133E" w:rsidRDefault="007E62E5" w:rsidP="000219C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1133E">
              <w:rPr>
                <w:rFonts w:ascii="Times New Roman" w:hAnsi="Times New Roman" w:cs="Times New Roman"/>
                <w:color w:val="000000" w:themeColor="text1"/>
              </w:rPr>
              <w:t>*Cereb4 (cerebellum 4)</w:t>
            </w:r>
          </w:p>
        </w:tc>
      </w:tr>
      <w:tr w:rsidR="007E62E5" w:rsidRPr="00F1133E" w:rsidTr="000219C9">
        <w:tc>
          <w:tcPr>
            <w:tcW w:w="4868" w:type="dxa"/>
          </w:tcPr>
          <w:p w:rsidR="007E62E5" w:rsidRPr="00F1133E" w:rsidRDefault="007E62E5" w:rsidP="000219C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1133E">
              <w:rPr>
                <w:rFonts w:ascii="Times New Roman" w:hAnsi="Times New Roman" w:cs="Times New Roman"/>
                <w:color w:val="000000" w:themeColor="text1"/>
              </w:rPr>
              <w:t>*Cereb4,5 (cerebellum 4,5)</w:t>
            </w:r>
          </w:p>
        </w:tc>
        <w:tc>
          <w:tcPr>
            <w:tcW w:w="4868" w:type="dxa"/>
          </w:tcPr>
          <w:p w:rsidR="007E62E5" w:rsidRPr="00F1133E" w:rsidRDefault="007E62E5" w:rsidP="000219C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1133E">
              <w:rPr>
                <w:rFonts w:ascii="Times New Roman" w:hAnsi="Times New Roman" w:cs="Times New Roman"/>
                <w:color w:val="000000" w:themeColor="text1"/>
              </w:rPr>
              <w:t>*Cereb6 (cerebellum 6)</w:t>
            </w:r>
          </w:p>
        </w:tc>
      </w:tr>
      <w:tr w:rsidR="007E62E5" w:rsidRPr="00F1133E" w:rsidTr="000219C9">
        <w:tc>
          <w:tcPr>
            <w:tcW w:w="4868" w:type="dxa"/>
          </w:tcPr>
          <w:p w:rsidR="007E62E5" w:rsidRPr="00F1133E" w:rsidRDefault="007E62E5" w:rsidP="000219C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1133E">
              <w:rPr>
                <w:rFonts w:ascii="Times New Roman" w:hAnsi="Times New Roman" w:cs="Times New Roman"/>
                <w:color w:val="000000" w:themeColor="text1"/>
              </w:rPr>
              <w:t>*Cereb7 (cerebellum 7)</w:t>
            </w:r>
          </w:p>
        </w:tc>
        <w:tc>
          <w:tcPr>
            <w:tcW w:w="4868" w:type="dxa"/>
          </w:tcPr>
          <w:p w:rsidR="007E62E5" w:rsidRPr="00F1133E" w:rsidRDefault="007E62E5" w:rsidP="000219C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1133E">
              <w:rPr>
                <w:rFonts w:ascii="Times New Roman" w:hAnsi="Times New Roman" w:cs="Times New Roman"/>
                <w:color w:val="000000" w:themeColor="text1"/>
              </w:rPr>
              <w:t>*Cereb8 (cerebellum 8)</w:t>
            </w:r>
          </w:p>
        </w:tc>
      </w:tr>
      <w:tr w:rsidR="007E62E5" w:rsidRPr="00F1133E" w:rsidTr="000219C9">
        <w:tc>
          <w:tcPr>
            <w:tcW w:w="4868" w:type="dxa"/>
          </w:tcPr>
          <w:p w:rsidR="007E62E5" w:rsidRPr="00F1133E" w:rsidRDefault="007E62E5" w:rsidP="000219C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1133E">
              <w:rPr>
                <w:rFonts w:ascii="Times New Roman" w:hAnsi="Times New Roman" w:cs="Times New Roman"/>
                <w:color w:val="000000" w:themeColor="text1"/>
              </w:rPr>
              <w:t>*Cereb9 (cerebellum 9)</w:t>
            </w:r>
          </w:p>
        </w:tc>
        <w:tc>
          <w:tcPr>
            <w:tcW w:w="4868" w:type="dxa"/>
          </w:tcPr>
          <w:p w:rsidR="007E62E5" w:rsidRPr="00F1133E" w:rsidRDefault="007E62E5" w:rsidP="000219C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1133E">
              <w:rPr>
                <w:rFonts w:ascii="Times New Roman" w:hAnsi="Times New Roman" w:cs="Times New Roman"/>
                <w:color w:val="000000" w:themeColor="text1"/>
              </w:rPr>
              <w:t>*Cereb10 (cerebellum 10)</w:t>
            </w:r>
          </w:p>
        </w:tc>
      </w:tr>
      <w:tr w:rsidR="007E62E5" w:rsidRPr="00F1133E" w:rsidTr="000219C9">
        <w:tc>
          <w:tcPr>
            <w:tcW w:w="4868" w:type="dxa"/>
          </w:tcPr>
          <w:p w:rsidR="007E62E5" w:rsidRPr="00F1133E" w:rsidRDefault="007E62E5" w:rsidP="000219C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1133E">
              <w:rPr>
                <w:rFonts w:ascii="Times New Roman" w:hAnsi="Times New Roman" w:cs="Times New Roman"/>
                <w:color w:val="000000" w:themeColor="text1"/>
              </w:rPr>
              <w:t>Ver1,2 (vermis 1,2)</w:t>
            </w:r>
          </w:p>
        </w:tc>
        <w:tc>
          <w:tcPr>
            <w:tcW w:w="4868" w:type="dxa"/>
          </w:tcPr>
          <w:p w:rsidR="007E62E5" w:rsidRPr="00F1133E" w:rsidRDefault="007E62E5" w:rsidP="000219C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1133E">
              <w:rPr>
                <w:rFonts w:ascii="Times New Roman" w:hAnsi="Times New Roman" w:cs="Times New Roman"/>
                <w:color w:val="000000" w:themeColor="text1"/>
              </w:rPr>
              <w:t>Ver3 (vermis 3)</w:t>
            </w:r>
          </w:p>
        </w:tc>
      </w:tr>
      <w:tr w:rsidR="007E62E5" w:rsidRPr="00F1133E" w:rsidTr="000219C9">
        <w:tc>
          <w:tcPr>
            <w:tcW w:w="4868" w:type="dxa"/>
          </w:tcPr>
          <w:p w:rsidR="007E62E5" w:rsidRPr="00F1133E" w:rsidRDefault="007E62E5" w:rsidP="000219C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1133E">
              <w:rPr>
                <w:rFonts w:ascii="Times New Roman" w:hAnsi="Times New Roman" w:cs="Times New Roman"/>
                <w:color w:val="000000" w:themeColor="text1"/>
              </w:rPr>
              <w:t>Ver4,5 (vermis 4,5)</w:t>
            </w:r>
          </w:p>
        </w:tc>
        <w:tc>
          <w:tcPr>
            <w:tcW w:w="4868" w:type="dxa"/>
          </w:tcPr>
          <w:p w:rsidR="007E62E5" w:rsidRPr="00F1133E" w:rsidRDefault="007E62E5" w:rsidP="000219C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1133E">
              <w:rPr>
                <w:rFonts w:ascii="Times New Roman" w:hAnsi="Times New Roman" w:cs="Times New Roman"/>
                <w:color w:val="000000" w:themeColor="text1"/>
              </w:rPr>
              <w:t>Ver6 (vermis 6)</w:t>
            </w:r>
          </w:p>
        </w:tc>
      </w:tr>
      <w:tr w:rsidR="007E62E5" w:rsidRPr="00F1133E" w:rsidTr="000219C9">
        <w:tc>
          <w:tcPr>
            <w:tcW w:w="4868" w:type="dxa"/>
          </w:tcPr>
          <w:p w:rsidR="007E62E5" w:rsidRPr="00F1133E" w:rsidRDefault="007E62E5" w:rsidP="000219C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1133E">
              <w:rPr>
                <w:rFonts w:ascii="Times New Roman" w:hAnsi="Times New Roman" w:cs="Times New Roman"/>
                <w:color w:val="000000" w:themeColor="text1"/>
              </w:rPr>
              <w:t>Ver7 (vermis 7)</w:t>
            </w:r>
          </w:p>
        </w:tc>
        <w:tc>
          <w:tcPr>
            <w:tcW w:w="4868" w:type="dxa"/>
          </w:tcPr>
          <w:p w:rsidR="007E62E5" w:rsidRPr="00F1133E" w:rsidRDefault="007E62E5" w:rsidP="000219C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1133E">
              <w:rPr>
                <w:rFonts w:ascii="Times New Roman" w:hAnsi="Times New Roman" w:cs="Times New Roman"/>
                <w:color w:val="000000" w:themeColor="text1"/>
              </w:rPr>
              <w:t>Ver8 (vermis 8)</w:t>
            </w:r>
          </w:p>
        </w:tc>
      </w:tr>
      <w:tr w:rsidR="007E62E5" w:rsidRPr="00F1133E" w:rsidTr="000219C9">
        <w:tc>
          <w:tcPr>
            <w:tcW w:w="4868" w:type="dxa"/>
          </w:tcPr>
          <w:p w:rsidR="007E62E5" w:rsidRPr="00F1133E" w:rsidRDefault="007E62E5" w:rsidP="000219C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1133E">
              <w:rPr>
                <w:rFonts w:ascii="Times New Roman" w:hAnsi="Times New Roman" w:cs="Times New Roman"/>
                <w:color w:val="000000" w:themeColor="text1"/>
              </w:rPr>
              <w:t>Ver9 (vermis 9)</w:t>
            </w:r>
          </w:p>
        </w:tc>
        <w:tc>
          <w:tcPr>
            <w:tcW w:w="4868" w:type="dxa"/>
          </w:tcPr>
          <w:p w:rsidR="007E62E5" w:rsidRPr="00F1133E" w:rsidRDefault="007E62E5" w:rsidP="000219C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1133E">
              <w:rPr>
                <w:rFonts w:ascii="Times New Roman" w:hAnsi="Times New Roman" w:cs="Times New Roman"/>
                <w:color w:val="000000" w:themeColor="text1"/>
              </w:rPr>
              <w:t>Ver10 (vermis 10)</w:t>
            </w:r>
          </w:p>
        </w:tc>
      </w:tr>
    </w:tbl>
    <w:p w:rsidR="007E62E5" w:rsidRDefault="007E62E5" w:rsidP="007E62E5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F1133E">
        <w:rPr>
          <w:rFonts w:ascii="Times New Roman" w:eastAsia="DengXian" w:hAnsi="Times New Roman" w:cs="Times New Roman"/>
          <w:i/>
          <w:iCs/>
          <w:color w:val="000000" w:themeColor="text1"/>
        </w:rPr>
        <w:t xml:space="preserve">Note: </w:t>
      </w:r>
      <w:r w:rsidRPr="00F1133E">
        <w:rPr>
          <w:rFonts w:ascii="Times New Roman" w:eastAsia="DengXian" w:hAnsi="Times New Roman" w:cs="Times New Roman"/>
          <w:color w:val="000000" w:themeColor="text1"/>
        </w:rPr>
        <w:t>ROIs labeled with “*” represent bilateral seeds.</w:t>
      </w:r>
    </w:p>
    <w:p w:rsidR="007E62E5" w:rsidRDefault="007E62E5" w:rsidP="007E62E5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br w:type="page"/>
      </w:r>
    </w:p>
    <w:tbl>
      <w:tblPr>
        <w:tblW w:w="7472" w:type="dxa"/>
        <w:jc w:val="center"/>
        <w:tblLayout w:type="fixed"/>
        <w:tblLook w:val="04A0" w:firstRow="1" w:lastRow="0" w:firstColumn="1" w:lastColumn="0" w:noHBand="0" w:noVBand="1"/>
      </w:tblPr>
      <w:tblGrid>
        <w:gridCol w:w="1985"/>
        <w:gridCol w:w="2645"/>
        <w:gridCol w:w="190"/>
        <w:gridCol w:w="763"/>
        <w:gridCol w:w="872"/>
        <w:gridCol w:w="1017"/>
      </w:tblGrid>
      <w:tr w:rsidR="007E62E5" w:rsidRPr="00F1133E" w:rsidTr="000219C9">
        <w:trPr>
          <w:trHeight w:val="520"/>
          <w:jc w:val="center"/>
        </w:trPr>
        <w:tc>
          <w:tcPr>
            <w:tcW w:w="747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lastRenderedPageBreak/>
              <w:t>Supplementary Table 2. Changes in functional connectivity after 36h-TSD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4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Connection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i/>
                <w:iCs/>
                <w:color w:val="000000" w:themeColor="text1"/>
              </w:rPr>
              <w:t>T</w:t>
            </w: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 (34)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i/>
                <w:iCs/>
                <w:color w:val="000000" w:themeColor="text1"/>
              </w:rPr>
              <w:t>p</w:t>
            </w: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-unc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  <w:vertAlign w:val="superscript"/>
              </w:rPr>
            </w:pPr>
            <w:r w:rsidRPr="00F1133E">
              <w:rPr>
                <w:rFonts w:ascii="Times New Roman" w:eastAsia="DengXian" w:hAnsi="Times New Roman" w:cs="Times New Roman"/>
                <w:i/>
                <w:iCs/>
                <w:color w:val="000000" w:themeColor="text1"/>
              </w:rPr>
              <w:t>p</w:t>
            </w: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-FDR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Cereb1 r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Cereb6 l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3.66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0.001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0.009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Cereb1 r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aMTG r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–3.47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0.001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0.034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Cereb1 l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IC r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3.07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0.004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0.047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Cereb1 l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Cereb6 l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3.15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0.003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0.024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Cereb2 l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SFG r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5.55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0.000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0.000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Cereb2 l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MidFG r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2.96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0.006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0.041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Cereb2 l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PaCiG r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3.04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0.004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0.023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Cereb2 r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SFG l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3.92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0.000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0.020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Cereb2 r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PC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3.64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0.001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0.006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Cereb45 r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aMTG l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3.10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0.004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0.035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Cereb45 l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aMTG l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2.97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0.005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0.040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Cereb45 l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PC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3.65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0.001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0.006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Cereb6 r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SMA l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2.93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0.006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0.042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Cereb6 r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Putamen r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3.65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0.001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0.029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Cereb6 l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Putamen r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4.30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0.000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0.007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Cereb6 l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Putamen l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3.67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0.001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0.040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lastRenderedPageBreak/>
              <w:t>Cereb6 l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pSTG r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3.85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0.001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0.049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Cereb6 l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SMA l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5.47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0.000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0.000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Cereb6 l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SMA r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4.68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0.000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0.004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Cereb6 l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HG l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4.84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0.000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0.003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Cereb6 l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PT r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3.66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0.001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0.017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Cereb6 l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PT l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3.96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0.000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0.036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Cereb6 l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CO r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3.59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0.001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0.033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Cereb6 l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PO r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3.11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0.004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0.037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Cereb6 l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IC r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3.06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0.004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0.047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Cereb7 r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MidFG l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4.62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0.000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0.005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Cereb7 r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PaCiG l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3.16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0.003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0.046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Cereb7 l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SFG r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3.03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0.005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0.046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Cereb7 l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PaCiG r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3.40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0.002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0.014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Cereb7 l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PC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3.05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0.004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0.023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Cereb7 l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MidFG r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5.45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0.000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0.000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Cereb7 l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AG r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4.19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0.000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0.008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Cereb8 r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MidFG r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2.94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0.006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0.041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Cereb8 l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MidFG r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4.33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0.000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0.003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Cereb9 r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MidFG r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3.47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0.001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0.027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lastRenderedPageBreak/>
              <w:t>Cereb9 l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MidFG r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4.97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0.000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0.001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Ver3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PostCG r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3.64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0.001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0.029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Ver45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PreCG l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3.71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0.001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0.036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Ver45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aMTG r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3.20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0.003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0.042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AG r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Accumbens l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–3.15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0.003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0.042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IC r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Pallidum l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3.83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0.001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0.023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IC r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Pallidum r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3.28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0.002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0.033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PO l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Thalamus l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4.78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0.000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0.003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CO l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Thalamus l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4.28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0.000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0.007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PO r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Thalamus l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4.50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0.000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0.007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PO r 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Thalamus r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3.41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0.002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0.024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Putamen r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PC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–4.35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0.000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0.007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Putamen l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PC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–3.74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0.001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0.040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SFG r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pMTG r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4.12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0.000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0.006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SFG r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aMTG l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3.22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0.003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0.035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AG r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PaCiG r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4.08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0.000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0.008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AG r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SFG r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5.41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0.000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0.000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aMTG l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PC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6.62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0.000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0.000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aMTG r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PC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5.70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0.000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0.000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lastRenderedPageBreak/>
              <w:t>pMTG l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PC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5.02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0.000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0.002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pMTG r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PC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4.71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0.000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0.004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pMTG r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PaCiG r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4.03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0.000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0.006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aMTG l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PaCiG r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4.07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0.000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0.006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aMTG l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PaCiG l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3.55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0.001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0.022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aMTG l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SubCalC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3.01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0.005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0.040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aMTG r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PaCiG r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3.22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0.003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0.042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PostCG r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PostCG l 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5.41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0.000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0.000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PostCG r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PreCG l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3.85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0.001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0.025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SMA l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PaCiG r 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–5.75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0.000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0.000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SMA l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PaCiG l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–5.38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0.000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0.000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SMA r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PaCiG r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–4.43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0.000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0.004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SMA l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PC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–2.82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0.008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0.049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aSMG r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aMTG l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–4.83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0.000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0.002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aSMG r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aMTG r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–4.77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0.000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0.002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aSMG r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pMTG r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–4.13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0.000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0.007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aSMG r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pMTG l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–3.82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0.001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0.011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aSMG l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aMTG l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–4.10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0.000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0.020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aSMG l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aMTG r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–3.93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0.000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0.020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lastRenderedPageBreak/>
              <w:t>PO r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pITG r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–3.58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0.001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0.024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IC r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pITG r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–3.50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0.001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0.032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PO r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pITG l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–3.11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0.004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0.037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CO l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toITG r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3.31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0.002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0.044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aSMG r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pITG r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–3.29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0.002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0.026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aSMG r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pITG l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–3.08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0.004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0.033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toMTG r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toITG l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–5.68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0.000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0.000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SMA l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SFG l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–4.74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0.000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0.001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SMA l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SFG r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–3.19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0.003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0.033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pMTG r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toITG r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–3.90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0.000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0.007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pMTG r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toITG l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–3.60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0.001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0.014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aMTG l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toITG l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–3.11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0.004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0.035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aMTG l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pSMG r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–3.36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0.002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0.031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aSMG r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PC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–3.81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0.001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0.011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aSMG r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PaCiG r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–3.35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0.002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0.024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aSMG r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AG r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–3.60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0.001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0.016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aSMG r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MidFG r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–3.10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0.004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0.033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aSMG r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SFG r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–3.11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0.004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0.033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MidFG l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aITG r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–3.93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0.000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0.019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lastRenderedPageBreak/>
              <w:t>SFG r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aITG l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3.13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0.004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0.041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SMA r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pPaHC r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–4.38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0.000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0.004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SMA l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aPaHC l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–4.03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0.000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0.005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SMA l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aPaHC r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–2.93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0.006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0.042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FO l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aPaHC l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–3.66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0.001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0.048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FO l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pPaHC r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–3.61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0.001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0.048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aSTG l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aSTG r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–4.24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0.000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0.016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aSTG r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pMTG r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–4.05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0.000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0.014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pSMG r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PC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–3.98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0.000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0.034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toITG l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aITG r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–4.79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0.000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0.002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toITG r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aITG r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–3.96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0.000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0.021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toITG l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aITG l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–3.44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0.002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0.038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CO r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MidFG r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–4.44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0.000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0.009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PO r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MidFG r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–3.4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0.002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0.024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IC r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MidFG r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–3.31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0.002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0.033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CO r</w:t>
            </w:r>
          </w:p>
        </w:tc>
        <w:tc>
          <w:tcPr>
            <w:tcW w:w="264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AG r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–3.40</w:t>
            </w:r>
          </w:p>
        </w:tc>
        <w:tc>
          <w:tcPr>
            <w:tcW w:w="87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0.002 </w:t>
            </w:r>
          </w:p>
        </w:tc>
        <w:tc>
          <w:tcPr>
            <w:tcW w:w="101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0.043 </w:t>
            </w:r>
          </w:p>
        </w:tc>
      </w:tr>
      <w:tr w:rsidR="007E62E5" w:rsidRPr="00F1133E" w:rsidTr="000219C9">
        <w:trPr>
          <w:trHeight w:val="320"/>
          <w:jc w:val="center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aITG r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PC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>3.64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0.001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62E5" w:rsidRPr="00F1133E" w:rsidRDefault="007E62E5" w:rsidP="000219C9">
            <w:pPr>
              <w:spacing w:line="480" w:lineRule="auto"/>
              <w:jc w:val="right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F1133E">
              <w:rPr>
                <w:rFonts w:ascii="Times New Roman" w:eastAsia="DengXian" w:hAnsi="Times New Roman" w:cs="Times New Roman"/>
                <w:color w:val="000000" w:themeColor="text1"/>
              </w:rPr>
              <w:t xml:space="preserve">0.017 </w:t>
            </w:r>
          </w:p>
        </w:tc>
      </w:tr>
    </w:tbl>
    <w:p w:rsidR="007E62E5" w:rsidRPr="00F1133E" w:rsidRDefault="007E62E5" w:rsidP="007E62E5">
      <w:pPr>
        <w:spacing w:line="480" w:lineRule="auto"/>
        <w:ind w:firstLineChars="500" w:firstLine="1200"/>
        <w:rPr>
          <w:rFonts w:ascii="Times New Roman" w:hAnsi="Times New Roman" w:cs="Times New Roman"/>
          <w:b/>
          <w:bCs/>
          <w:color w:val="000000" w:themeColor="text1"/>
        </w:rPr>
      </w:pPr>
      <w:r w:rsidRPr="00F1133E">
        <w:rPr>
          <w:rFonts w:ascii="Times New Roman" w:eastAsia="DengXian" w:hAnsi="Times New Roman" w:cs="Times New Roman"/>
          <w:color w:val="000000" w:themeColor="text1"/>
        </w:rPr>
        <w:t>FDR, false discovery rate.</w:t>
      </w:r>
    </w:p>
    <w:p w:rsidR="007E62E5" w:rsidRDefault="007E62E5" w:rsidP="007E62E5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7E62E5" w:rsidRDefault="007E62E5" w:rsidP="007E62E5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lastRenderedPageBreak/>
        <w:t>Cover figure</w:t>
      </w:r>
      <w:r>
        <w:rPr>
          <w:rFonts w:ascii="Times New Roman" w:hAnsi="Times New Roman" w:cs="Times New Roman"/>
          <w:b/>
          <w:bCs/>
          <w:noProof/>
          <w:color w:val="000000" w:themeColor="text1"/>
          <w:lang w:eastAsia="en-US"/>
        </w:rPr>
        <w:drawing>
          <wp:inline distT="0" distB="0" distL="0" distR="0" wp14:anchorId="6C842492" wp14:editId="247BEF19">
            <wp:extent cx="6188710" cy="4378325"/>
            <wp:effectExtent l="0" t="0" r="0" b="317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echatIMG584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437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62E5" w:rsidRDefault="007E62E5" w:rsidP="007E62E5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br w:type="page"/>
      </w:r>
    </w:p>
    <w:p w:rsidR="007E62E5" w:rsidRDefault="007E62E5" w:rsidP="007E62E5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lastRenderedPageBreak/>
        <w:t>Workflow</w:t>
      </w:r>
    </w:p>
    <w:p w:rsidR="007E62E5" w:rsidRPr="00B7414F" w:rsidRDefault="007E62E5" w:rsidP="007E62E5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lang w:eastAsia="en-US"/>
        </w:rPr>
        <w:drawing>
          <wp:inline distT="0" distB="0" distL="0" distR="0" wp14:anchorId="419067E0" wp14:editId="5BEDD563">
            <wp:extent cx="6188710" cy="437451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orkflow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437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2BD7" w:rsidRDefault="00342BD7">
      <w:bookmarkStart w:id="0" w:name="_GoBack"/>
      <w:bookmarkEnd w:id="0"/>
    </w:p>
    <w:sectPr w:rsidR="00342BD7">
      <w:headerReference w:type="default" r:id="rId6"/>
      <w:footerReference w:type="even" r:id="rId7"/>
      <w:footerReference w:type="default" r:id="rId8"/>
      <w:pgSz w:w="11906" w:h="16838"/>
      <w:pgMar w:top="1440" w:right="1080" w:bottom="1440" w:left="1080" w:header="851" w:footer="992" w:gutter="0"/>
      <w:lnNumType w:countBy="1" w:restart="continuous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LineNumber"/>
      </w:rPr>
      <w:id w:val="-249585336"/>
    </w:sdtPr>
    <w:sdtEndPr>
      <w:rPr>
        <w:rStyle w:val="LineNumber"/>
      </w:rPr>
    </w:sdtEndPr>
    <w:sdtContent>
      <w:p w:rsidR="00AF0614" w:rsidRDefault="007E62E5">
        <w:pPr>
          <w:framePr w:wrap="around" w:vAnchor="text" w:hAnchor="margin" w:xAlign="center" w:y="1"/>
          <w:rPr>
            <w:rStyle w:val="LineNumber"/>
          </w:rPr>
        </w:pPr>
        <w:r>
          <w:rPr>
            <w:rStyle w:val="LineNumber"/>
          </w:rPr>
          <w:fldChar w:fldCharType="begin"/>
        </w:r>
        <w:r>
          <w:rPr>
            <w:rStyle w:val="LineNumber"/>
          </w:rPr>
          <w:instrText xml:space="preserve"> PAGE </w:instrText>
        </w:r>
        <w:r>
          <w:rPr>
            <w:rStyle w:val="LineNumber"/>
          </w:rPr>
          <w:fldChar w:fldCharType="end"/>
        </w:r>
      </w:p>
    </w:sdtContent>
  </w:sdt>
  <w:p w:rsidR="00AF0614" w:rsidRDefault="007E62E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LineNumber"/>
      </w:rPr>
      <w:id w:val="-117300987"/>
    </w:sdtPr>
    <w:sdtEndPr>
      <w:rPr>
        <w:rStyle w:val="LineNumber"/>
      </w:rPr>
    </w:sdtEndPr>
    <w:sdtContent>
      <w:p w:rsidR="00AF0614" w:rsidRDefault="007E62E5">
        <w:pPr>
          <w:framePr w:wrap="around" w:vAnchor="text" w:hAnchor="margin" w:xAlign="center" w:y="1"/>
          <w:rPr>
            <w:rStyle w:val="LineNumber"/>
          </w:rPr>
        </w:pPr>
        <w:r>
          <w:rPr>
            <w:rStyle w:val="LineNumber"/>
          </w:rPr>
          <w:fldChar w:fldCharType="begin"/>
        </w:r>
        <w:r>
          <w:rPr>
            <w:rStyle w:val="LineNumber"/>
          </w:rPr>
          <w:instrText xml:space="preserve"> PAGE </w:instrText>
        </w:r>
        <w:r>
          <w:rPr>
            <w:rStyle w:val="LineNumber"/>
          </w:rPr>
          <w:fldChar w:fldCharType="separate"/>
        </w:r>
        <w:r>
          <w:rPr>
            <w:rStyle w:val="LineNumber"/>
            <w:noProof/>
          </w:rPr>
          <w:t>10</w:t>
        </w:r>
        <w:r>
          <w:rPr>
            <w:rStyle w:val="LineNumber"/>
          </w:rPr>
          <w:fldChar w:fldCharType="end"/>
        </w:r>
      </w:p>
    </w:sdtContent>
  </w:sdt>
  <w:p w:rsidR="00AF0614" w:rsidRDefault="007E62E5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15AE" w:rsidRPr="00567FE4" w:rsidRDefault="007E62E5" w:rsidP="00567FE4">
    <w:pPr>
      <w:pStyle w:val="Header"/>
      <w:rPr>
        <w:rFonts w:ascii="Times New Roman" w:hAnsi="Times New Roman" w:cs="Times New Roman"/>
      </w:rPr>
    </w:pPr>
    <w:r w:rsidRPr="00567FE4">
      <w:rPr>
        <w:rFonts w:ascii="Times New Roman" w:hAnsi="Times New Roman" w:cs="Times New Roman"/>
      </w:rPr>
      <w:t>Cerebellar Contribution in Emotional Faces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2E5"/>
    <w:rsid w:val="00342BD7"/>
    <w:rsid w:val="007E6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D6C09E-0EC2-444D-AD8D-F6EC81BCE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62E5"/>
    <w:rPr>
      <w:rFonts w:ascii="SimSun" w:eastAsia="SimSun" w:hAnsi="SimSun" w:cs="SimSu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unhideWhenUsed/>
    <w:qFormat/>
    <w:rsid w:val="007E62E5"/>
  </w:style>
  <w:style w:type="table" w:styleId="TableGrid">
    <w:name w:val="Table Grid"/>
    <w:basedOn w:val="TableNormal"/>
    <w:uiPriority w:val="39"/>
    <w:qFormat/>
    <w:rsid w:val="007E62E5"/>
    <w:pPr>
      <w:spacing w:after="0" w:line="240" w:lineRule="auto"/>
    </w:pPr>
    <w:rPr>
      <w:rFonts w:eastAsiaTheme="minorEastAsia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62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E62E5"/>
    <w:rPr>
      <w:rFonts w:ascii="SimSun" w:eastAsia="SimSun" w:hAnsi="SimSun" w:cs="SimSun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1188</Words>
  <Characters>6776</Characters>
  <Application>Microsoft Office Word</Application>
  <DocSecurity>0</DocSecurity>
  <Lines>56</Lines>
  <Paragraphs>15</Paragraphs>
  <ScaleCrop>false</ScaleCrop>
  <Company>Springer Nature IT</Company>
  <LinksUpToDate>false</LinksUpToDate>
  <CharactersWithSpaces>7949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2022-09-13T08:57:00Z</dcterms:created>
  <dcterms:modified xsi:type="dcterms:W3CDTF">2022-09-13T08:57:00Z</dcterms:modified>
</cp:coreProperties>
</file>