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 w:eastAsiaTheme="minorEastAsia"/>
          <w:bCs w:val="0"/>
          <w:kern w:val="2"/>
          <w:sz w:val="28"/>
          <w:szCs w:val="28"/>
          <w:lang w:eastAsia="zh-CN"/>
        </w:rPr>
        <w:t>Triclosan Loaded pH-sensitive Vehicles Spray Facilitate Infected Wound Healing by Eliminating Methicillin Resistant Staphylococcus Aureus in Biofilm</w:t>
      </w:r>
      <w:r>
        <w:rPr>
          <w:rFonts w:ascii="Times New Roman" w:hAnsi="Times New Roman" w:cs="Times New Roman"/>
          <w:sz w:val="24"/>
          <w:szCs w:val="24"/>
          <w:lang w:eastAsia="zh-CN"/>
        </w:rPr>
        <w:t>Authors</w:t>
      </w:r>
    </w:p>
    <w:p>
      <w:pPr>
        <w:pStyle w:val="14"/>
        <w:rPr>
          <w:rFonts w:ascii="Times New Roman" w:hAnsi="Times New Roman" w:cs="Times New Roman"/>
          <w:sz w:val="20"/>
          <w:lang w:eastAsia="zh-CN"/>
        </w:rPr>
      </w:pPr>
      <w:r>
        <w:rPr>
          <w:rFonts w:ascii="Times New Roman" w:hAnsi="Times New Roman" w:cs="Times New Roman"/>
          <w:sz w:val="20"/>
        </w:rPr>
        <w:t>Changrong Wang</w:t>
      </w:r>
      <w:r>
        <w:rPr>
          <w:rFonts w:ascii="Times New Roman" w:hAnsi="Times New Roman" w:cs="Times New Roman"/>
          <w:sz w:val="20"/>
          <w:vertAlign w:val="superscript"/>
        </w:rPr>
        <w:t>1</w:t>
      </w:r>
      <w:r>
        <w:rPr>
          <w:rFonts w:hint="eastAsia" w:ascii="Times New Roman" w:hAnsi="Times New Roman" w:cs="Times New Roman"/>
          <w:sz w:val="20"/>
          <w:vertAlign w:val="superscript"/>
          <w:lang w:eastAsia="zh-CN"/>
        </w:rPr>
        <w:t>, a</w:t>
      </w:r>
      <w:r>
        <w:rPr>
          <w:rFonts w:ascii="Times New Roman" w:hAnsi="Times New Roman" w:cs="Times New Roman"/>
          <w:sz w:val="20"/>
        </w:rPr>
        <w:t>, Jinghua Huang</w:t>
      </w:r>
      <w:r>
        <w:rPr>
          <w:rFonts w:ascii="Times New Roman" w:hAnsi="Times New Roman" w:cs="Times New Roman"/>
          <w:sz w:val="20"/>
          <w:vertAlign w:val="superscript"/>
        </w:rPr>
        <w:t>1</w:t>
      </w:r>
      <w:r>
        <w:rPr>
          <w:rFonts w:hint="eastAsia" w:ascii="Times New Roman" w:hAnsi="Times New Roman" w:cs="Times New Roman"/>
          <w:sz w:val="20"/>
          <w:vertAlign w:val="superscript"/>
          <w:lang w:eastAsia="zh-CN"/>
        </w:rPr>
        <w:t>, a</w:t>
      </w:r>
      <w:r>
        <w:rPr>
          <w:rFonts w:ascii="Times New Roman" w:hAnsi="Times New Roman" w:cs="Times New Roman"/>
          <w:sz w:val="20"/>
        </w:rPr>
        <w:t>, Yifei Lin</w:t>
      </w:r>
      <w:r>
        <w:rPr>
          <w:rFonts w:ascii="Times New Roman" w:hAnsi="Times New Roman" w:cs="Times New Roman"/>
          <w:sz w:val="20"/>
          <w:vertAlign w:val="superscript"/>
          <w:lang w:eastAsia="zh-CN"/>
        </w:rPr>
        <w:t>1</w:t>
      </w:r>
      <w:r>
        <w:rPr>
          <w:rFonts w:hint="eastAsia" w:ascii="Times New Roman" w:hAnsi="Times New Roman" w:cs="Times New Roman"/>
          <w:sz w:val="20"/>
          <w:vertAlign w:val="superscript"/>
          <w:lang w:eastAsia="zh-CN"/>
        </w:rPr>
        <w:t>, a</w:t>
      </w:r>
      <w:r>
        <w:rPr>
          <w:rFonts w:ascii="Times New Roman" w:hAnsi="Times New Roman" w:cs="Times New Roman"/>
          <w:sz w:val="20"/>
        </w:rPr>
        <w:t>, Xiangjun Chen</w:t>
      </w:r>
      <w:r>
        <w:rPr>
          <w:rFonts w:hint="eastAsia" w:ascii="Times New Roman" w:hAnsi="Times New Roman" w:cs="Times New Roman"/>
          <w:sz w:val="20"/>
          <w:vertAlign w:val="superscript"/>
          <w:lang w:eastAsia="zh-CN"/>
        </w:rPr>
        <w:t>a</w:t>
      </w:r>
      <w:r>
        <w:rPr>
          <w:rFonts w:ascii="Times New Roman" w:hAnsi="Times New Roman" w:cs="Times New Roman"/>
          <w:sz w:val="20"/>
        </w:rPr>
        <w:t>, Wenting Li</w:t>
      </w:r>
      <w:r>
        <w:rPr>
          <w:rFonts w:hint="eastAsia" w:ascii="Times New Roman" w:hAnsi="Times New Roman" w:cs="Times New Roman"/>
          <w:sz w:val="20"/>
          <w:vertAlign w:val="superscript"/>
          <w:lang w:eastAsia="zh-CN"/>
        </w:rPr>
        <w:t>a</w:t>
      </w:r>
      <w:r>
        <w:rPr>
          <w:rFonts w:ascii="Times New Roman" w:hAnsi="Times New Roman" w:cs="Times New Roman"/>
          <w:sz w:val="20"/>
        </w:rPr>
        <w:t>, Shun</w:t>
      </w:r>
      <w:r>
        <w:rPr>
          <w:rFonts w:ascii="Times New Roman" w:hAnsi="Times New Roman" w:cs="Times New Roman"/>
          <w:sz w:val="20"/>
          <w:lang w:eastAsia="zh-CN"/>
        </w:rPr>
        <w:t>a</w:t>
      </w:r>
      <w:r>
        <w:rPr>
          <w:rFonts w:ascii="Times New Roman" w:hAnsi="Times New Roman" w:cs="Times New Roman"/>
          <w:sz w:val="20"/>
        </w:rPr>
        <w:t xml:space="preserve"> Zheng</w:t>
      </w:r>
      <w:r>
        <w:rPr>
          <w:rFonts w:hint="eastAsia" w:ascii="Times New Roman" w:hAnsi="Times New Roman" w:cs="Times New Roman"/>
          <w:sz w:val="20"/>
          <w:vertAlign w:val="superscript"/>
          <w:lang w:eastAsia="zh-CN"/>
        </w:rPr>
        <w:t>a</w:t>
      </w:r>
      <w:r>
        <w:rPr>
          <w:rFonts w:ascii="Times New Roman" w:hAnsi="Times New Roman" w:cs="Times New Roman"/>
          <w:sz w:val="20"/>
        </w:rPr>
        <w:t xml:space="preserve">, </w:t>
      </w:r>
      <w:r>
        <w:rPr>
          <w:rFonts w:ascii="Times New Roman" w:hAnsi="Times New Roman" w:cs="Times New Roman"/>
          <w:sz w:val="20"/>
          <w:lang w:eastAsia="zh-CN"/>
        </w:rPr>
        <w:t>Yumin Zhang</w:t>
      </w:r>
      <w:r>
        <w:rPr>
          <w:rFonts w:hint="eastAsia" w:ascii="Times New Roman" w:hAnsi="Times New Roman" w:cs="Times New Roman"/>
          <w:sz w:val="20"/>
          <w:vertAlign w:val="superscript"/>
          <w:lang w:eastAsia="zh-CN"/>
        </w:rPr>
        <w:t xml:space="preserve">b, </w:t>
      </w:r>
      <w:r>
        <w:rPr>
          <w:rFonts w:ascii="Times New Roman" w:hAnsi="Times New Roman" w:cs="Times New Roman"/>
          <w:sz w:val="20"/>
          <w:lang w:eastAsia="zh-CN"/>
        </w:rPr>
        <w:t xml:space="preserve">*, </w:t>
      </w:r>
      <w:r>
        <w:rPr>
          <w:rFonts w:ascii="Times New Roman" w:hAnsi="Times New Roman" w:cs="Times New Roman"/>
          <w:sz w:val="20"/>
        </w:rPr>
        <w:t>Keke Li</w:t>
      </w:r>
      <w:r>
        <w:rPr>
          <w:rFonts w:hint="eastAsia" w:ascii="Times New Roman" w:hAnsi="Times New Roman" w:cs="Times New Roman"/>
          <w:sz w:val="20"/>
          <w:vertAlign w:val="superscript"/>
          <w:lang w:eastAsia="zh-CN"/>
        </w:rPr>
        <w:t xml:space="preserve">a, </w:t>
      </w:r>
      <w:r>
        <w:rPr>
          <w:rFonts w:ascii="Times New Roman" w:hAnsi="Times New Roman" w:cs="Times New Roman"/>
          <w:sz w:val="20"/>
        </w:rPr>
        <w:t>*, Wei Hong</w:t>
      </w:r>
      <w:r>
        <w:rPr>
          <w:rFonts w:hint="eastAsia" w:ascii="Times New Roman" w:hAnsi="Times New Roman" w:cs="Times New Roman"/>
          <w:sz w:val="20"/>
          <w:vertAlign w:val="superscript"/>
          <w:lang w:eastAsia="zh-CN"/>
        </w:rPr>
        <w:t xml:space="preserve">a, </w:t>
      </w:r>
      <w:r>
        <w:rPr>
          <w:rFonts w:ascii="Times New Roman" w:hAnsi="Times New Roman" w:cs="Times New Roman"/>
          <w:sz w:val="20"/>
        </w:rPr>
        <w:t>*</w:t>
      </w:r>
      <w:r>
        <w:rPr>
          <w:rFonts w:hint="eastAsia" w:ascii="Times New Roman" w:hAnsi="Times New Roman" w:cs="Times New Roman"/>
          <w:sz w:val="20"/>
          <w:lang w:val="en-US" w:eastAsia="zh-CN"/>
        </w:rPr>
        <w:t xml:space="preserve">, </w:t>
      </w:r>
      <w:r>
        <w:rPr>
          <w:rFonts w:ascii="Times New Roman" w:hAnsi="Times New Roman" w:cs="Times New Roman"/>
          <w:sz w:val="20"/>
          <w:lang w:eastAsia="zh-CN"/>
        </w:rPr>
        <w:t>Jinjian Liu</w:t>
      </w:r>
      <w:r>
        <w:rPr>
          <w:rFonts w:hint="eastAsia" w:ascii="Times New Roman" w:hAnsi="Times New Roman" w:cs="Times New Roman"/>
          <w:sz w:val="20"/>
          <w:vertAlign w:val="superscript"/>
          <w:lang w:eastAsia="zh-CN"/>
        </w:rPr>
        <w:t xml:space="preserve">b, </w:t>
      </w:r>
      <w:r>
        <w:rPr>
          <w:rFonts w:ascii="Times New Roman" w:hAnsi="Times New Roman" w:cs="Times New Roman"/>
          <w:sz w:val="20"/>
          <w:lang w:eastAsia="zh-CN"/>
        </w:rPr>
        <w:t>*</w:t>
      </w:r>
    </w:p>
    <w:p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hint="eastAsia" w:ascii="Times New Roman" w:hAnsi="Times New Roman" w:cs="Times New Roman"/>
          <w:i/>
          <w:sz w:val="24"/>
          <w:szCs w:val="24"/>
          <w:vertAlign w:val="superscript"/>
        </w:rPr>
        <w:t>a</w:t>
      </w:r>
      <w:r>
        <w:rPr>
          <w:rFonts w:ascii="Times New Roman" w:hAnsi="Times New Roman" w:cs="Times New Roman"/>
          <w:i/>
          <w:sz w:val="24"/>
          <w:szCs w:val="24"/>
        </w:rPr>
        <w:t>School of Pharmacy, Shandong New Drug Loading &amp; Release Technology and Preparation Engineering Laboratory, Binzhou Medical University, Guanhai Road 346,Yantai, 264003, China</w:t>
      </w:r>
    </w:p>
    <w:p>
      <w:r>
        <w:rPr>
          <w:rFonts w:hint="eastAsia" w:ascii="Times New Roman" w:hAnsi="Times New Roman" w:cs="Times New Roman"/>
          <w:i/>
          <w:sz w:val="24"/>
          <w:szCs w:val="24"/>
          <w:vertAlign w:val="superscript"/>
          <w:lang w:val="en-US" w:eastAsia="zh-CN"/>
        </w:rPr>
        <w:t>b</w:t>
      </w:r>
      <w:r>
        <w:rPr>
          <w:rFonts w:ascii="Times New Roman" w:hAnsi="Times New Roman" w:cs="Times New Roman"/>
          <w:i/>
          <w:sz w:val="24"/>
          <w:szCs w:val="24"/>
        </w:rPr>
        <w:t xml:space="preserve">Tianjin Key Laboratory of Radiation Medicine and Molecular Nuclear Medicine, </w:t>
      </w:r>
      <w:bookmarkStart w:id="0" w:name="_Hlk26513117"/>
      <w:r>
        <w:rPr>
          <w:rFonts w:ascii="Times New Roman" w:hAnsi="Times New Roman" w:cs="Times New Roman"/>
          <w:i/>
          <w:sz w:val="24"/>
          <w:szCs w:val="24"/>
        </w:rPr>
        <w:t>Institute of Radiation Medicine, Chinese Academy of Medical Sciences and Peking Union Medical College</w:t>
      </w:r>
      <w:bookmarkEnd w:id="0"/>
      <w:r>
        <w:rPr>
          <w:rFonts w:ascii="Times New Roman" w:hAnsi="Times New Roman" w:cs="Times New Roman"/>
          <w:i/>
          <w:sz w:val="24"/>
          <w:szCs w:val="24"/>
        </w:rPr>
        <w:t>, Tianjin 300192, China</w:t>
      </w:r>
      <w:bookmarkStart w:id="3" w:name="_GoBack"/>
      <w:bookmarkEnd w:id="3"/>
    </w:p>
    <w:p>
      <w:pPr>
        <w:jc w:val="center"/>
      </w:pPr>
      <w:r>
        <w:pict>
          <v:shape id="_x0000_i1025" o:spt="75" type="#_x0000_t75" style="height:160.3pt;width:398.5pt;" filled="f" o:preferrelative="t" stroked="f" coordsize="21600,21600">
            <v:path/>
            <v:fill on="f" focussize="0,0"/>
            <v:stroke on="f" joinstyle="miter"/>
            <v:imagedata r:id="rId4" o:title="FIGURE-S1"/>
            <o:lock v:ext="edit" aspectratio="t"/>
            <w10:wrap type="none"/>
            <w10:anchorlock/>
          </v:shape>
        </w:pict>
      </w:r>
    </w:p>
    <w:p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szCs w:val="21"/>
        </w:rPr>
        <w:t>Figure S1.</w:t>
      </w:r>
      <w:r>
        <w:rPr>
          <w:rFonts w:ascii="Times New Roman" w:hAnsi="Times New Roman" w:cs="Times New Roman"/>
          <w:szCs w:val="21"/>
        </w:rPr>
        <w:t xml:space="preserve"> The </w:t>
      </w:r>
      <w:r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</w:rPr>
        <w:t>H NMR of nDPA-MA (A) and DBA-MA (B).</w:t>
      </w:r>
    </w:p>
    <w:p>
      <w:pPr>
        <w:jc w:val="center"/>
      </w:pPr>
      <w:r>
        <w:drawing>
          <wp:inline distT="0" distB="0" distL="0" distR="0">
            <wp:extent cx="5561965" cy="2879725"/>
            <wp:effectExtent l="0" t="0" r="635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62090" cy="288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szCs w:val="21"/>
        </w:rPr>
        <w:t>Figure S2.</w:t>
      </w:r>
      <w:r>
        <w:rPr>
          <w:rFonts w:ascii="Times New Roman" w:hAnsi="Times New Roman" w:cs="Times New Roman"/>
          <w:szCs w:val="21"/>
        </w:rPr>
        <w:t xml:space="preserve"> The </w:t>
      </w:r>
      <w:r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</w:rPr>
        <w:t>H NMR of PEPB</w:t>
      </w:r>
      <w:r>
        <w:rPr>
          <w:rFonts w:hint="eastAsia" w:ascii="Times New Roman" w:hAnsi="Times New Roman" w:cs="Times New Roman"/>
          <w:szCs w:val="21"/>
          <w:vertAlign w:val="subscript"/>
        </w:rPr>
        <w:t>8</w:t>
      </w:r>
      <w:r>
        <w:rPr>
          <w:rFonts w:ascii="Times New Roman" w:hAnsi="Times New Roman" w:cs="Times New Roman"/>
          <w:szCs w:val="21"/>
          <w:vertAlign w:val="subscript"/>
        </w:rPr>
        <w:t>0/0</w:t>
      </w:r>
      <w:r>
        <w:rPr>
          <w:rFonts w:ascii="Times New Roman" w:hAnsi="Times New Roman" w:cs="Times New Roman"/>
          <w:szCs w:val="21"/>
        </w:rPr>
        <w:t xml:space="preserve"> (A), PEPB</w:t>
      </w:r>
      <w:r>
        <w:rPr>
          <w:rFonts w:hint="eastAsia" w:ascii="Times New Roman" w:hAnsi="Times New Roman" w:cs="Times New Roman"/>
          <w:szCs w:val="21"/>
          <w:vertAlign w:val="subscript"/>
        </w:rPr>
        <w:t>64</w:t>
      </w:r>
      <w:r>
        <w:rPr>
          <w:rFonts w:ascii="Times New Roman" w:hAnsi="Times New Roman" w:cs="Times New Roman"/>
          <w:szCs w:val="21"/>
          <w:vertAlign w:val="subscript"/>
        </w:rPr>
        <w:t>/2</w:t>
      </w:r>
      <w:r>
        <w:rPr>
          <w:rFonts w:hint="eastAsia"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 xml:space="preserve"> (B), PEPB</w:t>
      </w:r>
      <w:r>
        <w:rPr>
          <w:rFonts w:hint="eastAsia" w:ascii="Times New Roman" w:hAnsi="Times New Roman" w:cs="Times New Roman"/>
          <w:szCs w:val="21"/>
          <w:vertAlign w:val="subscript"/>
        </w:rPr>
        <w:t>36</w:t>
      </w:r>
      <w:r>
        <w:rPr>
          <w:rFonts w:ascii="Times New Roman" w:hAnsi="Times New Roman" w:cs="Times New Roman"/>
          <w:szCs w:val="21"/>
          <w:vertAlign w:val="subscript"/>
        </w:rPr>
        <w:t>/</w:t>
      </w:r>
      <w:r>
        <w:rPr>
          <w:rFonts w:hint="eastAsia" w:ascii="Times New Roman" w:hAnsi="Times New Roman" w:cs="Times New Roman"/>
          <w:szCs w:val="21"/>
          <w:vertAlign w:val="subscript"/>
        </w:rPr>
        <w:t>35</w:t>
      </w:r>
      <w:r>
        <w:rPr>
          <w:rFonts w:ascii="Times New Roman" w:hAnsi="Times New Roman" w:cs="Times New Roman"/>
          <w:szCs w:val="21"/>
        </w:rPr>
        <w:t xml:space="preserve"> (C), PEPB</w:t>
      </w:r>
      <w:r>
        <w:rPr>
          <w:rFonts w:ascii="Times New Roman" w:hAnsi="Times New Roman" w:cs="Times New Roman"/>
          <w:szCs w:val="21"/>
          <w:vertAlign w:val="subscript"/>
        </w:rPr>
        <w:t>2</w:t>
      </w:r>
      <w:r>
        <w:rPr>
          <w:rFonts w:hint="eastAsia" w:ascii="Times New Roman" w:hAnsi="Times New Roman" w:cs="Times New Roman"/>
          <w:szCs w:val="21"/>
          <w:vertAlign w:val="subscript"/>
        </w:rPr>
        <w:t>2</w:t>
      </w:r>
      <w:r>
        <w:rPr>
          <w:rFonts w:ascii="Times New Roman" w:hAnsi="Times New Roman" w:cs="Times New Roman"/>
          <w:szCs w:val="21"/>
          <w:vertAlign w:val="subscript"/>
        </w:rPr>
        <w:t>/</w:t>
      </w:r>
      <w:r>
        <w:rPr>
          <w:rFonts w:hint="eastAsia" w:ascii="Times New Roman" w:hAnsi="Times New Roman" w:cs="Times New Roman"/>
          <w:szCs w:val="21"/>
          <w:vertAlign w:val="subscript"/>
        </w:rPr>
        <w:t>68</w:t>
      </w:r>
      <w:r>
        <w:rPr>
          <w:rFonts w:ascii="Times New Roman" w:hAnsi="Times New Roman" w:cs="Times New Roman"/>
          <w:szCs w:val="21"/>
        </w:rPr>
        <w:t xml:space="preserve"> (D), PEPB</w:t>
      </w:r>
      <w:r>
        <w:rPr>
          <w:rFonts w:ascii="Times New Roman" w:hAnsi="Times New Roman" w:cs="Times New Roman"/>
          <w:szCs w:val="21"/>
          <w:vertAlign w:val="subscript"/>
        </w:rPr>
        <w:t>0/100</w:t>
      </w:r>
      <w:r>
        <w:rPr>
          <w:rFonts w:ascii="Times New Roman" w:hAnsi="Times New Roman" w:cs="Times New Roman"/>
          <w:szCs w:val="21"/>
        </w:rPr>
        <w:t xml:space="preserve"> (E).</w:t>
      </w:r>
    </w:p>
    <w:p>
      <w:pPr>
        <w:jc w:val="center"/>
      </w:pPr>
      <w:r>
        <w:drawing>
          <wp:inline distT="0" distB="0" distL="0" distR="0">
            <wp:extent cx="5361940" cy="2879725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62219" cy="288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szCs w:val="21"/>
        </w:rPr>
        <w:t>Figure S</w:t>
      </w:r>
      <w:r>
        <w:rPr>
          <w:rFonts w:hint="eastAsia" w:ascii="Times New Roman" w:hAnsi="Times New Roman" w:cs="Times New Roman"/>
          <w:b/>
          <w:szCs w:val="21"/>
        </w:rPr>
        <w:t>3</w:t>
      </w:r>
      <w:r>
        <w:rPr>
          <w:rFonts w:ascii="Times New Roman" w:hAnsi="Times New Roman" w:cs="Times New Roman"/>
          <w:b/>
          <w:szCs w:val="21"/>
        </w:rPr>
        <w:t>.</w:t>
      </w:r>
      <w:r>
        <w:rPr>
          <w:rFonts w:ascii="Times New Roman" w:hAnsi="Times New Roman" w:cs="Times New Roman"/>
          <w:szCs w:val="21"/>
        </w:rPr>
        <w:t xml:space="preserve"> The titration curve</w:t>
      </w:r>
      <w:r>
        <w:rPr>
          <w:rFonts w:hint="eastAsia" w:ascii="Times New Roman" w:hAnsi="Times New Roman" w:cs="Times New Roman"/>
          <w:szCs w:val="21"/>
        </w:rPr>
        <w:t>s</w:t>
      </w:r>
      <w:r>
        <w:rPr>
          <w:rFonts w:ascii="Times New Roman" w:hAnsi="Times New Roman" w:cs="Times New Roman"/>
          <w:szCs w:val="21"/>
        </w:rPr>
        <w:t xml:space="preserve"> of PEPB</w:t>
      </w:r>
      <w:r>
        <w:rPr>
          <w:rFonts w:ascii="Times New Roman" w:hAnsi="Times New Roman" w:cs="Times New Roman"/>
          <w:szCs w:val="21"/>
          <w:vertAlign w:val="subscript"/>
        </w:rPr>
        <w:t>0/</w:t>
      </w:r>
      <w:r>
        <w:rPr>
          <w:rFonts w:hint="eastAsia" w:ascii="Times New Roman" w:hAnsi="Times New Roman" w:cs="Times New Roman"/>
          <w:szCs w:val="21"/>
          <w:vertAlign w:val="subscript"/>
        </w:rPr>
        <w:t>8</w:t>
      </w:r>
      <w:r>
        <w:rPr>
          <w:rFonts w:ascii="Times New Roman" w:hAnsi="Times New Roman" w:cs="Times New Roman"/>
          <w:szCs w:val="21"/>
          <w:vertAlign w:val="subscript"/>
        </w:rPr>
        <w:t>0</w:t>
      </w:r>
      <w:r>
        <w:rPr>
          <w:rFonts w:ascii="Times New Roman" w:hAnsi="Times New Roman" w:cs="Times New Roman"/>
          <w:szCs w:val="21"/>
        </w:rPr>
        <w:t xml:space="preserve"> (A), PEPB</w:t>
      </w:r>
      <w:r>
        <w:rPr>
          <w:rFonts w:hint="eastAsia" w:ascii="Times New Roman" w:hAnsi="Times New Roman" w:cs="Times New Roman"/>
          <w:szCs w:val="21"/>
          <w:vertAlign w:val="subscript"/>
        </w:rPr>
        <w:t>64</w:t>
      </w:r>
      <w:r>
        <w:rPr>
          <w:rFonts w:ascii="Times New Roman" w:hAnsi="Times New Roman" w:cs="Times New Roman"/>
          <w:szCs w:val="21"/>
          <w:vertAlign w:val="subscript"/>
        </w:rPr>
        <w:t>/2</w:t>
      </w:r>
      <w:r>
        <w:rPr>
          <w:rFonts w:hint="eastAsia" w:ascii="Times New Roman" w:hAnsi="Times New Roman" w:cs="Times New Roman"/>
          <w:szCs w:val="21"/>
          <w:vertAlign w:val="subscript"/>
        </w:rPr>
        <w:t>2</w:t>
      </w:r>
      <w:r>
        <w:rPr>
          <w:rFonts w:ascii="Times New Roman" w:hAnsi="Times New Roman" w:cs="Times New Roman"/>
          <w:szCs w:val="21"/>
        </w:rPr>
        <w:t xml:space="preserve"> (B), PEPB</w:t>
      </w:r>
      <w:r>
        <w:rPr>
          <w:rFonts w:hint="eastAsia" w:ascii="Times New Roman" w:hAnsi="Times New Roman" w:cs="Times New Roman"/>
          <w:szCs w:val="21"/>
          <w:vertAlign w:val="subscript"/>
        </w:rPr>
        <w:t>36</w:t>
      </w:r>
      <w:r>
        <w:rPr>
          <w:rFonts w:ascii="Times New Roman" w:hAnsi="Times New Roman" w:cs="Times New Roman"/>
          <w:szCs w:val="21"/>
          <w:vertAlign w:val="subscript"/>
        </w:rPr>
        <w:t>/</w:t>
      </w:r>
      <w:r>
        <w:rPr>
          <w:rFonts w:hint="eastAsia" w:ascii="Times New Roman" w:hAnsi="Times New Roman" w:cs="Times New Roman"/>
          <w:szCs w:val="21"/>
          <w:vertAlign w:val="subscript"/>
        </w:rPr>
        <w:t>35</w:t>
      </w:r>
      <w:r>
        <w:rPr>
          <w:rFonts w:ascii="Times New Roman" w:hAnsi="Times New Roman" w:cs="Times New Roman"/>
          <w:szCs w:val="21"/>
        </w:rPr>
        <w:t xml:space="preserve"> (C), PEPB</w:t>
      </w:r>
      <w:r>
        <w:rPr>
          <w:rFonts w:ascii="Times New Roman" w:hAnsi="Times New Roman" w:cs="Times New Roman"/>
          <w:szCs w:val="21"/>
          <w:vertAlign w:val="subscript"/>
        </w:rPr>
        <w:t>2</w:t>
      </w:r>
      <w:r>
        <w:rPr>
          <w:rFonts w:hint="eastAsia" w:ascii="Times New Roman" w:hAnsi="Times New Roman" w:cs="Times New Roman"/>
          <w:szCs w:val="21"/>
          <w:vertAlign w:val="subscript"/>
        </w:rPr>
        <w:t>2</w:t>
      </w:r>
      <w:r>
        <w:rPr>
          <w:rFonts w:ascii="Times New Roman" w:hAnsi="Times New Roman" w:cs="Times New Roman"/>
          <w:szCs w:val="21"/>
          <w:vertAlign w:val="subscript"/>
        </w:rPr>
        <w:t>/</w:t>
      </w:r>
      <w:r>
        <w:rPr>
          <w:rFonts w:hint="eastAsia" w:ascii="Times New Roman" w:hAnsi="Times New Roman" w:cs="Times New Roman"/>
          <w:szCs w:val="21"/>
          <w:vertAlign w:val="subscript"/>
        </w:rPr>
        <w:t>68</w:t>
      </w:r>
      <w:r>
        <w:rPr>
          <w:rFonts w:ascii="Times New Roman" w:hAnsi="Times New Roman" w:cs="Times New Roman"/>
          <w:szCs w:val="21"/>
        </w:rPr>
        <w:t xml:space="preserve"> (D), PEPB</w:t>
      </w:r>
      <w:r>
        <w:rPr>
          <w:rFonts w:ascii="Times New Roman" w:hAnsi="Times New Roman" w:cs="Times New Roman"/>
          <w:szCs w:val="21"/>
          <w:vertAlign w:val="subscript"/>
        </w:rPr>
        <w:t>0/</w:t>
      </w:r>
      <w:r>
        <w:rPr>
          <w:rFonts w:hint="eastAsia" w:ascii="Times New Roman" w:hAnsi="Times New Roman" w:cs="Times New Roman"/>
          <w:szCs w:val="21"/>
          <w:vertAlign w:val="subscript"/>
        </w:rPr>
        <w:t>7</w:t>
      </w:r>
      <w:r>
        <w:rPr>
          <w:rFonts w:ascii="Times New Roman" w:hAnsi="Times New Roman" w:cs="Times New Roman"/>
          <w:szCs w:val="21"/>
          <w:vertAlign w:val="subscript"/>
        </w:rPr>
        <w:t>0</w:t>
      </w:r>
      <w:r>
        <w:rPr>
          <w:rFonts w:ascii="Times New Roman" w:hAnsi="Times New Roman" w:cs="Times New Roman"/>
          <w:szCs w:val="21"/>
        </w:rPr>
        <w:t xml:space="preserve"> (E).</w:t>
      </w:r>
    </w:p>
    <w:p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5565775" cy="323977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65821" cy="324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szCs w:val="21"/>
        </w:rPr>
      </w:pPr>
      <w:r>
        <w:rPr>
          <w:rFonts w:hint="eastAsia" w:ascii="Times New Roman" w:hAnsi="Times New Roman" w:cs="Times New Roman"/>
          <w:b/>
          <w:szCs w:val="21"/>
        </w:rPr>
        <w:t xml:space="preserve">Figure S4. </w:t>
      </w:r>
      <w:r>
        <w:rPr>
          <w:rFonts w:hint="eastAsia" w:ascii="Times New Roman" w:hAnsi="Times New Roman" w:cs="Times New Roman"/>
          <w:szCs w:val="21"/>
        </w:rPr>
        <w:t>The pH-sensitive behaviors determination of PEPB</w:t>
      </w:r>
      <w:r>
        <w:rPr>
          <w:rFonts w:hint="eastAsia" w:ascii="Times New Roman" w:hAnsi="Times New Roman" w:cs="Times New Roman"/>
          <w:szCs w:val="21"/>
          <w:vertAlign w:val="subscript"/>
        </w:rPr>
        <w:t>x/y</w:t>
      </w:r>
      <w:r>
        <w:rPr>
          <w:rFonts w:hint="eastAsia" w:ascii="Times New Roman" w:hAnsi="Times New Roman" w:cs="Times New Roman"/>
          <w:szCs w:val="21"/>
        </w:rPr>
        <w:t xml:space="preserve"> NPs. (A-E) The sizes changes of PEPB</w:t>
      </w:r>
      <w:r>
        <w:rPr>
          <w:rFonts w:hint="eastAsia" w:ascii="Times New Roman" w:hAnsi="Times New Roman" w:cs="Times New Roman"/>
          <w:szCs w:val="21"/>
          <w:vertAlign w:val="subscript"/>
        </w:rPr>
        <w:t>x/y</w:t>
      </w:r>
      <w:r>
        <w:rPr>
          <w:rFonts w:hint="eastAsia" w:ascii="Times New Roman" w:hAnsi="Times New Roman" w:cs="Times New Roman"/>
          <w:szCs w:val="21"/>
        </w:rPr>
        <w:t xml:space="preserve"> NPs under different pH conditions. (F) Zeta potentials changes of PEPB</w:t>
      </w:r>
      <w:r>
        <w:rPr>
          <w:rFonts w:hint="eastAsia" w:ascii="Times New Roman" w:hAnsi="Times New Roman" w:cs="Times New Roman"/>
          <w:szCs w:val="21"/>
          <w:vertAlign w:val="subscript"/>
        </w:rPr>
        <w:t>x/y</w:t>
      </w:r>
      <w:r>
        <w:rPr>
          <w:rFonts w:hint="eastAsia" w:ascii="Times New Roman" w:hAnsi="Times New Roman" w:cs="Times New Roman"/>
          <w:szCs w:val="21"/>
        </w:rPr>
        <w:t xml:space="preserve"> NPs under different pH conditions.</w:t>
      </w:r>
    </w:p>
    <w:p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4364990" cy="347472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64990" cy="3474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szCs w:val="21"/>
        </w:rPr>
      </w:pPr>
      <w:r>
        <w:rPr>
          <w:rFonts w:hint="eastAsia" w:ascii="Times New Roman" w:hAnsi="Times New Roman" w:cs="Times New Roman"/>
          <w:b/>
          <w:szCs w:val="21"/>
        </w:rPr>
        <w:t>Figure S5</w:t>
      </w:r>
      <w:r>
        <w:rPr>
          <w:rFonts w:hint="eastAsia" w:ascii="Times New Roman" w:hAnsi="Times New Roman" w:cs="Times New Roman"/>
          <w:szCs w:val="21"/>
        </w:rPr>
        <w:t xml:space="preserve">. The biofilm elimination of </w:t>
      </w:r>
      <w:r>
        <w:rPr>
          <w:rFonts w:hint="eastAsia" w:ascii="Times New Roman" w:hAnsi="Times New Roman" w:cs="Times New Roman"/>
          <w:i/>
          <w:szCs w:val="21"/>
        </w:rPr>
        <w:t>MRSA</w:t>
      </w:r>
      <w:r>
        <w:rPr>
          <w:rFonts w:hint="eastAsia" w:ascii="Times New Roman" w:hAnsi="Times New Roman" w:cs="Times New Roman"/>
          <w:szCs w:val="21"/>
        </w:rPr>
        <w:t xml:space="preserve"> under </w:t>
      </w:r>
      <w:r>
        <w:rPr>
          <w:rFonts w:ascii="Times New Roman" w:hAnsi="Times New Roman" w:cs="Times New Roman"/>
          <w:szCs w:val="21"/>
        </w:rPr>
        <w:t>neutral environment with different concentration of PEPB</w:t>
      </w:r>
      <w:r>
        <w:rPr>
          <w:rFonts w:ascii="Times New Roman" w:hAnsi="Times New Roman" w:cs="Times New Roman"/>
          <w:szCs w:val="21"/>
          <w:vertAlign w:val="subscript"/>
        </w:rPr>
        <w:t>x/y</w:t>
      </w:r>
      <w:r>
        <w:rPr>
          <w:rFonts w:hint="eastAsia" w:ascii="Times New Roman" w:hAnsi="Times New Roman" w:cs="Times New Roman"/>
          <w:szCs w:val="21"/>
        </w:rPr>
        <w:t xml:space="preserve"> NPs.</w:t>
      </w:r>
    </w:p>
    <w:p>
      <w:pPr>
        <w:rPr>
          <w:rFonts w:ascii="Times New Roman" w:hAnsi="Times New Roman" w:cs="Times New Roman"/>
        </w:rPr>
      </w:pPr>
    </w:p>
    <w:p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4645660" cy="3663950"/>
            <wp:effectExtent l="0" t="0" r="254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45660" cy="3663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szCs w:val="21"/>
        </w:rPr>
      </w:pPr>
      <w:r>
        <w:rPr>
          <w:rFonts w:hint="eastAsia" w:ascii="Times New Roman" w:hAnsi="Times New Roman" w:cs="Times New Roman"/>
          <w:b/>
          <w:szCs w:val="21"/>
        </w:rPr>
        <w:t>Figure S6</w:t>
      </w:r>
      <w:r>
        <w:rPr>
          <w:rFonts w:hint="eastAsia" w:ascii="Times New Roman" w:hAnsi="Times New Roman" w:cs="Times New Roman"/>
          <w:szCs w:val="21"/>
        </w:rPr>
        <w:t>. B</w:t>
      </w:r>
      <w:r>
        <w:rPr>
          <w:rFonts w:ascii="Times New Roman" w:hAnsi="Times New Roman" w:cs="Times New Roman"/>
          <w:szCs w:val="21"/>
        </w:rPr>
        <w:t xml:space="preserve">iofilm elimination of </w:t>
      </w:r>
      <w:r>
        <w:rPr>
          <w:rFonts w:hint="eastAsia" w:ascii="Times New Roman" w:hAnsi="Times New Roman" w:cs="Times New Roman"/>
          <w:i/>
          <w:szCs w:val="21"/>
        </w:rPr>
        <w:t>MRSA</w:t>
      </w:r>
      <w:r>
        <w:rPr>
          <w:rFonts w:ascii="Times New Roman" w:hAnsi="Times New Roman" w:cs="Times New Roman"/>
          <w:szCs w:val="21"/>
        </w:rPr>
        <w:t xml:space="preserve"> in </w:t>
      </w:r>
      <w:r>
        <w:rPr>
          <w:rFonts w:hint="eastAsia" w:ascii="Times New Roman" w:hAnsi="Times New Roman" w:cs="Times New Roman"/>
          <w:szCs w:val="21"/>
        </w:rPr>
        <w:t>pH=5.6</w:t>
      </w:r>
      <w:r>
        <w:rPr>
          <w:rFonts w:ascii="Times New Roman" w:hAnsi="Times New Roman" w:cs="Times New Roman"/>
          <w:szCs w:val="21"/>
        </w:rPr>
        <w:t xml:space="preserve"> medium with different concentration of PEPB</w:t>
      </w:r>
      <w:r>
        <w:rPr>
          <w:rFonts w:ascii="Times New Roman" w:hAnsi="Times New Roman" w:cs="Times New Roman"/>
          <w:szCs w:val="21"/>
          <w:vertAlign w:val="subscript"/>
        </w:rPr>
        <w:t>x/y</w:t>
      </w:r>
      <w:r>
        <w:rPr>
          <w:rFonts w:ascii="Times New Roman" w:hAnsi="Times New Roman" w:cs="Times New Roman"/>
          <w:szCs w:val="21"/>
        </w:rPr>
        <w:t xml:space="preserve"> NPs.</w:t>
      </w:r>
    </w:p>
    <w:p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4910455" cy="3599815"/>
            <wp:effectExtent l="0" t="0" r="0" b="63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10859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szCs w:val="21"/>
        </w:rPr>
      </w:pPr>
      <w:r>
        <w:rPr>
          <w:rFonts w:hint="eastAsia" w:ascii="Times New Roman" w:hAnsi="Times New Roman" w:cs="Times New Roman"/>
          <w:b/>
          <w:szCs w:val="21"/>
        </w:rPr>
        <w:t>Figure S7.</w:t>
      </w:r>
      <w:r>
        <w:rPr>
          <w:rFonts w:hint="eastAsia"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The </w:t>
      </w:r>
      <w:r>
        <w:rPr>
          <w:rFonts w:ascii="Times New Roman" w:hAnsi="Times New Roman" w:cs="Times New Roman"/>
          <w:i/>
          <w:szCs w:val="21"/>
        </w:rPr>
        <w:t>P</w:t>
      </w:r>
      <w:r>
        <w:rPr>
          <w:rFonts w:hint="eastAsia" w:ascii="Times New Roman" w:hAnsi="Times New Roman" w:cs="Times New Roman"/>
          <w:i/>
          <w:szCs w:val="21"/>
        </w:rPr>
        <w:t>.</w:t>
      </w:r>
      <w:r>
        <w:rPr>
          <w:rFonts w:ascii="Times New Roman" w:hAnsi="Times New Roman" w:cs="Times New Roman"/>
          <w:i/>
          <w:szCs w:val="21"/>
        </w:rPr>
        <w:t xml:space="preserve"> aeruginosa</w:t>
      </w:r>
      <w:r>
        <w:rPr>
          <w:rFonts w:ascii="Times New Roman" w:hAnsi="Times New Roman" w:cs="Times New Roman"/>
          <w:szCs w:val="21"/>
        </w:rPr>
        <w:t xml:space="preserve"> inhibition and biofilm elimination by PEPB</w:t>
      </w:r>
      <w:r>
        <w:rPr>
          <w:rFonts w:ascii="Times New Roman" w:hAnsi="Times New Roman" w:cs="Times New Roman"/>
          <w:szCs w:val="21"/>
          <w:vertAlign w:val="subscript"/>
        </w:rPr>
        <w:t>x/y</w:t>
      </w:r>
      <w:r>
        <w:rPr>
          <w:rFonts w:ascii="Times New Roman" w:hAnsi="Times New Roman" w:cs="Times New Roman"/>
          <w:szCs w:val="21"/>
        </w:rPr>
        <w:t xml:space="preserve"> NPs. (A) and (B) the inhibition and biofilm elimanition of PEPB</w:t>
      </w:r>
      <w:r>
        <w:rPr>
          <w:rFonts w:ascii="Times New Roman" w:hAnsi="Times New Roman" w:cs="Times New Roman"/>
          <w:szCs w:val="21"/>
          <w:vertAlign w:val="subscript"/>
        </w:rPr>
        <w:t>x/y</w:t>
      </w:r>
      <w:r>
        <w:rPr>
          <w:rFonts w:ascii="Times New Roman" w:hAnsi="Times New Roman" w:cs="Times New Roman"/>
          <w:szCs w:val="21"/>
        </w:rPr>
        <w:t xml:space="preserve"> NPs </w:t>
      </w:r>
      <w:r>
        <w:rPr>
          <w:rFonts w:hint="eastAsia" w:ascii="Times New Roman" w:hAnsi="Times New Roman" w:cs="Times New Roman"/>
          <w:szCs w:val="21"/>
        </w:rPr>
        <w:t>under</w:t>
      </w:r>
      <w:r>
        <w:rPr>
          <w:rFonts w:ascii="Times New Roman" w:hAnsi="Times New Roman" w:cs="Times New Roman"/>
          <w:szCs w:val="21"/>
        </w:rPr>
        <w:t xml:space="preserve"> neutral environment. (C) and (D) the inhibition and biofilm elim</w:t>
      </w:r>
      <w:r>
        <w:rPr>
          <w:rFonts w:hint="eastAsia" w:ascii="Times New Roman" w:hAnsi="Times New Roman" w:cs="Times New Roman"/>
          <w:szCs w:val="21"/>
        </w:rPr>
        <w:t>i</w:t>
      </w:r>
      <w:r>
        <w:rPr>
          <w:rFonts w:ascii="Times New Roman" w:hAnsi="Times New Roman" w:cs="Times New Roman"/>
          <w:szCs w:val="21"/>
        </w:rPr>
        <w:t>n</w:t>
      </w:r>
      <w:r>
        <w:rPr>
          <w:rFonts w:hint="eastAsia" w:ascii="Times New Roman" w:hAnsi="Times New Roman" w:cs="Times New Roman"/>
          <w:szCs w:val="21"/>
        </w:rPr>
        <w:t>a</w:t>
      </w:r>
      <w:r>
        <w:rPr>
          <w:rFonts w:ascii="Times New Roman" w:hAnsi="Times New Roman" w:cs="Times New Roman"/>
          <w:szCs w:val="21"/>
        </w:rPr>
        <w:t>tion</w:t>
      </w:r>
      <w:r>
        <w:rPr>
          <w:rFonts w:hint="eastAsia"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of PEPB</w:t>
      </w:r>
      <w:r>
        <w:rPr>
          <w:rFonts w:ascii="Times New Roman" w:hAnsi="Times New Roman" w:cs="Times New Roman"/>
          <w:szCs w:val="21"/>
          <w:vertAlign w:val="subscript"/>
        </w:rPr>
        <w:t>x/y</w:t>
      </w:r>
      <w:r>
        <w:rPr>
          <w:rFonts w:ascii="Times New Roman" w:hAnsi="Times New Roman" w:cs="Times New Roman"/>
          <w:szCs w:val="21"/>
        </w:rPr>
        <w:t xml:space="preserve"> NPs </w:t>
      </w:r>
      <w:r>
        <w:rPr>
          <w:rFonts w:hint="eastAsia" w:ascii="Times New Roman" w:hAnsi="Times New Roman" w:cs="Times New Roman"/>
          <w:szCs w:val="21"/>
        </w:rPr>
        <w:t>in</w:t>
      </w:r>
      <w:r>
        <w:rPr>
          <w:rFonts w:ascii="Times New Roman" w:hAnsi="Times New Roman" w:cs="Times New Roman"/>
          <w:szCs w:val="21"/>
        </w:rPr>
        <w:t xml:space="preserve"> pH=5.6 medium (Each bar represents Mean ± SEM of five experiments)</w:t>
      </w:r>
    </w:p>
    <w:p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4627245" cy="3993515"/>
            <wp:effectExtent l="0" t="0" r="1905" b="698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27245" cy="3993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szCs w:val="21"/>
        </w:rPr>
      </w:pPr>
      <w:r>
        <w:rPr>
          <w:rFonts w:hint="eastAsia" w:ascii="Times New Roman" w:hAnsi="Times New Roman" w:cs="Times New Roman"/>
          <w:b/>
          <w:szCs w:val="21"/>
        </w:rPr>
        <w:t>Figure S8.</w:t>
      </w:r>
      <w:r>
        <w:rPr>
          <w:rFonts w:hint="eastAsia"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The biofilm elimination of </w:t>
      </w:r>
      <w:r>
        <w:rPr>
          <w:rFonts w:ascii="Times New Roman" w:hAnsi="Times New Roman" w:cs="Times New Roman"/>
          <w:i/>
          <w:szCs w:val="21"/>
        </w:rPr>
        <w:t>P. Aeruginosa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hint="eastAsia" w:ascii="Times New Roman" w:hAnsi="Times New Roman" w:cs="Times New Roman"/>
          <w:szCs w:val="21"/>
        </w:rPr>
        <w:t>u</w:t>
      </w:r>
      <w:r>
        <w:rPr>
          <w:rFonts w:ascii="Times New Roman" w:hAnsi="Times New Roman" w:cs="Times New Roman"/>
          <w:szCs w:val="21"/>
        </w:rPr>
        <w:t>n</w:t>
      </w:r>
      <w:r>
        <w:rPr>
          <w:rFonts w:hint="eastAsia" w:ascii="Times New Roman" w:hAnsi="Times New Roman" w:cs="Times New Roman"/>
          <w:szCs w:val="21"/>
        </w:rPr>
        <w:t>der</w:t>
      </w:r>
      <w:r>
        <w:rPr>
          <w:rFonts w:ascii="Times New Roman" w:hAnsi="Times New Roman" w:cs="Times New Roman"/>
          <w:szCs w:val="21"/>
        </w:rPr>
        <w:t xml:space="preserve"> neutral environment with different concentration of PEPB</w:t>
      </w:r>
      <w:r>
        <w:rPr>
          <w:rFonts w:ascii="Times New Roman" w:hAnsi="Times New Roman" w:cs="Times New Roman"/>
          <w:szCs w:val="21"/>
          <w:vertAlign w:val="subscript"/>
        </w:rPr>
        <w:t>x/y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hint="eastAsia" w:ascii="Times New Roman" w:hAnsi="Times New Roman" w:cs="Times New Roman"/>
          <w:szCs w:val="21"/>
        </w:rPr>
        <w:t>NPs</w:t>
      </w:r>
      <w:r>
        <w:rPr>
          <w:rFonts w:ascii="Times New Roman" w:hAnsi="Times New Roman" w:cs="Times New Roman"/>
          <w:szCs w:val="21"/>
        </w:rPr>
        <w:t>.</w:t>
      </w:r>
    </w:p>
    <w:p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5133340" cy="3919855"/>
            <wp:effectExtent l="0" t="0" r="0" b="444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33340" cy="3919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szCs w:val="21"/>
        </w:rPr>
        <w:t>Figure S</w:t>
      </w:r>
      <w:r>
        <w:rPr>
          <w:rFonts w:hint="eastAsia" w:ascii="Times New Roman" w:hAnsi="Times New Roman" w:cs="Times New Roman"/>
          <w:b/>
          <w:szCs w:val="21"/>
        </w:rPr>
        <w:t>9</w:t>
      </w:r>
      <w:r>
        <w:rPr>
          <w:rFonts w:ascii="Times New Roman" w:hAnsi="Times New Roman" w:cs="Times New Roman"/>
          <w:szCs w:val="21"/>
        </w:rPr>
        <w:t xml:space="preserve">. The biofilm elimination of </w:t>
      </w:r>
      <w:r>
        <w:rPr>
          <w:rFonts w:ascii="Times New Roman" w:hAnsi="Times New Roman" w:cs="Times New Roman"/>
          <w:i/>
          <w:szCs w:val="21"/>
        </w:rPr>
        <w:t>P. Aeruginosa</w:t>
      </w:r>
      <w:r>
        <w:rPr>
          <w:rFonts w:ascii="Times New Roman" w:hAnsi="Times New Roman" w:cs="Times New Roman"/>
          <w:szCs w:val="21"/>
        </w:rPr>
        <w:t xml:space="preserve"> in </w:t>
      </w:r>
      <w:r>
        <w:rPr>
          <w:rFonts w:hint="eastAsia" w:ascii="Times New Roman" w:hAnsi="Times New Roman" w:cs="Times New Roman"/>
          <w:szCs w:val="21"/>
        </w:rPr>
        <w:t>pH 5.6</w:t>
      </w:r>
      <w:r>
        <w:rPr>
          <w:rFonts w:ascii="Times New Roman" w:hAnsi="Times New Roman" w:cs="Times New Roman"/>
          <w:szCs w:val="21"/>
        </w:rPr>
        <w:t xml:space="preserve"> medium with different concentration of PEPB</w:t>
      </w:r>
      <w:r>
        <w:rPr>
          <w:rFonts w:ascii="Times New Roman" w:hAnsi="Times New Roman" w:cs="Times New Roman"/>
          <w:szCs w:val="21"/>
          <w:vertAlign w:val="subscript"/>
        </w:rPr>
        <w:t>x/y</w:t>
      </w:r>
      <w:r>
        <w:rPr>
          <w:rFonts w:ascii="Times New Roman" w:hAnsi="Times New Roman" w:cs="Times New Roman"/>
          <w:szCs w:val="21"/>
        </w:rPr>
        <w:t xml:space="preserve"> NPs.</w:t>
      </w:r>
    </w:p>
    <w:p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5602605" cy="2159635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02969" cy="21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  <w:b/>
        </w:rPr>
        <w:t>Figure S10.</w:t>
      </w:r>
      <w:r>
        <w:rPr>
          <w:rFonts w:hint="eastAsia" w:ascii="Times New Roman" w:hAnsi="Times New Roman" w:cs="Times New Roman"/>
        </w:rPr>
        <w:t xml:space="preserve"> Plotting pKa values with antibacterial efficiency (A) and biofilm elimination (B) on </w:t>
      </w:r>
      <w:r>
        <w:rPr>
          <w:rFonts w:ascii="Times New Roman" w:hAnsi="Times New Roman" w:cs="Times New Roman"/>
          <w:i/>
        </w:rPr>
        <w:t>P. Aeruginosa</w:t>
      </w:r>
      <w:r>
        <w:rPr>
          <w:rFonts w:hint="eastAsia" w:ascii="Times New Roman" w:hAnsi="Times New Roman" w:cs="Times New Roman"/>
        </w:rPr>
        <w:t xml:space="preserve"> under different pH environment. </w:t>
      </w:r>
    </w:p>
    <w:p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3566160" cy="313944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66160" cy="3139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szCs w:val="21"/>
        </w:rPr>
      </w:pPr>
      <w:r>
        <w:rPr>
          <w:rFonts w:hint="eastAsia" w:ascii="Times New Roman" w:hAnsi="Times New Roman" w:cs="Times New Roman"/>
          <w:b/>
          <w:szCs w:val="21"/>
        </w:rPr>
        <w:t>Figure S11.</w:t>
      </w:r>
      <w:r>
        <w:rPr>
          <w:rFonts w:hint="eastAsia" w:ascii="Times New Roman" w:hAnsi="Times New Roman" w:cs="Times New Roman"/>
          <w:szCs w:val="21"/>
        </w:rPr>
        <w:t xml:space="preserve"> The </w:t>
      </w:r>
      <w:r>
        <w:rPr>
          <w:rFonts w:ascii="Times New Roman" w:hAnsi="Times New Roman" w:cs="Times New Roman"/>
          <w:szCs w:val="21"/>
        </w:rPr>
        <w:t>hemolysis</w:t>
      </w:r>
      <w:r>
        <w:rPr>
          <w:rFonts w:hint="eastAsia" w:ascii="Times New Roman" w:hAnsi="Times New Roman" w:cs="Times New Roman"/>
          <w:szCs w:val="21"/>
        </w:rPr>
        <w:t xml:space="preserve"> of PEPB</w:t>
      </w:r>
      <w:r>
        <w:rPr>
          <w:rFonts w:hint="eastAsia" w:ascii="Times New Roman" w:hAnsi="Times New Roman" w:cs="Times New Roman"/>
          <w:szCs w:val="21"/>
          <w:vertAlign w:val="subscript"/>
        </w:rPr>
        <w:t>80/0</w:t>
      </w:r>
      <w:r>
        <w:rPr>
          <w:rFonts w:hint="eastAsia" w:ascii="Times New Roman" w:hAnsi="Times New Roman" w:cs="Times New Roman"/>
          <w:szCs w:val="21"/>
        </w:rPr>
        <w:t xml:space="preserve"> NPs with different concentration (</w:t>
      </w:r>
      <w:r>
        <w:rPr>
          <w:rFonts w:ascii="Times New Roman" w:hAnsi="Times New Roman" w:cs="Times New Roman"/>
          <w:szCs w:val="21"/>
        </w:rPr>
        <w:t xml:space="preserve">each bar represents Mean ± SEM of </w:t>
      </w:r>
      <w:r>
        <w:rPr>
          <w:rFonts w:hint="eastAsia" w:ascii="Times New Roman" w:hAnsi="Times New Roman" w:cs="Times New Roman"/>
          <w:szCs w:val="21"/>
        </w:rPr>
        <w:t>three</w:t>
      </w:r>
      <w:r>
        <w:rPr>
          <w:rFonts w:ascii="Times New Roman" w:hAnsi="Times New Roman" w:cs="Times New Roman"/>
          <w:szCs w:val="21"/>
        </w:rPr>
        <w:t xml:space="preserve"> experiments</w:t>
      </w:r>
      <w:r>
        <w:rPr>
          <w:rFonts w:hint="eastAsia" w:ascii="Times New Roman" w:hAnsi="Times New Roman" w:cs="Times New Roman"/>
          <w:szCs w:val="21"/>
        </w:rPr>
        <w:t>).</w:t>
      </w:r>
    </w:p>
    <w:p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3566160" cy="3206750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66160" cy="3206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szCs w:val="21"/>
        </w:rPr>
      </w:pPr>
      <w:r>
        <w:rPr>
          <w:rFonts w:hint="eastAsia" w:ascii="Times New Roman" w:hAnsi="Times New Roman" w:cs="Times New Roman"/>
          <w:b/>
          <w:szCs w:val="21"/>
        </w:rPr>
        <w:t>Figure S12.</w:t>
      </w:r>
      <w:r>
        <w:rPr>
          <w:rFonts w:hint="eastAsia" w:ascii="Times New Roman" w:hAnsi="Times New Roman" w:cs="Times New Roman"/>
          <w:szCs w:val="21"/>
        </w:rPr>
        <w:t xml:space="preserve"> The </w:t>
      </w:r>
      <w:r>
        <w:rPr>
          <w:rFonts w:ascii="Times New Roman" w:hAnsi="Times New Roman" w:cs="Times New Roman"/>
          <w:szCs w:val="21"/>
        </w:rPr>
        <w:t>hemolysis</w:t>
      </w:r>
      <w:r>
        <w:rPr>
          <w:rFonts w:hint="eastAsia" w:ascii="Times New Roman" w:hAnsi="Times New Roman" w:cs="Times New Roman"/>
          <w:szCs w:val="21"/>
        </w:rPr>
        <w:t xml:space="preserve"> of PEPB</w:t>
      </w:r>
      <w:r>
        <w:rPr>
          <w:rFonts w:hint="eastAsia" w:ascii="Times New Roman" w:hAnsi="Times New Roman" w:cs="Times New Roman"/>
          <w:szCs w:val="21"/>
          <w:vertAlign w:val="subscript"/>
        </w:rPr>
        <w:t>64/22</w:t>
      </w:r>
      <w:r>
        <w:rPr>
          <w:rFonts w:hint="eastAsia" w:ascii="Times New Roman" w:hAnsi="Times New Roman" w:cs="Times New Roman"/>
          <w:szCs w:val="21"/>
        </w:rPr>
        <w:t xml:space="preserve"> NPs with different concentration (</w:t>
      </w:r>
      <w:r>
        <w:rPr>
          <w:rFonts w:ascii="Times New Roman" w:hAnsi="Times New Roman" w:cs="Times New Roman"/>
          <w:szCs w:val="21"/>
        </w:rPr>
        <w:t xml:space="preserve">each bar represents Mean ± SEM of </w:t>
      </w:r>
      <w:r>
        <w:rPr>
          <w:rFonts w:hint="eastAsia" w:ascii="Times New Roman" w:hAnsi="Times New Roman" w:cs="Times New Roman"/>
          <w:szCs w:val="21"/>
        </w:rPr>
        <w:t>three</w:t>
      </w:r>
      <w:r>
        <w:rPr>
          <w:rFonts w:ascii="Times New Roman" w:hAnsi="Times New Roman" w:cs="Times New Roman"/>
          <w:szCs w:val="21"/>
        </w:rPr>
        <w:t xml:space="preserve"> experiments</w:t>
      </w:r>
      <w:r>
        <w:rPr>
          <w:rFonts w:hint="eastAsia" w:ascii="Times New Roman" w:hAnsi="Times New Roman" w:cs="Times New Roman"/>
          <w:szCs w:val="21"/>
        </w:rPr>
        <w:t>).</w:t>
      </w:r>
    </w:p>
    <w:p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3566160" cy="3249295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66160" cy="3249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szCs w:val="21"/>
        </w:rPr>
      </w:pPr>
      <w:r>
        <w:rPr>
          <w:rFonts w:hint="eastAsia" w:ascii="Times New Roman" w:hAnsi="Times New Roman" w:cs="Times New Roman"/>
          <w:b/>
          <w:szCs w:val="21"/>
        </w:rPr>
        <w:t>Figure S13.</w:t>
      </w:r>
      <w:r>
        <w:rPr>
          <w:rFonts w:hint="eastAsia" w:ascii="Times New Roman" w:hAnsi="Times New Roman" w:cs="Times New Roman"/>
          <w:szCs w:val="21"/>
        </w:rPr>
        <w:t xml:space="preserve"> </w:t>
      </w:r>
      <w:bookmarkStart w:id="1" w:name="OLE_LINK1"/>
      <w:bookmarkStart w:id="2" w:name="OLE_LINK2"/>
      <w:r>
        <w:rPr>
          <w:rFonts w:ascii="Times New Roman" w:hAnsi="Times New Roman" w:cs="Times New Roman"/>
          <w:szCs w:val="21"/>
        </w:rPr>
        <w:t>The hemolysis of PEPB</w:t>
      </w:r>
      <w:r>
        <w:rPr>
          <w:rFonts w:hint="eastAsia" w:ascii="Times New Roman" w:hAnsi="Times New Roman" w:cs="Times New Roman"/>
          <w:szCs w:val="21"/>
          <w:vertAlign w:val="subscript"/>
        </w:rPr>
        <w:t>22</w:t>
      </w:r>
      <w:r>
        <w:rPr>
          <w:rFonts w:ascii="Times New Roman" w:hAnsi="Times New Roman" w:cs="Times New Roman"/>
          <w:szCs w:val="21"/>
          <w:vertAlign w:val="subscript"/>
        </w:rPr>
        <w:t>/</w:t>
      </w:r>
      <w:r>
        <w:rPr>
          <w:rFonts w:hint="eastAsia" w:ascii="Times New Roman" w:hAnsi="Times New Roman" w:cs="Times New Roman"/>
          <w:szCs w:val="21"/>
          <w:vertAlign w:val="subscript"/>
        </w:rPr>
        <w:t>68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hint="eastAsia" w:ascii="Times New Roman" w:hAnsi="Times New Roman" w:cs="Times New Roman"/>
          <w:szCs w:val="21"/>
        </w:rPr>
        <w:t xml:space="preserve">NPs </w:t>
      </w:r>
      <w:r>
        <w:rPr>
          <w:rFonts w:ascii="Times New Roman" w:hAnsi="Times New Roman" w:cs="Times New Roman"/>
          <w:szCs w:val="21"/>
        </w:rPr>
        <w:t>with different concentration (each bar represents Mean ± SEM of three experiments).</w:t>
      </w:r>
    </w:p>
    <w:bookmarkEnd w:id="1"/>
    <w:bookmarkEnd w:id="2"/>
    <w:p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3535680" cy="3072765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35680" cy="3072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szCs w:val="21"/>
        </w:rPr>
      </w:pPr>
      <w:r>
        <w:rPr>
          <w:rFonts w:hint="eastAsia" w:ascii="Times New Roman" w:hAnsi="Times New Roman" w:cs="Times New Roman"/>
          <w:b/>
          <w:szCs w:val="21"/>
        </w:rPr>
        <w:t>Figure S14.</w:t>
      </w:r>
      <w:r>
        <w:rPr>
          <w:rFonts w:hint="eastAsia"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The hemolysis of PEPB</w:t>
      </w:r>
      <w:r>
        <w:rPr>
          <w:rFonts w:hint="eastAsia" w:ascii="Times New Roman" w:hAnsi="Times New Roman" w:cs="Times New Roman"/>
          <w:szCs w:val="21"/>
          <w:vertAlign w:val="subscript"/>
        </w:rPr>
        <w:t>0</w:t>
      </w:r>
      <w:r>
        <w:rPr>
          <w:rFonts w:ascii="Times New Roman" w:hAnsi="Times New Roman" w:cs="Times New Roman"/>
          <w:szCs w:val="21"/>
          <w:vertAlign w:val="subscript"/>
        </w:rPr>
        <w:t>/</w:t>
      </w:r>
      <w:r>
        <w:rPr>
          <w:rFonts w:hint="eastAsia" w:ascii="Times New Roman" w:hAnsi="Times New Roman" w:cs="Times New Roman"/>
          <w:szCs w:val="21"/>
          <w:vertAlign w:val="subscript"/>
        </w:rPr>
        <w:t>70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hint="eastAsia" w:ascii="Times New Roman" w:hAnsi="Times New Roman" w:cs="Times New Roman"/>
          <w:szCs w:val="21"/>
        </w:rPr>
        <w:t xml:space="preserve">NPs </w:t>
      </w:r>
      <w:r>
        <w:rPr>
          <w:rFonts w:ascii="Times New Roman" w:hAnsi="Times New Roman" w:cs="Times New Roman"/>
          <w:szCs w:val="21"/>
        </w:rPr>
        <w:t>with different concentration (each bar represents Mean ± SEM of three experiments).</w:t>
      </w:r>
    </w:p>
    <w:p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1798320" cy="216408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98320" cy="2164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  <w:b/>
        </w:rPr>
        <w:t>Figure S15.</w:t>
      </w:r>
      <w:r>
        <w:rPr>
          <w:rFonts w:hint="eastAsia" w:ascii="Times New Roman" w:hAnsi="Times New Roman" w:cs="Times New Roman"/>
        </w:rPr>
        <w:t xml:space="preserve"> The zeta potential and PDI of PEPB</w:t>
      </w:r>
      <w:r>
        <w:rPr>
          <w:rFonts w:hint="eastAsia" w:ascii="Times New Roman" w:hAnsi="Times New Roman" w:cs="Times New Roman"/>
          <w:vertAlign w:val="subscript"/>
        </w:rPr>
        <w:t>36/35</w:t>
      </w:r>
      <w:r>
        <w:rPr>
          <w:rFonts w:hint="eastAsia" w:ascii="Times New Roman" w:hAnsi="Times New Roman" w:cs="Times New Roman"/>
        </w:rPr>
        <w:t>@TCS NPs.</w:t>
      </w:r>
    </w:p>
    <w:p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4072255" cy="2883535"/>
            <wp:effectExtent l="0" t="0" r="444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72255" cy="2883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  <w:b/>
        </w:rPr>
        <w:t>Figure S16.</w:t>
      </w:r>
      <w:r>
        <w:rPr>
          <w:rFonts w:hint="eastAsia" w:ascii="Times New Roman" w:hAnsi="Times New Roman" w:cs="Times New Roman"/>
        </w:rPr>
        <w:t xml:space="preserve"> The standard curve of TCS determined by </w:t>
      </w:r>
      <w:r>
        <w:rPr>
          <w:rFonts w:ascii="Times New Roman" w:hAnsi="Times New Roman" w:cs="Times New Roman"/>
        </w:rPr>
        <w:t>ultraviolet-visible spectrophotometer</w:t>
      </w:r>
      <w:r>
        <w:rPr>
          <w:rFonts w:hint="eastAsia" w:ascii="Times New Roman" w:hAnsi="Times New Roman" w:cs="Times New Roman"/>
        </w:rPr>
        <w:t xml:space="preserve"> at 282 nm.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  <w:b/>
        </w:rPr>
        <w:t>Table 1.</w:t>
      </w:r>
      <w:r>
        <w:rPr>
          <w:rFonts w:hint="eastAsia" w:ascii="Times New Roman" w:hAnsi="Times New Roman" w:cs="Times New Roman"/>
        </w:rPr>
        <w:t xml:space="preserve"> The MIC of PEPB</w:t>
      </w:r>
      <w:r>
        <w:rPr>
          <w:rFonts w:hint="eastAsia" w:ascii="Times New Roman" w:hAnsi="Times New Roman" w:cs="Times New Roman"/>
          <w:vertAlign w:val="subscript"/>
        </w:rPr>
        <w:t>36/35</w:t>
      </w:r>
      <w:r>
        <w:rPr>
          <w:rFonts w:hint="eastAsia" w:ascii="Times New Roman" w:hAnsi="Times New Roman" w:cs="Times New Roman"/>
        </w:rPr>
        <w:t xml:space="preserve">@TCS NPs under different pH </w:t>
      </w:r>
      <w:r>
        <w:rPr>
          <w:rFonts w:ascii="Times New Roman" w:hAnsi="Times New Roman" w:cs="Times New Roman"/>
        </w:rPr>
        <w:t>environment</w:t>
      </w:r>
      <w:r>
        <w:rPr>
          <w:rFonts w:hint="eastAsia" w:ascii="Times New Roman" w:hAnsi="Times New Roman" w:cs="Times New Roman"/>
        </w:rPr>
        <w:t>.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hint="eastAsia" w:ascii="Times New Roman" w:hAnsi="Times New Roman" w:cs="Times New Roman"/>
                <w:i/>
              </w:rPr>
              <w:t>MRSA</w:t>
            </w:r>
          </w:p>
        </w:tc>
        <w:tc>
          <w:tcPr>
            <w:tcW w:w="284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hint="eastAsia" w:ascii="Times New Roman" w:hAnsi="Times New Roman" w:cs="Times New Roman"/>
                <w:i/>
              </w:rPr>
              <w:t>MRSA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pH=7.4</w:t>
            </w:r>
          </w:p>
        </w:tc>
        <w:tc>
          <w:tcPr>
            <w:tcW w:w="284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pH=5.6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TCS</w:t>
            </w:r>
          </w:p>
        </w:tc>
        <w:tc>
          <w:tcPr>
            <w:tcW w:w="2841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 xml:space="preserve">0.125 </w:t>
            </w:r>
            <w:r>
              <w:rPr>
                <w:rFonts w:ascii="Times New Roman" w:hAnsi="Times New Roman" w:cs="Times New Roman"/>
              </w:rPr>
              <w:t>µ</w:t>
            </w:r>
            <w:r>
              <w:rPr>
                <w:rFonts w:hint="eastAsia" w:ascii="Times New Roman" w:hAnsi="Times New Roman" w:cs="Times New Roman"/>
              </w:rPr>
              <w:t>g/mL</w:t>
            </w:r>
          </w:p>
        </w:tc>
        <w:tc>
          <w:tcPr>
            <w:tcW w:w="2841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 xml:space="preserve">0.125 </w:t>
            </w:r>
            <w:r>
              <w:rPr>
                <w:rFonts w:ascii="Times New Roman" w:hAnsi="Times New Roman" w:cs="Times New Roman"/>
              </w:rPr>
              <w:t>µ</w:t>
            </w:r>
            <w:r>
              <w:rPr>
                <w:rFonts w:hint="eastAsia" w:ascii="Times New Roman" w:hAnsi="Times New Roman" w:cs="Times New Roman"/>
              </w:rPr>
              <w:t>g/mL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PEPB</w:t>
            </w:r>
            <w:r>
              <w:rPr>
                <w:rFonts w:hint="eastAsia" w:ascii="Times New Roman" w:hAnsi="Times New Roman" w:cs="Times New Roman"/>
                <w:vertAlign w:val="subscript"/>
              </w:rPr>
              <w:t>36/35</w:t>
            </w:r>
            <w:r>
              <w:rPr>
                <w:rFonts w:hint="eastAsia" w:ascii="Times New Roman" w:hAnsi="Times New Roman" w:cs="Times New Roman"/>
              </w:rPr>
              <w:t>@TCS NPs</w:t>
            </w:r>
          </w:p>
        </w:tc>
        <w:tc>
          <w:tcPr>
            <w:tcW w:w="2841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0.25 µg/mL</w:t>
            </w:r>
          </w:p>
        </w:tc>
        <w:tc>
          <w:tcPr>
            <w:tcW w:w="2841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0.125 µ</w:t>
            </w:r>
            <w:r>
              <w:rPr>
                <w:rFonts w:ascii="Times New Roman" w:hAnsi="Times New Roman" w:cs="Times New Roman"/>
              </w:rPr>
              <w:t>g/mL</w:t>
            </w:r>
          </w:p>
        </w:tc>
      </w:tr>
    </w:tbl>
    <w:p>
      <w:pPr>
        <w:rPr>
          <w:rFonts w:ascii="Times New Roman" w:hAnsi="Times New Roman" w:cs="Times New Roman"/>
        </w:rPr>
      </w:pPr>
    </w:p>
    <w:p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i1026" o:spt="75" type="#_x0000_t75" style="height:219.45pt;width:355.3pt;" filled="f" o:preferrelative="t" stroked="f" coordsize="21600,21600">
            <v:path/>
            <v:fill on="f" focussize="0,0"/>
            <v:stroke on="f" joinstyle="miter"/>
            <v:imagedata r:id="rId20" o:title="Figure-7"/>
            <o:lock v:ext="edit" aspectratio="t"/>
            <w10:wrap type="none"/>
            <w10:anchorlock/>
          </v:shape>
        </w:pict>
      </w:r>
    </w:p>
    <w:p>
      <w:pPr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  <w:b/>
        </w:rPr>
        <w:t xml:space="preserve">Figure S17. </w:t>
      </w:r>
      <w:r>
        <w:rPr>
          <w:rFonts w:ascii="Times New Roman" w:hAnsi="Times New Roman" w:cs="Times New Roman"/>
        </w:rPr>
        <w:t>H&amp;E staining of</w:t>
      </w:r>
      <w:r>
        <w:rPr>
          <w:rFonts w:hint="eastAsia" w:ascii="Times New Roman" w:hAnsi="Times New Roman" w:cs="Times New Roman"/>
        </w:rPr>
        <w:t xml:space="preserve"> main organs.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k2ZGMyMmI0NDRhMTU1M2JjZDY0MWM4NTNmYmQ5M2UifQ=="/>
  </w:docVars>
  <w:rsids>
    <w:rsidRoot w:val="00F41E7B"/>
    <w:rsid w:val="00021037"/>
    <w:rsid w:val="00023F70"/>
    <w:rsid w:val="000349DC"/>
    <w:rsid w:val="00044E2B"/>
    <w:rsid w:val="0006314B"/>
    <w:rsid w:val="000679BD"/>
    <w:rsid w:val="000A7B94"/>
    <w:rsid w:val="000B33C0"/>
    <w:rsid w:val="000D229F"/>
    <w:rsid w:val="000E4152"/>
    <w:rsid w:val="00110DA3"/>
    <w:rsid w:val="00125420"/>
    <w:rsid w:val="00137777"/>
    <w:rsid w:val="001740FF"/>
    <w:rsid w:val="00187134"/>
    <w:rsid w:val="001E3331"/>
    <w:rsid w:val="00255044"/>
    <w:rsid w:val="00282F6A"/>
    <w:rsid w:val="002D2C4A"/>
    <w:rsid w:val="002E3261"/>
    <w:rsid w:val="00311714"/>
    <w:rsid w:val="0032607E"/>
    <w:rsid w:val="00337446"/>
    <w:rsid w:val="00361526"/>
    <w:rsid w:val="00374A3C"/>
    <w:rsid w:val="00381F02"/>
    <w:rsid w:val="00385423"/>
    <w:rsid w:val="0039400F"/>
    <w:rsid w:val="003D29DF"/>
    <w:rsid w:val="00405E9C"/>
    <w:rsid w:val="0044408F"/>
    <w:rsid w:val="00454E7B"/>
    <w:rsid w:val="00473297"/>
    <w:rsid w:val="00482C32"/>
    <w:rsid w:val="00485C21"/>
    <w:rsid w:val="00486E82"/>
    <w:rsid w:val="00491813"/>
    <w:rsid w:val="004B1A71"/>
    <w:rsid w:val="004C5344"/>
    <w:rsid w:val="004F0A6E"/>
    <w:rsid w:val="00506F1E"/>
    <w:rsid w:val="00580114"/>
    <w:rsid w:val="005A117A"/>
    <w:rsid w:val="005C6985"/>
    <w:rsid w:val="006A34E7"/>
    <w:rsid w:val="006A6196"/>
    <w:rsid w:val="006C01ED"/>
    <w:rsid w:val="006E47EC"/>
    <w:rsid w:val="006E4BD8"/>
    <w:rsid w:val="00711E26"/>
    <w:rsid w:val="007144C1"/>
    <w:rsid w:val="00733A8B"/>
    <w:rsid w:val="00750CEF"/>
    <w:rsid w:val="00752B3B"/>
    <w:rsid w:val="007823B8"/>
    <w:rsid w:val="00787DBF"/>
    <w:rsid w:val="007C6627"/>
    <w:rsid w:val="007D301A"/>
    <w:rsid w:val="007F1FCE"/>
    <w:rsid w:val="00805CF0"/>
    <w:rsid w:val="00810968"/>
    <w:rsid w:val="008816E6"/>
    <w:rsid w:val="0088349D"/>
    <w:rsid w:val="00916C3A"/>
    <w:rsid w:val="009305EF"/>
    <w:rsid w:val="00960E73"/>
    <w:rsid w:val="0097605C"/>
    <w:rsid w:val="00976083"/>
    <w:rsid w:val="00991148"/>
    <w:rsid w:val="00992E79"/>
    <w:rsid w:val="009B5484"/>
    <w:rsid w:val="009C6D9A"/>
    <w:rsid w:val="009C7A0C"/>
    <w:rsid w:val="00A83BB1"/>
    <w:rsid w:val="00AC63C0"/>
    <w:rsid w:val="00B040C1"/>
    <w:rsid w:val="00B178F4"/>
    <w:rsid w:val="00B45C95"/>
    <w:rsid w:val="00B50822"/>
    <w:rsid w:val="00B51258"/>
    <w:rsid w:val="00B60E92"/>
    <w:rsid w:val="00B63AD0"/>
    <w:rsid w:val="00B92500"/>
    <w:rsid w:val="00B9363A"/>
    <w:rsid w:val="00BB4B6F"/>
    <w:rsid w:val="00C268B0"/>
    <w:rsid w:val="00C34883"/>
    <w:rsid w:val="00C34E8C"/>
    <w:rsid w:val="00C875EE"/>
    <w:rsid w:val="00C91F77"/>
    <w:rsid w:val="00CA24FC"/>
    <w:rsid w:val="00CA733B"/>
    <w:rsid w:val="00D76E41"/>
    <w:rsid w:val="00DB424C"/>
    <w:rsid w:val="00DF20F3"/>
    <w:rsid w:val="00DF715D"/>
    <w:rsid w:val="00E1166C"/>
    <w:rsid w:val="00E37233"/>
    <w:rsid w:val="00E6292F"/>
    <w:rsid w:val="00EA5DCC"/>
    <w:rsid w:val="00EB3336"/>
    <w:rsid w:val="00EC5897"/>
    <w:rsid w:val="00EC74E6"/>
    <w:rsid w:val="00F11F30"/>
    <w:rsid w:val="00F41E7B"/>
    <w:rsid w:val="00F42051"/>
    <w:rsid w:val="00F50702"/>
    <w:rsid w:val="00F71D4A"/>
    <w:rsid w:val="00F847B4"/>
    <w:rsid w:val="00F910D6"/>
    <w:rsid w:val="75B52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itle"/>
    <w:basedOn w:val="1"/>
    <w:next w:val="1"/>
    <w:link w:val="13"/>
    <w:qFormat/>
    <w:uiPriority w:val="0"/>
    <w:pPr>
      <w:widowControl/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kern w:val="0"/>
      <w:sz w:val="32"/>
      <w:szCs w:val="32"/>
      <w:lang w:eastAsia="en-US"/>
    </w:rPr>
  </w:style>
  <w:style w:type="table" w:styleId="7">
    <w:name w:val="Table Grid"/>
    <w:basedOn w:val="6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qFormat/>
    <w:uiPriority w:val="0"/>
    <w:rPr>
      <w:color w:val="0000FF"/>
      <w:u w:val="single"/>
    </w:rPr>
  </w:style>
  <w:style w:type="character" w:customStyle="1" w:styleId="10">
    <w:name w:val="页眉 Char"/>
    <w:basedOn w:val="8"/>
    <w:link w:val="4"/>
    <w:uiPriority w:val="99"/>
    <w:rPr>
      <w:sz w:val="18"/>
      <w:szCs w:val="18"/>
    </w:rPr>
  </w:style>
  <w:style w:type="character" w:customStyle="1" w:styleId="11">
    <w:name w:val="页脚 Char"/>
    <w:basedOn w:val="8"/>
    <w:link w:val="3"/>
    <w:uiPriority w:val="99"/>
    <w:rPr>
      <w:sz w:val="18"/>
      <w:szCs w:val="18"/>
    </w:rPr>
  </w:style>
  <w:style w:type="character" w:customStyle="1" w:styleId="12">
    <w:name w:val="批注框文本 Char"/>
    <w:basedOn w:val="8"/>
    <w:link w:val="2"/>
    <w:semiHidden/>
    <w:qFormat/>
    <w:uiPriority w:val="99"/>
    <w:rPr>
      <w:sz w:val="18"/>
      <w:szCs w:val="18"/>
    </w:rPr>
  </w:style>
  <w:style w:type="character" w:customStyle="1" w:styleId="13">
    <w:name w:val="标题 Char"/>
    <w:basedOn w:val="8"/>
    <w:link w:val="5"/>
    <w:qFormat/>
    <w:uiPriority w:val="0"/>
    <w:rPr>
      <w:rFonts w:eastAsia="宋体" w:asciiTheme="majorHAnsi" w:hAnsiTheme="majorHAnsi" w:cstheme="majorBidi"/>
      <w:b/>
      <w:bCs/>
      <w:kern w:val="0"/>
      <w:sz w:val="32"/>
      <w:szCs w:val="32"/>
      <w:lang w:eastAsia="en-US"/>
    </w:rPr>
  </w:style>
  <w:style w:type="paragraph" w:customStyle="1" w:styleId="14">
    <w:name w:val="RSC B01 ART Abstract"/>
    <w:basedOn w:val="1"/>
    <w:qFormat/>
    <w:uiPriority w:val="0"/>
    <w:pPr>
      <w:widowControl/>
      <w:spacing w:after="200" w:line="240" w:lineRule="exact"/>
    </w:pPr>
    <w:rPr>
      <w:kern w:val="0"/>
      <w:sz w:val="16"/>
      <w:lang w:val="en-GB" w:eastAsia="en-GB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1" Type="http://schemas.openxmlformats.org/officeDocument/2006/relationships/fontTable" Target="fontTable.xml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409</Words>
  <Characters>2334</Characters>
  <Lines>19</Lines>
  <Paragraphs>5</Paragraphs>
  <TotalTime>0</TotalTime>
  <ScaleCrop>false</ScaleCrop>
  <LinksUpToDate>false</LinksUpToDate>
  <CharactersWithSpaces>2711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2021-05-05T01:40:00Z</dcterms:created>
  <dc:creator>王长荣</dc:creator>
  <cp:lastModifiedBy>刘金剑</cp:lastModifiedBy>
  <dcterms:modified xsi:type="dcterms:W3CDTF">2022-08-30T02:48:30Z</dcterms:modified>
  <cp:revision>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237A7C7EEAF54D539C30468115A1964D</vt:lpwstr>
  </property>
</Properties>
</file>