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EB59" w14:textId="77777777" w:rsidR="007F20CB" w:rsidRPr="006F4BC7" w:rsidRDefault="007F20CB" w:rsidP="006F4BC7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6F4BC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Highlights</w:t>
      </w:r>
    </w:p>
    <w:p w14:paraId="77B3379D" w14:textId="77777777" w:rsidR="00DA2D04" w:rsidRPr="006F4BC7" w:rsidRDefault="007F20CB" w:rsidP="006F4BC7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new </w:t>
      </w:r>
      <w:r w:rsidR="00DA2D04"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framework </w:t>
      </w:r>
      <w:r w:rsidR="00E94568"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 introduced </w:t>
      </w:r>
      <w:r w:rsidR="00DA2D04" w:rsidRPr="006F4BC7">
        <w:rPr>
          <w:rFonts w:asciiTheme="majorBidi" w:hAnsiTheme="majorBidi" w:cstheme="majorBidi"/>
          <w:color w:val="000000" w:themeColor="text1"/>
          <w:sz w:val="24"/>
          <w:szCs w:val="24"/>
        </w:rPr>
        <w:t>to evaluate HSE performance of small and medium size enterprises.</w:t>
      </w:r>
    </w:p>
    <w:p w14:paraId="31697DAB" w14:textId="77777777" w:rsidR="00DA2D04" w:rsidRPr="006F4BC7" w:rsidRDefault="00E94568" w:rsidP="006F4BC7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>Resilient, Green and Healthy (</w:t>
      </w:r>
      <w:r w:rsidR="00DA2D04" w:rsidRPr="006F4BC7">
        <w:rPr>
          <w:rFonts w:asciiTheme="majorBidi" w:hAnsiTheme="majorBidi" w:cstheme="majorBidi"/>
          <w:color w:val="000000" w:themeColor="text1"/>
          <w:sz w:val="24"/>
          <w:szCs w:val="24"/>
        </w:rPr>
        <w:t>RGH</w:t>
      </w: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DA2D04"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index </w:t>
      </w: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 developed as a new tool for ranking and selecting the </w:t>
      </w:r>
      <w:r w:rsidR="00DA2D04" w:rsidRPr="006F4BC7">
        <w:rPr>
          <w:rFonts w:asciiTheme="majorBidi" w:hAnsiTheme="majorBidi" w:cstheme="majorBidi"/>
          <w:color w:val="000000" w:themeColor="text1"/>
          <w:sz w:val="24"/>
          <w:szCs w:val="24"/>
        </w:rPr>
        <w:t>resilient and sustainable suppliers</w:t>
      </w: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3706D7DF" w14:textId="52B0FC4F" w:rsidR="009772E9" w:rsidRPr="006F4BC7" w:rsidRDefault="00E94568" w:rsidP="006F4BC7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hybrid </w:t>
      </w:r>
      <w:r w:rsidR="006F4BC7" w:rsidRPr="0033096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  <w:t>Multi-Criteria Decision Method</w:t>
      </w:r>
      <w:r w:rsidR="006F4BC7"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F4BC7"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>MCDM</w:t>
      </w:r>
      <w:r w:rsidR="006F4BC7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approach is formulated.</w:t>
      </w:r>
      <w:r w:rsidR="007F20CB" w:rsidRPr="006F4BC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1C945C2F" w14:textId="77777777" w:rsidR="00E94568" w:rsidRPr="006F4BC7" w:rsidRDefault="00E94568" w:rsidP="006F4BC7">
      <w:pPr>
        <w:numPr>
          <w:ilvl w:val="0"/>
          <w:numId w:val="2"/>
        </w:num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6F4BC7">
        <w:rPr>
          <w:rFonts w:asciiTheme="majorBidi" w:hAnsiTheme="majorBidi" w:cstheme="majorBidi"/>
          <w:color w:val="000000" w:themeColor="text1"/>
          <w:sz w:val="24"/>
          <w:szCs w:val="24"/>
        </w:rPr>
        <w:t>The applicability of the developed RGH index is proved via a case study.</w:t>
      </w:r>
    </w:p>
    <w:sectPr w:rsidR="00E94568" w:rsidRPr="006F4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86B63"/>
    <w:multiLevelType w:val="hybridMultilevel"/>
    <w:tmpl w:val="267E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752F3"/>
    <w:multiLevelType w:val="hybridMultilevel"/>
    <w:tmpl w:val="F670E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9202053">
    <w:abstractNumId w:val="1"/>
  </w:num>
  <w:num w:numId="2" w16cid:durableId="78291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37"/>
    <w:rsid w:val="002167C0"/>
    <w:rsid w:val="004D0537"/>
    <w:rsid w:val="005154AB"/>
    <w:rsid w:val="005813CE"/>
    <w:rsid w:val="006F4BC7"/>
    <w:rsid w:val="007F20CB"/>
    <w:rsid w:val="00856DAD"/>
    <w:rsid w:val="009772E9"/>
    <w:rsid w:val="00C65C3A"/>
    <w:rsid w:val="00D22B8F"/>
    <w:rsid w:val="00DA2D04"/>
    <w:rsid w:val="00E9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B437C64"/>
  <w15:chartTrackingRefBased/>
  <w15:docId w15:val="{635FF093-95B5-4DCD-942D-F1108A5B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F2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F20C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F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2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7</cp:revision>
  <dcterms:created xsi:type="dcterms:W3CDTF">2021-05-04T17:36:00Z</dcterms:created>
  <dcterms:modified xsi:type="dcterms:W3CDTF">2022-09-08T15:55:00Z</dcterms:modified>
</cp:coreProperties>
</file>