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7A31D" w14:textId="30E2DCE5" w:rsidR="003A4695" w:rsidRPr="003F1FA4" w:rsidRDefault="003F1FA4">
      <w:pPr>
        <w:rPr>
          <w:rFonts w:ascii="Times New Roman" w:hAnsi="Times New Roman" w:cs="Times New Roman"/>
          <w:b/>
          <w:bCs/>
          <w:sz w:val="24"/>
          <w:szCs w:val="24"/>
        </w:rPr>
      </w:pPr>
      <w:r w:rsidRPr="003F1FA4">
        <w:rPr>
          <w:rFonts w:ascii="Times New Roman" w:hAnsi="Times New Roman" w:cs="Times New Roman"/>
          <w:b/>
          <w:bCs/>
          <w:sz w:val="24"/>
          <w:szCs w:val="24"/>
        </w:rPr>
        <w:t>Supplementary Figure 3: Association of Antivirals Use with Mortality and Organ Dysfunction after Bootstrapping</w:t>
      </w:r>
    </w:p>
    <w:p w14:paraId="7C0C775F" w14:textId="3CAC8159" w:rsidR="003F1FA4" w:rsidRDefault="003F1FA4" w:rsidP="003F1FA4">
      <w:pPr>
        <w:rPr>
          <w:rFonts w:ascii="Times New Roman" w:hAnsi="Times New Roman" w:cs="Times New Roman"/>
          <w:szCs w:val="24"/>
        </w:rPr>
      </w:pPr>
      <w:r>
        <w:rPr>
          <w:rFonts w:ascii="Times New Roman" w:hAnsi="Times New Roman" w:cs="Times New Roman"/>
          <w:szCs w:val="24"/>
        </w:rPr>
        <w:t xml:space="preserve">Legend: (a) Association between Nirmatrelvir-Ritonavir and Molnupiravir Use, All-Cause Mortality, and Major Organ Dysfunction Events </w:t>
      </w:r>
      <w:r>
        <w:rPr>
          <w:rFonts w:ascii="Times New Roman" w:hAnsi="Times New Roman" w:cs="Times New Roman"/>
          <w:szCs w:val="24"/>
        </w:rPr>
        <w:t xml:space="preserve">after Bootstrapping, </w:t>
      </w:r>
      <w:r>
        <w:rPr>
          <w:rFonts w:ascii="Times New Roman" w:hAnsi="Times New Roman" w:cs="Times New Roman"/>
          <w:szCs w:val="24"/>
        </w:rPr>
        <w:t>in 17.704 Hospitalized Patients Infected with Omicron Variant of SARS-CoV-2; (b) Association between Nirmatrelvir-Ritonavir and Molnupiravir Use, All-Cause and Respiratory Mortality</w:t>
      </w:r>
      <w:r>
        <w:rPr>
          <w:rFonts w:ascii="Times New Roman" w:hAnsi="Times New Roman" w:cs="Times New Roman"/>
          <w:szCs w:val="24"/>
        </w:rPr>
        <w:t xml:space="preserve"> after Bootstrapping</w:t>
      </w:r>
      <w:r>
        <w:rPr>
          <w:rFonts w:ascii="Times New Roman" w:hAnsi="Times New Roman" w:cs="Times New Roman"/>
          <w:szCs w:val="24"/>
        </w:rPr>
        <w:t xml:space="preserve">, Stratified by Age, Sex, SDI and Diabetes. </w:t>
      </w:r>
    </w:p>
    <w:p w14:paraId="054C6E47" w14:textId="77777777" w:rsidR="003F1FA4" w:rsidRDefault="003F1FA4" w:rsidP="003F1FA4">
      <w:pPr>
        <w:rPr>
          <w:rFonts w:ascii="Times New Roman" w:hAnsi="Times New Roman" w:cs="Times New Roman"/>
          <w:szCs w:val="24"/>
        </w:rPr>
      </w:pPr>
      <w:r>
        <w:rPr>
          <w:rFonts w:ascii="Times New Roman" w:hAnsi="Times New Roman" w:cs="Times New Roman"/>
          <w:szCs w:val="24"/>
        </w:rPr>
        <w:t>Abbreviations: IRD: Incidence Rate Difference; HR: Hazard Ratio; SDI: Social Deprivation Index.</w:t>
      </w:r>
    </w:p>
    <w:p w14:paraId="602F4985" w14:textId="77777777" w:rsidR="003F1FA4" w:rsidRDefault="003F1FA4" w:rsidP="003F1FA4">
      <w:pPr>
        <w:rPr>
          <w:rFonts w:ascii="Times New Roman" w:hAnsi="Times New Roman" w:cs="Times New Roman"/>
          <w:szCs w:val="24"/>
        </w:rPr>
      </w:pPr>
      <w:r>
        <w:rPr>
          <w:rFonts w:ascii="Times New Roman" w:hAnsi="Times New Roman" w:cs="Times New Roman"/>
          <w:szCs w:val="24"/>
        </w:rPr>
        <w:t>Weighted incidence rate differences comparing Nirmatrelvir-Ritonavir and Molnupiravir Users to non-users after inverse probability weighting was applied.</w:t>
      </w:r>
      <w:r>
        <w:rPr>
          <w:rFonts w:ascii="Times New Roman" w:hAnsi="Times New Roman" w:cs="Times New Roman"/>
          <w:szCs w:val="24"/>
        </w:rPr>
        <w:br/>
        <w:t>Composite: Time to first circulatory shock, respiratory failure, coagulopathy, acute kidney injury and acute liver impairment. There were fewer composite events compared with total individual events, as participants were censored at first event of interest.</w:t>
      </w:r>
    </w:p>
    <w:p w14:paraId="3CBE7A84" w14:textId="301FE528" w:rsidR="003F1FA4" w:rsidRDefault="003F1FA4" w:rsidP="003F1FA4">
      <w:pPr>
        <w:rPr>
          <w:rFonts w:ascii="Times New Roman" w:hAnsi="Times New Roman" w:cs="Times New Roman"/>
          <w:b/>
          <w:bCs/>
          <w:sz w:val="24"/>
          <w:szCs w:val="24"/>
        </w:rPr>
      </w:pPr>
      <w:r w:rsidRPr="003F1FA4">
        <w:rPr>
          <w:rFonts w:ascii="Times New Roman" w:hAnsi="Times New Roman" w:cs="Times New Roman"/>
          <w:b/>
          <w:bCs/>
          <w:sz w:val="24"/>
          <w:szCs w:val="24"/>
        </w:rPr>
        <w:t xml:space="preserve">Supplementary Figure </w:t>
      </w:r>
      <w:r>
        <w:rPr>
          <w:rFonts w:ascii="Times New Roman" w:hAnsi="Times New Roman" w:cs="Times New Roman"/>
          <w:b/>
          <w:bCs/>
          <w:sz w:val="24"/>
          <w:szCs w:val="24"/>
        </w:rPr>
        <w:t>4</w:t>
      </w:r>
      <w:r w:rsidRPr="003F1FA4">
        <w:rPr>
          <w:rFonts w:ascii="Times New Roman" w:hAnsi="Times New Roman" w:cs="Times New Roman"/>
          <w:b/>
          <w:bCs/>
          <w:sz w:val="24"/>
          <w:szCs w:val="24"/>
        </w:rPr>
        <w:t>: Association of Antivirals Use with Organ Dysfunction after Bootstrapping</w:t>
      </w:r>
      <w:r>
        <w:rPr>
          <w:rFonts w:ascii="Times New Roman" w:hAnsi="Times New Roman" w:cs="Times New Roman"/>
          <w:b/>
          <w:bCs/>
          <w:sz w:val="24"/>
          <w:szCs w:val="24"/>
        </w:rPr>
        <w:t>, Stratified by Age, Sex, SDI and Diabetes</w:t>
      </w:r>
    </w:p>
    <w:p w14:paraId="6896076E" w14:textId="773D968B" w:rsidR="003F1FA4" w:rsidRDefault="003F1FA4" w:rsidP="003F1FA4">
      <w:pPr>
        <w:rPr>
          <w:rFonts w:ascii="Times New Roman" w:hAnsi="Times New Roman" w:cs="Times New Roman"/>
          <w:szCs w:val="24"/>
        </w:rPr>
      </w:pPr>
      <w:r>
        <w:rPr>
          <w:rFonts w:ascii="Times New Roman" w:hAnsi="Times New Roman" w:cs="Times New Roman"/>
          <w:szCs w:val="24"/>
        </w:rPr>
        <w:t xml:space="preserve">Legend: (a) Association between Nirmatrelvir-Ritonavir and Major Organ Dysfunction Events </w:t>
      </w:r>
      <w:r w:rsidR="00C37C33">
        <w:rPr>
          <w:rFonts w:ascii="Times New Roman" w:hAnsi="Times New Roman" w:cs="Times New Roman"/>
          <w:szCs w:val="24"/>
        </w:rPr>
        <w:t xml:space="preserve">after Bootstrapping, </w:t>
      </w:r>
      <w:r>
        <w:rPr>
          <w:rFonts w:ascii="Times New Roman" w:hAnsi="Times New Roman" w:cs="Times New Roman"/>
          <w:szCs w:val="24"/>
        </w:rPr>
        <w:t xml:space="preserve">in Hospitalized Patients Infected with Omicron Variant of SARS-CoV-2; (b) Association between Molnupiravir and Major Organ Dysfunction Events </w:t>
      </w:r>
      <w:r w:rsidR="00C37C33">
        <w:rPr>
          <w:rFonts w:ascii="Times New Roman" w:hAnsi="Times New Roman" w:cs="Times New Roman"/>
          <w:szCs w:val="24"/>
        </w:rPr>
        <w:t xml:space="preserve">after Bootstrapping, </w:t>
      </w:r>
      <w:r>
        <w:rPr>
          <w:rFonts w:ascii="Times New Roman" w:hAnsi="Times New Roman" w:cs="Times New Roman"/>
          <w:szCs w:val="24"/>
        </w:rPr>
        <w:t>in Hospitalized Patients Infected with Omicron Variant of SARS-CoV-2.</w:t>
      </w:r>
    </w:p>
    <w:p w14:paraId="5EA7EFA2" w14:textId="77777777" w:rsidR="003F1FA4" w:rsidRDefault="003F1FA4" w:rsidP="003F1FA4">
      <w:pPr>
        <w:rPr>
          <w:rFonts w:ascii="Times New Roman" w:hAnsi="Times New Roman" w:cs="Times New Roman"/>
          <w:szCs w:val="24"/>
        </w:rPr>
      </w:pPr>
      <w:r>
        <w:rPr>
          <w:rFonts w:ascii="Times New Roman" w:hAnsi="Times New Roman" w:cs="Times New Roman"/>
          <w:szCs w:val="24"/>
        </w:rPr>
        <w:t>Abbreviations: IRD: Incidence Rate Difference; HR: Hazard Ratio; SDI: Social Deprivation Index.</w:t>
      </w:r>
    </w:p>
    <w:p w14:paraId="6BA11089" w14:textId="77777777" w:rsidR="003F1FA4" w:rsidRDefault="003F1FA4" w:rsidP="003F1FA4">
      <w:pPr>
        <w:rPr>
          <w:rFonts w:ascii="Times New Roman" w:hAnsi="Times New Roman" w:cs="Times New Roman"/>
          <w:szCs w:val="24"/>
        </w:rPr>
      </w:pPr>
      <w:r>
        <w:rPr>
          <w:rFonts w:ascii="Times New Roman" w:hAnsi="Times New Roman" w:cs="Times New Roman"/>
          <w:szCs w:val="24"/>
        </w:rPr>
        <w:t>Weighted incidence rate differences comparing Nirmatrelvir-Ritonavir and Molnupiravir Users to non-users after inverse probability weighting was applied.</w:t>
      </w:r>
      <w:r>
        <w:rPr>
          <w:rFonts w:ascii="Times New Roman" w:hAnsi="Times New Roman" w:cs="Times New Roman"/>
          <w:szCs w:val="24"/>
        </w:rPr>
        <w:br/>
        <w:t>Composite: Time to first circulatory shock, respiratory failure, coagulopathy, acute kidney injury and acute liver impairment. There were fewer composite events compared with total individual events, as participants were censored at first event of interest.</w:t>
      </w:r>
    </w:p>
    <w:p w14:paraId="52A6EB19" w14:textId="77777777" w:rsidR="003F1FA4" w:rsidRPr="003F1FA4" w:rsidRDefault="003F1FA4" w:rsidP="003F1FA4">
      <w:pPr>
        <w:rPr>
          <w:rFonts w:ascii="Times New Roman" w:hAnsi="Times New Roman" w:cs="Times New Roman"/>
          <w:b/>
          <w:bCs/>
          <w:sz w:val="24"/>
          <w:szCs w:val="24"/>
        </w:rPr>
      </w:pPr>
    </w:p>
    <w:p w14:paraId="0A41093F" w14:textId="77777777" w:rsidR="003F1FA4" w:rsidRPr="003F1FA4" w:rsidRDefault="003F1FA4">
      <w:pPr>
        <w:rPr>
          <w:rFonts w:ascii="Times New Roman" w:hAnsi="Times New Roman" w:cs="Times New Roman"/>
          <w:sz w:val="24"/>
          <w:szCs w:val="24"/>
        </w:rPr>
      </w:pPr>
    </w:p>
    <w:sectPr w:rsidR="003F1FA4" w:rsidRPr="003F1F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731"/>
    <w:rsid w:val="003A4695"/>
    <w:rsid w:val="003F1FA4"/>
    <w:rsid w:val="00A80731"/>
    <w:rsid w:val="00C37C33"/>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32FAE"/>
  <w15:chartTrackingRefBased/>
  <w15:docId w15:val="{4AD02709-8CDA-454B-BC5B-AE58EA7F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HK"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Tai Loy Teddy</dc:creator>
  <cp:keywords/>
  <dc:description/>
  <cp:lastModifiedBy>Lee Tai Loy Teddy</cp:lastModifiedBy>
  <cp:revision>3</cp:revision>
  <dcterms:created xsi:type="dcterms:W3CDTF">2022-10-19T14:37:00Z</dcterms:created>
  <dcterms:modified xsi:type="dcterms:W3CDTF">2022-10-19T14:46:00Z</dcterms:modified>
</cp:coreProperties>
</file>