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iCs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600700" cy="1466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Suppl. Fig. S1:</w:t>
      </w:r>
      <w:r>
        <w:rPr>
          <w:rFonts w:ascii="Arial" w:hAnsi="Arial" w:cs="Arial"/>
          <w:b/>
          <w:sz w:val="18"/>
          <w:szCs w:val="18"/>
          <w:lang w:val="en-GB"/>
        </w:rPr>
        <w:t xml:space="preserve"> Cox proportional hazards regression model </w:t>
      </w:r>
      <w:r>
        <w:rPr>
          <w:rFonts w:ascii="Arial" w:hAnsi="Arial" w:cs="Arial"/>
          <w:bCs/>
          <w:sz w:val="18"/>
          <w:szCs w:val="18"/>
          <w:lang w:val="en-GB"/>
        </w:rPr>
        <w:t>including cell line and KD condition as predictors to obtain cell line-adjusted effects of the ITGB4 knockdown condition</w:t>
      </w:r>
      <w:r>
        <w:rPr>
          <w:rFonts w:ascii="Arial" w:hAnsi="Arial" w:cs="Arial"/>
          <w:bCs/>
          <w:sz w:val="18"/>
          <w:szCs w:val="18"/>
        </w:rPr>
        <w:t xml:space="preserve"> on mouse survival (experiments shown in Fig. 1B and Fig. 2A-B). (Suppl. Fig.  S1).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D1398" w:rsidRDefault="00AD1398"/>
    <w:p w:rsidR="00500D5C" w:rsidRDefault="00500D5C"/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iCs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972175" cy="3257550"/>
            <wp:effectExtent l="0" t="0" r="9525" b="0"/>
            <wp:docPr id="2" name="Picture 2" descr="Ein Bild, das Text, Briefpap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5" descr="Ein Bild, das Text, Briefpapier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b/>
          <w:iCs/>
          <w:sz w:val="18"/>
          <w:szCs w:val="18"/>
        </w:rPr>
        <w:t xml:space="preserve">Suppl. Fig. S2: Western Blot analyses of PC-3 xenograft tumor samples. </w:t>
      </w:r>
      <w:r>
        <w:rPr>
          <w:rFonts w:ascii="Arial" w:hAnsi="Arial" w:cs="Arial"/>
          <w:iCs/>
          <w:sz w:val="18"/>
          <w:szCs w:val="18"/>
        </w:rPr>
        <w:t xml:space="preserve">Exemplary Western Blot images and corresponding quantification of cell cycle- and survival-related protein levels relative to HSC70. Proteins were extracted from PC-3 xenograft tumors from the experiment shown in Fig. 1B. The combination group (shITGB4/KO) is missing since in this group only one mouse developed a xenograft tumor. Bar charts represent </w:t>
      </w:r>
      <w:proofErr w:type="spellStart"/>
      <w:r>
        <w:rPr>
          <w:rFonts w:ascii="Arial" w:hAnsi="Arial" w:cs="Arial"/>
          <w:iCs/>
          <w:sz w:val="18"/>
          <w:szCs w:val="18"/>
        </w:rPr>
        <w:t>mean+SD</w:t>
      </w:r>
      <w:proofErr w:type="spellEnd"/>
      <w:r>
        <w:rPr>
          <w:rFonts w:ascii="Arial" w:hAnsi="Arial" w:cs="Arial"/>
          <w:iCs/>
          <w:sz w:val="18"/>
          <w:szCs w:val="18"/>
        </w:rPr>
        <w:t xml:space="preserve"> of n=5. *</w:t>
      </w:r>
      <w:r>
        <w:rPr>
          <w:rFonts w:ascii="Arial" w:hAnsi="Arial" w:cs="Arial"/>
          <w:i/>
          <w:iCs/>
          <w:sz w:val="18"/>
          <w:szCs w:val="18"/>
        </w:rPr>
        <w:t>p</w:t>
      </w:r>
      <w:r>
        <w:rPr>
          <w:rFonts w:ascii="Arial" w:hAnsi="Arial" w:cs="Arial"/>
          <w:iCs/>
          <w:sz w:val="18"/>
          <w:szCs w:val="18"/>
        </w:rPr>
        <w:t>&lt;0.05; **</w:t>
      </w:r>
      <w:r>
        <w:rPr>
          <w:rFonts w:ascii="Arial" w:hAnsi="Arial" w:cs="Arial"/>
          <w:i/>
          <w:iCs/>
          <w:sz w:val="18"/>
          <w:szCs w:val="18"/>
        </w:rPr>
        <w:t>p</w:t>
      </w:r>
      <w:r>
        <w:rPr>
          <w:rFonts w:ascii="Arial" w:hAnsi="Arial" w:cs="Arial"/>
          <w:iCs/>
          <w:sz w:val="18"/>
          <w:szCs w:val="18"/>
        </w:rPr>
        <w:t>&lt;0.01.</w:t>
      </w: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iCs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4848225" cy="1857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Suppl. Fig. S3: Additional SKOV3 intraperitoneal xenograft model. </w:t>
      </w:r>
      <w:r>
        <w:rPr>
          <w:rFonts w:ascii="Arial" w:hAnsi="Arial" w:cs="Arial"/>
          <w:sz w:val="18"/>
          <w:szCs w:val="18"/>
        </w:rPr>
        <w:t xml:space="preserve">Intraperitoneal (IP) </w:t>
      </w:r>
      <w:proofErr w:type="spellStart"/>
      <w:r>
        <w:rPr>
          <w:rFonts w:ascii="Arial" w:hAnsi="Arial" w:cs="Arial"/>
          <w:sz w:val="18"/>
          <w:szCs w:val="18"/>
        </w:rPr>
        <w:t>carcinosis</w:t>
      </w:r>
      <w:proofErr w:type="spellEnd"/>
      <w:r>
        <w:rPr>
          <w:rFonts w:ascii="Arial" w:hAnsi="Arial" w:cs="Arial"/>
          <w:sz w:val="18"/>
          <w:szCs w:val="18"/>
        </w:rPr>
        <w:t xml:space="preserve"> score (ICS) on day 49 after injection of SKOV3 control vs. ITGB4 knockdown cells into E-/P-selectin </w:t>
      </w:r>
      <w:proofErr w:type="spellStart"/>
      <w:r>
        <w:rPr>
          <w:rFonts w:ascii="Arial" w:hAnsi="Arial" w:cs="Arial"/>
          <w:sz w:val="18"/>
          <w:szCs w:val="18"/>
        </w:rPr>
        <w:t>wildtype</w:t>
      </w:r>
      <w:proofErr w:type="spellEnd"/>
      <w:r>
        <w:rPr>
          <w:rFonts w:ascii="Arial" w:hAnsi="Arial" w:cs="Arial"/>
          <w:sz w:val="18"/>
          <w:szCs w:val="18"/>
        </w:rPr>
        <w:t xml:space="preserve"> vs. knockout rag2</w:t>
      </w:r>
      <w:r>
        <w:rPr>
          <w:rFonts w:ascii="Arial" w:hAnsi="Arial" w:cs="Arial"/>
          <w:sz w:val="18"/>
          <w:szCs w:val="18"/>
          <w:vertAlign w:val="superscript"/>
        </w:rPr>
        <w:t>-/-</w:t>
      </w:r>
      <w:r>
        <w:rPr>
          <w:rFonts w:ascii="Arial" w:hAnsi="Arial" w:cs="Arial"/>
          <w:sz w:val="18"/>
          <w:szCs w:val="18"/>
        </w:rPr>
        <w:t xml:space="preserve"> BALB/c mice. Representative anti-mCD45 immunostaining images of formalin-fixed, paraffin-embedded intraperitoneal lavage. Black lines in the scatter plot represent mean values. **p&lt;0.01; ***p&lt;0.001.</w:t>
      </w:r>
    </w:p>
    <w:p w:rsidR="00500D5C" w:rsidRDefault="00500D5C"/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noProof/>
        </w:rPr>
        <w:drawing>
          <wp:inline distT="0" distB="0" distL="0" distR="0">
            <wp:extent cx="5972175" cy="29718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Suppl. Fig. S4: Attraction of human macrophages by ITGB4 knockdown tumor cell-conditioned media. </w:t>
      </w:r>
      <w:r>
        <w:rPr>
          <w:rFonts w:ascii="Arial" w:hAnsi="Arial" w:cs="Arial"/>
          <w:bCs/>
          <w:sz w:val="18"/>
          <w:szCs w:val="18"/>
        </w:rPr>
        <w:t>Entire dataset of data shown in Fig. 4C including further donors.</w:t>
      </w: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972175" cy="70294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18"/>
          <w:szCs w:val="18"/>
        </w:rPr>
      </w:pPr>
      <w:r>
        <w:rPr>
          <w:rFonts w:ascii="Arial" w:hAnsi="Arial" w:cs="Arial"/>
          <w:b/>
          <w:bCs/>
          <w:iCs/>
          <w:sz w:val="18"/>
          <w:szCs w:val="18"/>
        </w:rPr>
        <w:t xml:space="preserve">Suppl. Fig. S5: Representative density plots of </w:t>
      </w:r>
      <w:r>
        <w:rPr>
          <w:rFonts w:ascii="Arial" w:hAnsi="Arial" w:cs="Arial"/>
          <w:b/>
          <w:bCs/>
          <w:i/>
          <w:iCs/>
          <w:sz w:val="18"/>
          <w:szCs w:val="18"/>
        </w:rPr>
        <w:t>ex vivo</w:t>
      </w:r>
      <w:r>
        <w:rPr>
          <w:rFonts w:ascii="Arial" w:hAnsi="Arial" w:cs="Arial"/>
          <w:b/>
          <w:bCs/>
          <w:iCs/>
          <w:sz w:val="18"/>
          <w:szCs w:val="18"/>
        </w:rPr>
        <w:t xml:space="preserve"> flow </w:t>
      </w:r>
      <w:proofErr w:type="spellStart"/>
      <w:r>
        <w:rPr>
          <w:rFonts w:ascii="Arial" w:hAnsi="Arial" w:cs="Arial"/>
          <w:b/>
          <w:bCs/>
          <w:iCs/>
          <w:sz w:val="18"/>
          <w:szCs w:val="18"/>
        </w:rPr>
        <w:t>cytometric</w:t>
      </w:r>
      <w:proofErr w:type="spellEnd"/>
      <w:r>
        <w:rPr>
          <w:rFonts w:ascii="Arial" w:hAnsi="Arial" w:cs="Arial"/>
          <w:b/>
          <w:bCs/>
          <w:iCs/>
          <w:sz w:val="18"/>
          <w:szCs w:val="18"/>
        </w:rPr>
        <w:t xml:space="preserve"> analyses</w:t>
      </w:r>
      <w:r>
        <w:rPr>
          <w:rFonts w:ascii="Arial" w:hAnsi="Arial" w:cs="Arial"/>
          <w:bCs/>
          <w:iCs/>
          <w:sz w:val="18"/>
          <w:szCs w:val="18"/>
        </w:rPr>
        <w:t xml:space="preserve"> of blood (A), spleen (B) and bone marrow (C) samples of </w:t>
      </w:r>
      <w:proofErr w:type="spellStart"/>
      <w:r>
        <w:rPr>
          <w:rFonts w:ascii="Arial" w:hAnsi="Arial" w:cs="Arial"/>
          <w:bCs/>
          <w:iCs/>
          <w:sz w:val="18"/>
          <w:szCs w:val="18"/>
        </w:rPr>
        <w:t>s.c.</w:t>
      </w:r>
      <w:proofErr w:type="spellEnd"/>
      <w:r>
        <w:rPr>
          <w:rFonts w:ascii="Arial" w:hAnsi="Arial" w:cs="Arial"/>
          <w:bCs/>
          <w:iCs/>
          <w:sz w:val="18"/>
          <w:szCs w:val="18"/>
        </w:rPr>
        <w:t xml:space="preserve"> tumor nodule-bearing mice (10 days after injection of PC-3 control vs. ITGB4 knockdown cells into E-/P-selectin </w:t>
      </w:r>
      <w:proofErr w:type="spellStart"/>
      <w:r>
        <w:rPr>
          <w:rFonts w:ascii="Arial" w:hAnsi="Arial" w:cs="Arial"/>
          <w:bCs/>
          <w:iCs/>
          <w:sz w:val="18"/>
          <w:szCs w:val="18"/>
        </w:rPr>
        <w:t>wildtype</w:t>
      </w:r>
      <w:proofErr w:type="spellEnd"/>
      <w:r>
        <w:rPr>
          <w:rFonts w:ascii="Arial" w:hAnsi="Arial" w:cs="Arial"/>
          <w:bCs/>
          <w:iCs/>
          <w:sz w:val="18"/>
          <w:szCs w:val="18"/>
        </w:rPr>
        <w:t xml:space="preserve"> vs. knockout mice, see Fig. 5 for differences between the groups). Note the populations assigned A-D in SSC-A/ Gr-1 plots (referring to Fig. 5).</w:t>
      </w: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972175" cy="25908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18"/>
          <w:szCs w:val="18"/>
        </w:rPr>
      </w:pPr>
      <w:r>
        <w:rPr>
          <w:rFonts w:ascii="Arial" w:hAnsi="Arial" w:cs="Arial"/>
          <w:b/>
          <w:bCs/>
          <w:iCs/>
          <w:sz w:val="18"/>
          <w:szCs w:val="18"/>
        </w:rPr>
        <w:t xml:space="preserve">Suppl. Fig. S6: Validation of alterations in the spleen morphology ten days after </w:t>
      </w:r>
      <w:proofErr w:type="spellStart"/>
      <w:r>
        <w:rPr>
          <w:rFonts w:ascii="Arial" w:hAnsi="Arial" w:cs="Arial"/>
          <w:b/>
          <w:bCs/>
          <w:iCs/>
          <w:sz w:val="18"/>
          <w:szCs w:val="18"/>
        </w:rPr>
        <w:t>s.c.</w:t>
      </w:r>
      <w:proofErr w:type="spellEnd"/>
      <w:r>
        <w:rPr>
          <w:rFonts w:ascii="Arial" w:hAnsi="Arial" w:cs="Arial"/>
          <w:b/>
          <w:bCs/>
          <w:iCs/>
          <w:sz w:val="18"/>
          <w:szCs w:val="18"/>
        </w:rPr>
        <w:t xml:space="preserve"> injection of tumor cells.</w:t>
      </w:r>
      <w:r>
        <w:rPr>
          <w:rFonts w:ascii="Arial" w:hAnsi="Arial" w:cs="Arial"/>
          <w:bCs/>
          <w:iCs/>
          <w:sz w:val="18"/>
          <w:szCs w:val="18"/>
        </w:rPr>
        <w:t xml:space="preserve"> Representative photomicrographs of HE- and anti-Ly6G (Gr-1 epitope)-stained spleen samples on d10 after s. c. injection of PaCa5061 control vs. ITGB4 knockdown cells into E-/P-selectin </w:t>
      </w:r>
      <w:proofErr w:type="spellStart"/>
      <w:r>
        <w:rPr>
          <w:rFonts w:ascii="Arial" w:hAnsi="Arial" w:cs="Arial"/>
          <w:bCs/>
          <w:iCs/>
          <w:sz w:val="18"/>
          <w:szCs w:val="18"/>
        </w:rPr>
        <w:t>wildtype</w:t>
      </w:r>
      <w:proofErr w:type="spellEnd"/>
      <w:r>
        <w:rPr>
          <w:rFonts w:ascii="Arial" w:hAnsi="Arial" w:cs="Arial"/>
          <w:bCs/>
          <w:iCs/>
          <w:sz w:val="18"/>
          <w:szCs w:val="18"/>
        </w:rPr>
        <w:t xml:space="preserve"> vs. knockout mice. The arrows indicate </w:t>
      </w:r>
      <w:proofErr w:type="gramStart"/>
      <w:r>
        <w:rPr>
          <w:rFonts w:ascii="Arial" w:hAnsi="Arial" w:cs="Arial"/>
          <w:bCs/>
          <w:iCs/>
          <w:sz w:val="18"/>
          <w:szCs w:val="18"/>
        </w:rPr>
        <w:t>megakaryocytes,</w:t>
      </w:r>
      <w:proofErr w:type="gramEnd"/>
      <w:r>
        <w:rPr>
          <w:rFonts w:ascii="Arial" w:hAnsi="Arial" w:cs="Arial"/>
          <w:bCs/>
          <w:iCs/>
          <w:sz w:val="18"/>
          <w:szCs w:val="18"/>
        </w:rPr>
        <w:t xml:space="preserve"> arrowheads indicate immature granulocytes with ring-shaped nuclei. </w:t>
      </w: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Cs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iCs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572000" cy="1447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18"/>
          <w:szCs w:val="18"/>
        </w:rPr>
      </w:pPr>
      <w:r>
        <w:rPr>
          <w:rFonts w:ascii="Arial" w:hAnsi="Arial" w:cs="Arial"/>
          <w:b/>
          <w:iCs/>
          <w:sz w:val="18"/>
          <w:szCs w:val="18"/>
        </w:rPr>
        <w:t xml:space="preserve">Suppl. Fig. S7: Static murine E- and P-selectin binding capacity of ITGB4 KD tumor-derived MDSCs. </w:t>
      </w:r>
      <w:r>
        <w:rPr>
          <w:rFonts w:ascii="Arial" w:hAnsi="Arial" w:cs="Arial"/>
          <w:iCs/>
          <w:sz w:val="18"/>
          <w:szCs w:val="18"/>
        </w:rPr>
        <w:t xml:space="preserve">Flow </w:t>
      </w:r>
      <w:proofErr w:type="spellStart"/>
      <w:r>
        <w:rPr>
          <w:rFonts w:ascii="Arial" w:hAnsi="Arial" w:cs="Arial"/>
          <w:iCs/>
          <w:sz w:val="18"/>
          <w:szCs w:val="18"/>
        </w:rPr>
        <w:t>cytometric</w:t>
      </w:r>
      <w:proofErr w:type="spellEnd"/>
      <w:r>
        <w:rPr>
          <w:rFonts w:ascii="Arial" w:hAnsi="Arial" w:cs="Arial"/>
          <w:iCs/>
          <w:sz w:val="18"/>
          <w:szCs w:val="18"/>
        </w:rPr>
        <w:t xml:space="preserve"> analysis of CD11b</w:t>
      </w:r>
      <w:r>
        <w:rPr>
          <w:rFonts w:ascii="Arial" w:hAnsi="Arial" w:cs="Arial"/>
          <w:iCs/>
          <w:sz w:val="18"/>
          <w:szCs w:val="18"/>
          <w:vertAlign w:val="superscript"/>
        </w:rPr>
        <w:t>+</w:t>
      </w:r>
      <w:r>
        <w:rPr>
          <w:rFonts w:ascii="Arial" w:hAnsi="Arial" w:cs="Arial"/>
          <w:iCs/>
          <w:sz w:val="18"/>
          <w:szCs w:val="18"/>
        </w:rPr>
        <w:t xml:space="preserve"> Gr-1</w:t>
      </w:r>
      <w:r>
        <w:rPr>
          <w:rFonts w:ascii="Arial" w:hAnsi="Arial" w:cs="Arial"/>
          <w:iCs/>
          <w:sz w:val="18"/>
          <w:szCs w:val="18"/>
          <w:vertAlign w:val="superscript"/>
        </w:rPr>
        <w:t>+</w:t>
      </w:r>
      <w:r>
        <w:rPr>
          <w:rFonts w:ascii="Arial" w:hAnsi="Arial" w:cs="Arial"/>
          <w:iCs/>
          <w:sz w:val="18"/>
          <w:szCs w:val="18"/>
        </w:rPr>
        <w:t xml:space="preserve"> leukocytes isolated from </w:t>
      </w:r>
      <w:proofErr w:type="spellStart"/>
      <w:r>
        <w:rPr>
          <w:rFonts w:ascii="Arial" w:hAnsi="Arial" w:cs="Arial"/>
          <w:iCs/>
          <w:sz w:val="18"/>
          <w:szCs w:val="18"/>
        </w:rPr>
        <w:t>s.c.</w:t>
      </w:r>
      <w:proofErr w:type="spellEnd"/>
      <w:r>
        <w:rPr>
          <w:rFonts w:ascii="Arial" w:hAnsi="Arial" w:cs="Arial"/>
          <w:iCs/>
          <w:sz w:val="18"/>
          <w:szCs w:val="18"/>
        </w:rPr>
        <w:t xml:space="preserve"> PC-3 ITGB4 KD tumors regarding static binding of murine E- and P-selectin as indicated. Grey</w:t>
      </w:r>
      <w:r>
        <w:rPr>
          <w:rFonts w:ascii="Arial" w:hAnsi="Arial" w:cs="Arial"/>
          <w:bCs/>
          <w:iCs/>
          <w:sz w:val="18"/>
          <w:szCs w:val="18"/>
        </w:rPr>
        <w:t xml:space="preserve"> lines in histograms indicate unstained controls.</w:t>
      </w:r>
    </w:p>
    <w:p w:rsidR="00500D5C" w:rsidRDefault="00500D5C"/>
    <w:p w:rsidR="00500D5C" w:rsidRDefault="00500D5C"/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iCs/>
        </w:rPr>
      </w:pP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>
            <wp:extent cx="5172075" cy="35528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5C" w:rsidRDefault="00500D5C" w:rsidP="00500D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18"/>
          <w:szCs w:val="18"/>
        </w:rPr>
      </w:pPr>
      <w:r>
        <w:rPr>
          <w:rFonts w:ascii="Arial" w:hAnsi="Arial" w:cs="Arial"/>
          <w:b/>
          <w:iCs/>
          <w:sz w:val="18"/>
          <w:szCs w:val="18"/>
        </w:rPr>
        <w:t xml:space="preserve">Suppl. Fig. S8: Validation of inverse correlation of ITGB4 and leukocyte markers in pancreatic cancer. </w:t>
      </w:r>
      <w:r>
        <w:rPr>
          <w:rFonts w:ascii="Arial" w:hAnsi="Arial" w:cs="Arial"/>
          <w:bCs/>
          <w:iCs/>
          <w:sz w:val="18"/>
          <w:szCs w:val="18"/>
        </w:rPr>
        <w:t>Correlation of ITGB4 and CD45 (</w:t>
      </w:r>
      <w:r>
        <w:rPr>
          <w:rFonts w:ascii="Arial" w:hAnsi="Arial" w:cs="Arial"/>
          <w:bCs/>
          <w:i/>
          <w:iCs/>
          <w:sz w:val="18"/>
          <w:szCs w:val="18"/>
        </w:rPr>
        <w:t>PTPRC</w:t>
      </w:r>
      <w:r>
        <w:rPr>
          <w:rFonts w:ascii="Arial" w:hAnsi="Arial" w:cs="Arial"/>
          <w:bCs/>
          <w:iCs/>
          <w:sz w:val="18"/>
          <w:szCs w:val="18"/>
        </w:rPr>
        <w:t xml:space="preserve"> gene), CCR5, or CCR1 in the human pancreatic ductal adenocarcinoma (PDAC) database of the cancer genome atlas (TCGA) (A) and normal human pancreas expression data of the Genotype-Tissue Expression (</w:t>
      </w:r>
      <w:proofErr w:type="spellStart"/>
      <w:r>
        <w:rPr>
          <w:rFonts w:ascii="Arial" w:hAnsi="Arial" w:cs="Arial"/>
          <w:bCs/>
          <w:iCs/>
          <w:sz w:val="18"/>
          <w:szCs w:val="18"/>
        </w:rPr>
        <w:t>GTEx</w:t>
      </w:r>
      <w:proofErr w:type="spellEnd"/>
      <w:r>
        <w:rPr>
          <w:rFonts w:ascii="Arial" w:hAnsi="Arial" w:cs="Arial"/>
          <w:bCs/>
          <w:iCs/>
          <w:sz w:val="18"/>
          <w:szCs w:val="18"/>
        </w:rPr>
        <w:t>) portal (B) as determined by using the Gene Expression Profiling Interactive Analysis 2 (GEPIA2) online tool (</w:t>
      </w:r>
      <w:hyperlink r:id="rId12" w:history="1">
        <w:r>
          <w:rPr>
            <w:rStyle w:val="Hyperlink"/>
            <w:rFonts w:ascii="Arial" w:hAnsi="Arial" w:cs="Arial"/>
            <w:bCs/>
            <w:iCs/>
            <w:sz w:val="18"/>
            <w:szCs w:val="18"/>
          </w:rPr>
          <w:t>http://gepia2.cancer-pku.cn</w:t>
        </w:r>
      </w:hyperlink>
      <w:r>
        <w:rPr>
          <w:rFonts w:ascii="Arial" w:hAnsi="Arial" w:cs="Arial"/>
          <w:bCs/>
          <w:iCs/>
          <w:sz w:val="18"/>
          <w:szCs w:val="18"/>
        </w:rPr>
        <w:t xml:space="preserve">). TPM = transcripts per million. R- and p-values were calculated based on Pearson correlation analysis. </w:t>
      </w:r>
    </w:p>
    <w:p w:rsidR="00500D5C" w:rsidRDefault="00500D5C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500D5C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  <w:iCs/>
        </w:rPr>
      </w:pPr>
    </w:p>
    <w:p w:rsidR="00F92D6A" w:rsidRDefault="00F92D6A" w:rsidP="00F92D6A">
      <w:pPr>
        <w:spacing w:after="160" w:line="256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  <w:b/>
        </w:rPr>
        <w:lastRenderedPageBreak/>
        <w:t xml:space="preserve">Suppl. Table 1: </w:t>
      </w:r>
      <w:r>
        <w:rPr>
          <w:rFonts w:ascii="Arial" w:eastAsia="Calibri" w:hAnsi="Arial" w:cs="Arial"/>
        </w:rPr>
        <w:t>Short IHC protocols relevant to the study (IHC-P).</w:t>
      </w:r>
    </w:p>
    <w:tbl>
      <w:tblPr>
        <w:tblStyle w:val="GridTable6Colorful"/>
        <w:tblW w:w="5000" w:type="pct"/>
        <w:tblInd w:w="0" w:type="dxa"/>
        <w:tblLook w:val="04A0" w:firstRow="1" w:lastRow="0" w:firstColumn="1" w:lastColumn="0" w:noHBand="0" w:noVBand="1"/>
      </w:tblPr>
      <w:tblGrid>
        <w:gridCol w:w="1534"/>
        <w:gridCol w:w="1535"/>
        <w:gridCol w:w="1440"/>
        <w:gridCol w:w="1629"/>
        <w:gridCol w:w="1617"/>
        <w:gridCol w:w="1595"/>
      </w:tblGrid>
      <w:tr w:rsidR="00F92D6A" w:rsidTr="00F92D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</w:tcPr>
          <w:p w:rsidR="00F92D6A" w:rsidRDefault="00F92D6A">
            <w:pPr>
              <w:spacing w:after="0" w:line="240" w:lineRule="auto"/>
              <w:jc w:val="both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ind w:left="134" w:hanging="13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Antigen retrieval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blocking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primary antibody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isotype control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secondary antibody</w:t>
            </w:r>
          </w:p>
        </w:tc>
      </w:tr>
      <w:tr w:rsidR="00F92D6A" w:rsidTr="00F92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Integrin beta 4 (439-9B)</w:t>
            </w: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S1699 pH6, </w:t>
            </w:r>
          </w:p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2 x 4 min microwave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rabbit serum (Dako 68 g/l) 1:10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(0.5 mg/ml) 1:25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rat IgG2b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Antigenix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America 1:10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rabbit α rat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Dako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>) 1:200</w:t>
            </w:r>
          </w:p>
        </w:tc>
      </w:tr>
      <w:tr w:rsidR="00F92D6A" w:rsidTr="00F92D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Ki67 (M7240)</w:t>
            </w: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S1699 pH6, 16h 85°C water bath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goat serum</w:t>
            </w:r>
          </w:p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1:10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Dako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(35 mg/l)</w:t>
            </w:r>
          </w:p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1:32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mouse IgG1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Dako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100 mg/l) 1:91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goat α mouse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Dako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0.77 g/l) 1:200 in TBS</w:t>
            </w:r>
          </w:p>
        </w:tc>
      </w:tr>
      <w:tr w:rsidR="00F92D6A" w:rsidTr="00F92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Bim</w:t>
            </w:r>
            <w:proofErr w:type="spellEnd"/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S2367 pH9 (Tris/EDTA)</w:t>
            </w:r>
          </w:p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10 min 121°C steamer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NA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tabs>
                <w:tab w:val="left" w:pos="483"/>
              </w:tabs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(1 mg/ml) 1:100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rabbit poly IgG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</w:p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1:20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 xml:space="preserve">swine </w:t>
            </w:r>
            <w:r>
              <w:rPr>
                <w:rFonts w:ascii="Arial" w:eastAsia="Calibri" w:hAnsi="Arial" w:cs="Arial"/>
                <w:color w:val="000000"/>
                <w:sz w:val="20"/>
              </w:rPr>
              <w:t>α</w:t>
            </w: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 xml:space="preserve"> rabbit (Dako 0.51 g/l) 1:200</w:t>
            </w:r>
          </w:p>
        </w:tc>
      </w:tr>
      <w:tr w:rsidR="00F92D6A" w:rsidTr="00F92D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pH2A.X [EP854(2)Y]</w:t>
            </w: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S1699 pH6 10 min 121°C steamer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NA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</w:p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1:672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rabbit immunoglobulin fraction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Dako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1:266000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 xml:space="preserve">swine </w:t>
            </w:r>
            <w:r>
              <w:rPr>
                <w:rFonts w:ascii="Arial" w:eastAsia="Calibri" w:hAnsi="Arial" w:cs="Arial"/>
                <w:color w:val="000000"/>
                <w:sz w:val="20"/>
              </w:rPr>
              <w:t>α</w:t>
            </w: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 xml:space="preserve"> rabbit (Dako 0.51 g/l) 1:200</w:t>
            </w:r>
          </w:p>
        </w:tc>
      </w:tr>
      <w:tr w:rsidR="00F92D6A" w:rsidTr="00F92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mCD45 (30-F11)</w:t>
            </w: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S1699 pH6, </w:t>
            </w:r>
          </w:p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2 x 4 min microwave 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NA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BD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Pharmingen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(2.5 µg/ml)</w:t>
            </w:r>
          </w:p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1:25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rat IgG2b BioLegend (1mg/ml) 1:200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rabbit </w:t>
            </w: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α</w:t>
            </w:r>
            <w:r>
              <w:rPr>
                <w:rFonts w:ascii="Arial" w:eastAsia="Calibri" w:hAnsi="Arial" w:cs="Arial"/>
                <w:color w:val="000000"/>
                <w:sz w:val="20"/>
              </w:rPr>
              <w:t xml:space="preserve"> rat</w:t>
            </w:r>
          </w:p>
          <w:p w:rsidR="00F92D6A" w:rsidRDefault="00F92D6A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(Jackson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Immono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Research) 1:100</w:t>
            </w:r>
          </w:p>
        </w:tc>
      </w:tr>
      <w:tr w:rsidR="00F92D6A" w:rsidTr="00F92D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Ly6G</w:t>
            </w: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de-DE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S2367 pH9 (Tris/EDTA)</w:t>
            </w:r>
          </w:p>
          <w:p w:rsidR="00F92D6A" w:rsidRDefault="00F92D6A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lang w:val="de-DE"/>
              </w:rPr>
              <w:t>10 min, 121°C steamer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NA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MyBioSource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(360 µg/ml) 1:100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 xml:space="preserve">rabbit poly IgG (5 mg/ml) 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1:1389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hideMark/>
          </w:tcPr>
          <w:p w:rsidR="00F92D6A" w:rsidRDefault="00F92D6A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goat α rabbit-Biotin (LS-Bio) 1:200 in TBS</w:t>
            </w:r>
          </w:p>
        </w:tc>
      </w:tr>
      <w:tr w:rsidR="00F92D6A" w:rsidTr="00F92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mIntegrin</w:t>
            </w:r>
            <w:proofErr w:type="spellEnd"/>
            <w:r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 xml:space="preserve"> beta 4 [EPR17517]</w:t>
            </w:r>
          </w:p>
        </w:tc>
        <w:tc>
          <w:tcPr>
            <w:tcW w:w="82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S2367 pH9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Tris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>/EDTA)</w:t>
            </w:r>
          </w:p>
        </w:tc>
        <w:tc>
          <w:tcPr>
            <w:tcW w:w="770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NA</w:t>
            </w:r>
          </w:p>
        </w:tc>
        <w:tc>
          <w:tcPr>
            <w:tcW w:w="871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</w:p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(1.11 mg/ml)</w:t>
            </w:r>
          </w:p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1:222</w:t>
            </w:r>
          </w:p>
        </w:tc>
        <w:tc>
          <w:tcPr>
            <w:tcW w:w="86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rabbit mono IgG (1,68 mg/ml)</w:t>
            </w:r>
          </w:p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Calibri" w:hAnsi="Arial" w:cs="Arial"/>
                <w:color w:val="000000"/>
                <w:sz w:val="20"/>
              </w:rPr>
              <w:t>abcam</w:t>
            </w:r>
            <w:proofErr w:type="spellEnd"/>
            <w:r>
              <w:rPr>
                <w:rFonts w:ascii="Arial" w:eastAsia="Calibri" w:hAnsi="Arial" w:cs="Arial"/>
                <w:color w:val="000000"/>
                <w:sz w:val="20"/>
              </w:rPr>
              <w:t xml:space="preserve">  1:336</w:t>
            </w:r>
          </w:p>
        </w:tc>
        <w:tc>
          <w:tcPr>
            <w:tcW w:w="854" w:type="pct"/>
            <w:tcBorders>
              <w:top w:val="single" w:sz="4" w:space="0" w:color="666666" w:themeColor="text1" w:themeTint="99"/>
              <w:left w:val="single" w:sz="4" w:space="0" w:color="666666" w:themeColor="text1" w:themeTint="99"/>
              <w:bottom w:val="single" w:sz="4" w:space="0" w:color="666666" w:themeColor="text1" w:themeTint="99"/>
              <w:right w:val="single" w:sz="4" w:space="0" w:color="666666" w:themeColor="text1" w:themeTint="99"/>
            </w:tcBorders>
            <w:shd w:val="clear" w:color="auto" w:fill="F2F2F2"/>
            <w:hideMark/>
          </w:tcPr>
          <w:p w:rsidR="00F92D6A" w:rsidRDefault="00F92D6A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</w:rPr>
              <w:t>goat α rabbit-Biotin (LS-Bio) 1:200 in TBS</w:t>
            </w:r>
          </w:p>
        </w:tc>
      </w:tr>
    </w:tbl>
    <w:p w:rsidR="00F92D6A" w:rsidRDefault="00F92D6A" w:rsidP="00F92D6A">
      <w:pPr>
        <w:spacing w:after="160" w:line="240" w:lineRule="auto"/>
        <w:rPr>
          <w:rFonts w:ascii="Calibri" w:eastAsia="Calibri" w:hAnsi="Calibri" w:cs="Times New Roman"/>
          <w:sz w:val="20"/>
        </w:rPr>
      </w:pPr>
    </w:p>
    <w:p w:rsidR="00500D5C" w:rsidRDefault="00500D5C">
      <w:bookmarkStart w:id="0" w:name="_GoBack"/>
      <w:bookmarkEnd w:id="0"/>
    </w:p>
    <w:sectPr w:rsidR="00500D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D5C"/>
    <w:rsid w:val="00500D5C"/>
    <w:rsid w:val="00AD1398"/>
    <w:rsid w:val="00F9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34556"/>
  <w15:chartTrackingRefBased/>
  <w15:docId w15:val="{D51F8775-FA1A-4C0C-AA45-EA161E81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D5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00D5C"/>
    <w:rPr>
      <w:color w:val="0563C1" w:themeColor="hyperlink"/>
      <w:u w:val="single"/>
    </w:rPr>
  </w:style>
  <w:style w:type="table" w:styleId="GridTable6Colorful">
    <w:name w:val="Grid Table 6 Colorful"/>
    <w:basedOn w:val="TableNormal"/>
    <w:uiPriority w:val="51"/>
    <w:rsid w:val="00F92D6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://gepia2.cancer-pk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2022-09-12T11:14:00Z</dcterms:created>
  <dcterms:modified xsi:type="dcterms:W3CDTF">2022-09-12T11:23:00Z</dcterms:modified>
</cp:coreProperties>
</file>