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4D24" w:rsidRPr="00C25508" w:rsidRDefault="000D4D24" w:rsidP="000D4D24">
      <w:pPr>
        <w:adjustRightInd w:val="0"/>
        <w:snapToGrid w:val="0"/>
        <w:spacing w:before="240" w:after="60" w:line="228" w:lineRule="auto"/>
        <w:rPr>
          <w:rFonts w:ascii="Times New Roman" w:hAnsi="Times New Roman" w:cs="Times New Roman"/>
          <w:b/>
          <w:bCs/>
          <w:sz w:val="20"/>
          <w:szCs w:val="20"/>
          <w:lang w:val="en-US" w:bidi="en-US"/>
        </w:rPr>
      </w:pPr>
      <w:r w:rsidRPr="00C25508">
        <w:rPr>
          <w:rFonts w:ascii="Times New Roman" w:hAnsi="Times New Roman" w:cs="Times New Roman"/>
          <w:b/>
          <w:bCs/>
          <w:sz w:val="20"/>
          <w:szCs w:val="20"/>
          <w:lang w:val="en-US" w:bidi="en-US"/>
        </w:rPr>
        <w:t>Appendix A</w:t>
      </w:r>
    </w:p>
    <w:p w:rsidR="000D4D24" w:rsidRPr="00C25508" w:rsidRDefault="000D4D24" w:rsidP="000D4D24">
      <w:pPr>
        <w:pStyle w:val="MDPI31text"/>
        <w:ind w:left="0" w:firstLine="0"/>
        <w:rPr>
          <w:rFonts w:ascii="Times New Roman" w:hAnsi="Times New Roman"/>
          <w:szCs w:val="20"/>
        </w:rPr>
      </w:pPr>
      <w:r w:rsidRPr="00C25508">
        <w:rPr>
          <w:rFonts w:ascii="Times New Roman" w:hAnsi="Times New Roman"/>
          <w:b/>
          <w:bCs/>
          <w:szCs w:val="20"/>
        </w:rPr>
        <w:t xml:space="preserve">Table A1. </w:t>
      </w:r>
      <w:r w:rsidRPr="00C25508">
        <w:rPr>
          <w:rFonts w:ascii="Times New Roman" w:hAnsi="Times New Roman"/>
          <w:szCs w:val="20"/>
        </w:rPr>
        <w:t>Formulas used to describe structural parameters in the live fuel stratum of tropical freshwater forested wetlands.</w:t>
      </w:r>
    </w:p>
    <w:p w:rsidR="000D4D24" w:rsidRPr="00C25508" w:rsidRDefault="000D4D24" w:rsidP="000D4D24">
      <w:pPr>
        <w:pStyle w:val="MDPI31text"/>
        <w:ind w:hanging="56"/>
        <w:rPr>
          <w:rFonts w:ascii="Times New Roman" w:hAnsi="Times New Roman"/>
          <w:b/>
          <w:bCs/>
          <w:szCs w:val="20"/>
        </w:rPr>
      </w:pPr>
    </w:p>
    <w:tbl>
      <w:tblPr>
        <w:tblW w:w="8931" w:type="dxa"/>
        <w:tblBorders>
          <w:top w:val="single" w:sz="8" w:space="0" w:color="000000"/>
          <w:bottom w:val="single" w:sz="8" w:space="0" w:color="000000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661"/>
        <w:gridCol w:w="1883"/>
        <w:gridCol w:w="3969"/>
        <w:gridCol w:w="1418"/>
      </w:tblGrid>
      <w:tr w:rsidR="000D4D24" w:rsidRPr="00C25508" w:rsidTr="00FF253D">
        <w:trPr>
          <w:trHeight w:val="242"/>
        </w:trPr>
        <w:tc>
          <w:tcPr>
            <w:tcW w:w="1661" w:type="dxa"/>
            <w:shd w:val="clear" w:color="auto" w:fill="auto"/>
            <w:noWrap/>
            <w:hideMark/>
          </w:tcPr>
          <w:p w:rsidR="000D4D24" w:rsidRPr="00C25508" w:rsidRDefault="000D4D24" w:rsidP="00FF2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MX"/>
              </w:rPr>
              <w:t>Variable</w:t>
            </w:r>
          </w:p>
        </w:tc>
        <w:tc>
          <w:tcPr>
            <w:tcW w:w="1883" w:type="dxa"/>
            <w:shd w:val="clear" w:color="auto" w:fill="auto"/>
            <w:noWrap/>
            <w:hideMark/>
          </w:tcPr>
          <w:p w:rsidR="000D4D24" w:rsidRPr="00C25508" w:rsidRDefault="000D4D24" w:rsidP="00FF2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MX"/>
              </w:rPr>
              <w:t>Formula</w:t>
            </w:r>
          </w:p>
        </w:tc>
        <w:tc>
          <w:tcPr>
            <w:tcW w:w="3969" w:type="dxa"/>
            <w:shd w:val="clear" w:color="auto" w:fill="auto"/>
          </w:tcPr>
          <w:p w:rsidR="000D4D24" w:rsidRPr="00C25508" w:rsidRDefault="000D4D24" w:rsidP="00FF2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MX"/>
              </w:rPr>
              <w:t>Variable description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0D4D24" w:rsidRPr="00C25508" w:rsidRDefault="000D4D24" w:rsidP="00FF2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MX"/>
              </w:rPr>
              <w:t>Reference</w:t>
            </w:r>
          </w:p>
        </w:tc>
      </w:tr>
      <w:tr w:rsidR="000D4D24" w:rsidRPr="00C25508" w:rsidTr="00FF253D">
        <w:trPr>
          <w:trHeight w:val="131"/>
        </w:trPr>
        <w:tc>
          <w:tcPr>
            <w:tcW w:w="1661" w:type="dxa"/>
            <w:shd w:val="clear" w:color="auto" w:fill="auto"/>
            <w:hideMark/>
          </w:tcPr>
          <w:p w:rsidR="000D4D24" w:rsidRPr="00C25508" w:rsidRDefault="000D4D24" w:rsidP="00FF25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 w:eastAsia="es-MX"/>
              </w:rPr>
              <w:t>Basal area</w:t>
            </w:r>
          </w:p>
        </w:tc>
        <w:tc>
          <w:tcPr>
            <w:tcW w:w="1883" w:type="dxa"/>
            <w:shd w:val="clear" w:color="auto" w:fill="auto"/>
            <w:hideMark/>
          </w:tcPr>
          <w:p w:rsidR="000D4D24" w:rsidRPr="00C25508" w:rsidRDefault="000D4D24" w:rsidP="00FF25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 xml:space="preserve">BA </w:t>
            </w:r>
            <w:r w:rsidRPr="00C255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= (π * 4 ([ND])^2)</w:t>
            </w:r>
          </w:p>
        </w:tc>
        <w:tc>
          <w:tcPr>
            <w:tcW w:w="3969" w:type="dxa"/>
            <w:shd w:val="clear" w:color="auto" w:fill="auto"/>
          </w:tcPr>
          <w:p w:rsidR="000D4D24" w:rsidRPr="00C25508" w:rsidRDefault="000D4D24" w:rsidP="00FF25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  <w:t xml:space="preserve">BA </w:t>
            </w: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= total basal area in m</w:t>
            </w: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 w:eastAsia="es-MX"/>
              </w:rPr>
              <w:t>2</w:t>
            </w: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/0.1 ha</w:t>
            </w:r>
          </w:p>
          <w:p w:rsidR="000D4D24" w:rsidRPr="00C25508" w:rsidRDefault="000D4D24" w:rsidP="00FF25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s-MX"/>
              </w:rPr>
              <w:t xml:space="preserve">π </w:t>
            </w: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= 3.1416</w:t>
            </w:r>
          </w:p>
          <w:p w:rsidR="000D4D24" w:rsidRPr="00C25508" w:rsidRDefault="000D4D24" w:rsidP="00FF25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MX"/>
              </w:rPr>
              <w:t>ND</w:t>
            </w: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 = normal diameter</w:t>
            </w:r>
          </w:p>
        </w:tc>
        <w:tc>
          <w:tcPr>
            <w:tcW w:w="1418" w:type="dxa"/>
            <w:shd w:val="clear" w:color="auto" w:fill="auto"/>
            <w:hideMark/>
          </w:tcPr>
          <w:p w:rsidR="000D4D24" w:rsidRPr="00C25508" w:rsidRDefault="000D4D24" w:rsidP="00FF2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Ramos et al. (2004)</w:t>
            </w:r>
          </w:p>
        </w:tc>
      </w:tr>
      <w:tr w:rsidR="000D4D24" w:rsidRPr="00C25508" w:rsidTr="00FF253D">
        <w:trPr>
          <w:trHeight w:val="242"/>
        </w:trPr>
        <w:tc>
          <w:tcPr>
            <w:tcW w:w="1661" w:type="dxa"/>
            <w:shd w:val="clear" w:color="auto" w:fill="auto"/>
            <w:hideMark/>
          </w:tcPr>
          <w:p w:rsidR="000D4D24" w:rsidRPr="00C25508" w:rsidRDefault="000D4D24" w:rsidP="00FF25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 w:eastAsia="es-MX"/>
              </w:rPr>
              <w:t>Absolute/Relative Coverage</w:t>
            </w:r>
          </w:p>
        </w:tc>
        <w:tc>
          <w:tcPr>
            <w:tcW w:w="1883" w:type="dxa"/>
            <w:shd w:val="clear" w:color="auto" w:fill="auto"/>
            <w:hideMark/>
          </w:tcPr>
          <w:p w:rsidR="000D4D24" w:rsidRPr="00C25508" w:rsidRDefault="000D4D24" w:rsidP="00FF25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C</w:t>
            </w:r>
            <w:r w:rsidRPr="00C25508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bscript"/>
                <w:lang w:val="en-US" w:eastAsia="es-ES"/>
              </w:rPr>
              <w:t>A</w:t>
            </w: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= ((d</w:t>
            </w: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US" w:eastAsia="es-MX"/>
              </w:rPr>
              <w:t>1</w:t>
            </w: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+d</w:t>
            </w: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US" w:eastAsia="es-MX"/>
              </w:rPr>
              <w:t>2</w:t>
            </w: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)/2)/2))^2* π</w:t>
            </w:r>
          </w:p>
          <w:p w:rsidR="000D4D24" w:rsidRPr="00C25508" w:rsidRDefault="000D4D24" w:rsidP="00FF25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  <w:p w:rsidR="000D4D24" w:rsidRPr="00C25508" w:rsidRDefault="000D4D24" w:rsidP="00FF25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  <w:p w:rsidR="000D4D24" w:rsidRPr="00C25508" w:rsidRDefault="000D4D24" w:rsidP="00FF25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  <w:p w:rsidR="000D4D24" w:rsidRPr="00C25508" w:rsidRDefault="000D4D24" w:rsidP="00FF25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C</w:t>
            </w:r>
            <w:r w:rsidRPr="00C25508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bscript"/>
                <w:lang w:val="en-US" w:eastAsia="es-ES"/>
              </w:rPr>
              <w:t>R</w:t>
            </w: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 = (Cov</w:t>
            </w: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US" w:eastAsia="es-MX"/>
              </w:rPr>
              <w:t>i</w:t>
            </w: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/Cov</w:t>
            </w: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US" w:eastAsia="es-MX"/>
              </w:rPr>
              <w:t>t</w:t>
            </w: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)*100 </w:t>
            </w:r>
          </w:p>
        </w:tc>
        <w:tc>
          <w:tcPr>
            <w:tcW w:w="3969" w:type="dxa"/>
            <w:shd w:val="clear" w:color="auto" w:fill="auto"/>
          </w:tcPr>
          <w:p w:rsidR="000D4D24" w:rsidRPr="00C25508" w:rsidRDefault="000D4D24" w:rsidP="00FF25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MX"/>
              </w:rPr>
              <w:t>C</w:t>
            </w:r>
            <w:r w:rsidRPr="00C2550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  <w:lang w:val="en-US" w:eastAsia="es-ES"/>
              </w:rPr>
              <w:t>A</w:t>
            </w:r>
            <w:r w:rsidRPr="00C2550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MX"/>
              </w:rPr>
              <w:t xml:space="preserve"> </w:t>
            </w: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= absolute coverage</w:t>
            </w:r>
          </w:p>
          <w:p w:rsidR="000D4D24" w:rsidRPr="00C25508" w:rsidRDefault="000D4D24" w:rsidP="00FF25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s-MX"/>
              </w:rPr>
              <w:t>d</w:t>
            </w:r>
            <w:r w:rsidRPr="00C25508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 w:eastAsia="es-MX"/>
              </w:rPr>
              <w:t>1</w:t>
            </w: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 and </w:t>
            </w:r>
            <w:r w:rsidRPr="00C255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s-MX"/>
              </w:rPr>
              <w:t>d2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s-MX"/>
              </w:rPr>
              <w:t xml:space="preserve"> </w:t>
            </w: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= canopy diameters</w:t>
            </w:r>
          </w:p>
          <w:p w:rsidR="000D4D24" w:rsidRPr="00C25508" w:rsidRDefault="000D4D24" w:rsidP="00FF25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s-MX"/>
              </w:rPr>
              <w:t>π</w:t>
            </w: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 = 3.1416</w:t>
            </w:r>
          </w:p>
          <w:p w:rsidR="000D4D24" w:rsidRPr="00C25508" w:rsidRDefault="000D4D24" w:rsidP="00FF25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MX"/>
              </w:rPr>
            </w:pPr>
          </w:p>
          <w:p w:rsidR="000D4D24" w:rsidRPr="00C25508" w:rsidRDefault="000D4D24" w:rsidP="00FF25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MX"/>
              </w:rPr>
              <w:t>C</w:t>
            </w:r>
            <w:r w:rsidRPr="00C2550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  <w:lang w:val="en-US" w:eastAsia="es-ES"/>
              </w:rPr>
              <w:t>R</w:t>
            </w: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 = relative coverage</w:t>
            </w:r>
          </w:p>
          <w:p w:rsidR="000D4D24" w:rsidRPr="00C25508" w:rsidRDefault="000D4D24" w:rsidP="00FF25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s-MX"/>
              </w:rPr>
              <w:t>Cov</w:t>
            </w:r>
            <w:r w:rsidRPr="00C25508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 w:eastAsia="es-MX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s-MX"/>
              </w:rPr>
              <w:t xml:space="preserve"> </w:t>
            </w: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= absolute coverage of individuals of a species</w:t>
            </w:r>
          </w:p>
          <w:p w:rsidR="000D4D24" w:rsidRPr="00C25508" w:rsidRDefault="000D4D24" w:rsidP="00FF25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s-MX"/>
              </w:rPr>
              <w:t>Cov</w:t>
            </w: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US" w:eastAsia="es-MX"/>
              </w:rPr>
              <w:t>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 </w:t>
            </w: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= absolute coverage of individuals of all species</w:t>
            </w:r>
          </w:p>
        </w:tc>
        <w:tc>
          <w:tcPr>
            <w:tcW w:w="1418" w:type="dxa"/>
            <w:shd w:val="clear" w:color="auto" w:fill="auto"/>
            <w:hideMark/>
          </w:tcPr>
          <w:p w:rsidR="000D4D24" w:rsidRPr="00C25508" w:rsidRDefault="000D4D24" w:rsidP="00FF2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Zarco-Espinoza </w:t>
            </w:r>
            <w:r w:rsidRPr="00C25508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US" w:eastAsia="es-MX"/>
              </w:rPr>
              <w:t>et al. (2010</w:t>
            </w: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)</w:t>
            </w:r>
          </w:p>
        </w:tc>
      </w:tr>
      <w:tr w:rsidR="000D4D24" w:rsidRPr="00C25508" w:rsidTr="00FF253D">
        <w:trPr>
          <w:trHeight w:val="67"/>
        </w:trPr>
        <w:tc>
          <w:tcPr>
            <w:tcW w:w="1661" w:type="dxa"/>
            <w:shd w:val="clear" w:color="auto" w:fill="auto"/>
            <w:hideMark/>
          </w:tcPr>
          <w:p w:rsidR="000D4D24" w:rsidRPr="00C25508" w:rsidRDefault="000D4D24" w:rsidP="00FF25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 w:eastAsia="es-MX"/>
              </w:rPr>
              <w:t>Relative Frequency</w:t>
            </w:r>
          </w:p>
        </w:tc>
        <w:tc>
          <w:tcPr>
            <w:tcW w:w="1883" w:type="dxa"/>
            <w:shd w:val="clear" w:color="auto" w:fill="auto"/>
            <w:hideMark/>
          </w:tcPr>
          <w:p w:rsidR="000D4D24" w:rsidRPr="00C25508" w:rsidRDefault="000D4D24" w:rsidP="00FF2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es-ES"/>
              </w:rPr>
              <w:t>F</w:t>
            </w:r>
            <w:r w:rsidRPr="00C25508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bscript"/>
                <w:lang w:val="en-US" w:eastAsia="es-ES"/>
              </w:rPr>
              <w:t>R</w:t>
            </w: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 = f</w:t>
            </w: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US" w:eastAsia="es-MX"/>
              </w:rPr>
              <w:t>i</w:t>
            </w: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/N*100</w:t>
            </w:r>
          </w:p>
        </w:tc>
        <w:tc>
          <w:tcPr>
            <w:tcW w:w="3969" w:type="dxa"/>
            <w:shd w:val="clear" w:color="auto" w:fill="auto"/>
          </w:tcPr>
          <w:p w:rsidR="000D4D24" w:rsidRPr="00C25508" w:rsidRDefault="000D4D24" w:rsidP="00FF253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s-ES"/>
              </w:rPr>
              <w:t>F</w:t>
            </w:r>
            <w:r w:rsidRPr="00C25508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 w:eastAsia="es-ES"/>
              </w:rPr>
              <w:t xml:space="preserve">R </w:t>
            </w:r>
            <w:r w:rsidRPr="00C255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s-MX"/>
              </w:rPr>
              <w:t xml:space="preserve">= </w:t>
            </w:r>
            <w:r w:rsidRPr="00C255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es-MX"/>
              </w:rPr>
              <w:t>relative frequency</w:t>
            </w:r>
          </w:p>
          <w:p w:rsidR="000D4D24" w:rsidRPr="00C25508" w:rsidRDefault="000D4D24" w:rsidP="00FF25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</w:pPr>
            <w:r w:rsidRPr="00C25508">
              <w:rPr>
                <w:rFonts w:ascii="Times New Roman" w:hAnsi="Times New Roman" w:cs="Times New Roman"/>
                <w:b/>
                <w:sz w:val="20"/>
                <w:szCs w:val="20"/>
                <w:lang w:val="en-US" w:eastAsia="es-ES"/>
              </w:rPr>
              <w:t>f</w:t>
            </w:r>
            <w:r w:rsidRPr="00C25508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  <w:lang w:val="en-US" w:eastAsia="es-ES"/>
              </w:rPr>
              <w:t>i</w:t>
            </w:r>
            <w:r w:rsidRPr="00C25508">
              <w:rPr>
                <w:rFonts w:ascii="Times New Roman" w:hAnsi="Times New Roman" w:cs="Times New Roman"/>
                <w:b/>
                <w:sz w:val="20"/>
                <w:szCs w:val="20"/>
                <w:lang w:val="en-US" w:eastAsia="es-ES"/>
              </w:rPr>
              <w:t xml:space="preserve"> =</w:t>
            </w:r>
            <w:r w:rsidRPr="00C25508"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  <w:t xml:space="preserve"> number of occurrences of a species</w:t>
            </w:r>
          </w:p>
          <w:p w:rsidR="000D4D24" w:rsidRPr="00C25508" w:rsidRDefault="000D4D24" w:rsidP="00FF25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</w:pPr>
            <w:r w:rsidRPr="00C25508">
              <w:rPr>
                <w:rFonts w:ascii="Times New Roman" w:hAnsi="Times New Roman" w:cs="Times New Roman"/>
                <w:b/>
                <w:sz w:val="20"/>
                <w:szCs w:val="20"/>
                <w:lang w:val="en-US" w:eastAsia="es-ES"/>
              </w:rPr>
              <w:t>N</w:t>
            </w:r>
            <w:r w:rsidRPr="00C25508"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  <w:t xml:space="preserve"> = number of occurrences of all species</w:t>
            </w:r>
          </w:p>
        </w:tc>
        <w:tc>
          <w:tcPr>
            <w:tcW w:w="1418" w:type="dxa"/>
            <w:shd w:val="clear" w:color="auto" w:fill="auto"/>
            <w:hideMark/>
          </w:tcPr>
          <w:p w:rsidR="000D4D24" w:rsidRPr="00C25508" w:rsidRDefault="000D4D24" w:rsidP="00FF2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Gentry and Ortiz (1993)</w:t>
            </w:r>
          </w:p>
        </w:tc>
      </w:tr>
      <w:tr w:rsidR="000D4D24" w:rsidRPr="00C25508" w:rsidTr="00FF253D">
        <w:trPr>
          <w:trHeight w:val="242"/>
        </w:trPr>
        <w:tc>
          <w:tcPr>
            <w:tcW w:w="1661" w:type="dxa"/>
            <w:shd w:val="clear" w:color="auto" w:fill="auto"/>
          </w:tcPr>
          <w:p w:rsidR="000D4D24" w:rsidRPr="00C25508" w:rsidRDefault="000D4D24" w:rsidP="00FF25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 w:eastAsia="es-MX"/>
              </w:rPr>
              <w:t>Relative Density</w:t>
            </w:r>
          </w:p>
          <w:p w:rsidR="000D4D24" w:rsidRPr="00C25508" w:rsidRDefault="000D4D24" w:rsidP="00FF25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 w:eastAsia="es-MX"/>
              </w:rPr>
            </w:pPr>
          </w:p>
        </w:tc>
        <w:tc>
          <w:tcPr>
            <w:tcW w:w="1883" w:type="dxa"/>
            <w:shd w:val="clear" w:color="auto" w:fill="auto"/>
          </w:tcPr>
          <w:p w:rsidR="000D4D24" w:rsidRPr="00C25508" w:rsidRDefault="000D4D24" w:rsidP="00FF2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es-ES"/>
              </w:rPr>
              <w:t>D</w:t>
            </w:r>
            <w:r w:rsidRPr="00C25508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bscript"/>
                <w:lang w:val="en-US" w:eastAsia="es-ES"/>
              </w:rPr>
              <w:t>R</w:t>
            </w:r>
            <w:r w:rsidRPr="00C25508"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  <w:t xml:space="preserve"> = n</w:t>
            </w:r>
            <w:r w:rsidRPr="00C25508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 w:eastAsia="es-ES"/>
              </w:rPr>
              <w:t>i</w:t>
            </w:r>
            <w:r w:rsidRPr="00C25508"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  <w:t>/N*100</w:t>
            </w:r>
          </w:p>
        </w:tc>
        <w:tc>
          <w:tcPr>
            <w:tcW w:w="3969" w:type="dxa"/>
            <w:shd w:val="clear" w:color="auto" w:fill="auto"/>
          </w:tcPr>
          <w:p w:rsidR="000D4D24" w:rsidRPr="00C25508" w:rsidRDefault="000D4D24" w:rsidP="00FF25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</w:pPr>
            <w:r w:rsidRPr="00C25508">
              <w:rPr>
                <w:rFonts w:ascii="Times New Roman" w:hAnsi="Times New Roman" w:cs="Times New Roman"/>
                <w:b/>
                <w:sz w:val="20"/>
                <w:szCs w:val="20"/>
                <w:lang w:val="en-US" w:eastAsia="es-ES"/>
              </w:rPr>
              <w:t>D</w:t>
            </w:r>
            <w:r w:rsidRPr="00C25508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 w:eastAsia="es-ES"/>
              </w:rPr>
              <w:t>R</w:t>
            </w:r>
            <w:r w:rsidRPr="00C25508">
              <w:rPr>
                <w:rFonts w:ascii="Times New Roman" w:hAnsi="Times New Roman" w:cs="Times New Roman"/>
                <w:b/>
                <w:sz w:val="20"/>
                <w:szCs w:val="20"/>
                <w:lang w:val="en-US" w:eastAsia="es-ES"/>
              </w:rPr>
              <w:t xml:space="preserve"> </w:t>
            </w:r>
            <w:r w:rsidRPr="00C25508"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  <w:t>= relative density</w:t>
            </w:r>
          </w:p>
          <w:p w:rsidR="000D4D24" w:rsidRPr="00C25508" w:rsidRDefault="000D4D24" w:rsidP="00FF253D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es-ES"/>
              </w:rPr>
            </w:pPr>
            <w:r w:rsidRPr="00C25508">
              <w:rPr>
                <w:rFonts w:ascii="Times New Roman" w:hAnsi="Times New Roman" w:cs="Times New Roman"/>
                <w:b/>
                <w:sz w:val="20"/>
                <w:szCs w:val="20"/>
                <w:lang w:val="en-US" w:eastAsia="es-ES"/>
              </w:rPr>
              <w:t>n</w:t>
            </w:r>
            <w:r w:rsidRPr="00C25508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  <w:lang w:val="en-US" w:eastAsia="es-ES"/>
              </w:rPr>
              <w:t xml:space="preserve">i </w:t>
            </w:r>
            <w:r w:rsidRPr="00C25508"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  <w:t>= number of individuals of a species</w:t>
            </w:r>
          </w:p>
          <w:p w:rsidR="000D4D24" w:rsidRPr="00C25508" w:rsidRDefault="000D4D24" w:rsidP="00FF25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</w:pPr>
            <w:r w:rsidRPr="00C25508">
              <w:rPr>
                <w:rFonts w:ascii="Times New Roman" w:hAnsi="Times New Roman" w:cs="Times New Roman"/>
                <w:b/>
                <w:sz w:val="20"/>
                <w:szCs w:val="20"/>
                <w:lang w:val="en-US" w:eastAsia="es-ES"/>
              </w:rPr>
              <w:t xml:space="preserve">N </w:t>
            </w:r>
            <w:r w:rsidRPr="00C25508"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  <w:t>= number of individuals of all species at each sampling site</w:t>
            </w:r>
          </w:p>
        </w:tc>
        <w:tc>
          <w:tcPr>
            <w:tcW w:w="1418" w:type="dxa"/>
            <w:shd w:val="clear" w:color="auto" w:fill="auto"/>
          </w:tcPr>
          <w:p w:rsidR="000D4D24" w:rsidRPr="00C25508" w:rsidRDefault="000D4D24" w:rsidP="00FF2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Villavicencio and Valdez (2003)</w:t>
            </w:r>
          </w:p>
        </w:tc>
      </w:tr>
      <w:tr w:rsidR="000D4D24" w:rsidRPr="00C25508" w:rsidTr="00FF253D">
        <w:trPr>
          <w:trHeight w:val="242"/>
        </w:trPr>
        <w:tc>
          <w:tcPr>
            <w:tcW w:w="1661" w:type="dxa"/>
            <w:shd w:val="clear" w:color="auto" w:fill="auto"/>
          </w:tcPr>
          <w:p w:rsidR="000D4D24" w:rsidRPr="00C25508" w:rsidRDefault="000D4D24" w:rsidP="00FF25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 w:eastAsia="es-MX"/>
              </w:rPr>
              <w:t>Dominance</w:t>
            </w:r>
          </w:p>
          <w:p w:rsidR="000D4D24" w:rsidRPr="00C25508" w:rsidRDefault="000D4D24" w:rsidP="00FF25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 w:eastAsia="es-MX"/>
              </w:rPr>
              <w:t>Relative</w:t>
            </w:r>
          </w:p>
          <w:p w:rsidR="000D4D24" w:rsidRPr="00C25508" w:rsidRDefault="000D4D24" w:rsidP="00FF25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 w:eastAsia="es-MX"/>
              </w:rPr>
            </w:pPr>
          </w:p>
        </w:tc>
        <w:tc>
          <w:tcPr>
            <w:tcW w:w="1883" w:type="dxa"/>
            <w:shd w:val="clear" w:color="auto" w:fill="auto"/>
          </w:tcPr>
          <w:p w:rsidR="000D4D24" w:rsidRPr="00C25508" w:rsidRDefault="000D4D24" w:rsidP="00FF2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Do</w:t>
            </w:r>
            <w:r w:rsidRPr="00C25508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bscript"/>
                <w:lang w:val="en-US" w:eastAsia="es-ES"/>
              </w:rPr>
              <w:t>R</w:t>
            </w: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 xml:space="preserve"> = (</w:t>
            </w:r>
            <w:r w:rsidRPr="00C25508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es-MX"/>
              </w:rPr>
              <w:t>α</w:t>
            </w:r>
            <w:r w:rsidRPr="00C25508">
              <w:rPr>
                <w:rFonts w:ascii="Times New Roman" w:eastAsia="Times New Roman" w:hAnsi="Times New Roman" w:cs="Times New Roman"/>
                <w:i/>
                <w:sz w:val="20"/>
                <w:szCs w:val="20"/>
                <w:vertAlign w:val="subscript"/>
                <w:lang w:val="en-US" w:eastAsia="es-MX"/>
              </w:rPr>
              <w:t>i</w:t>
            </w:r>
            <w:r w:rsidRPr="00C25508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es-MX"/>
              </w:rPr>
              <w:t>/α</w:t>
            </w: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)*100</w:t>
            </w:r>
          </w:p>
        </w:tc>
        <w:tc>
          <w:tcPr>
            <w:tcW w:w="3969" w:type="dxa"/>
            <w:shd w:val="clear" w:color="auto" w:fill="auto"/>
          </w:tcPr>
          <w:p w:rsidR="000D4D24" w:rsidRPr="00C25508" w:rsidRDefault="000D4D24" w:rsidP="00FF25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</w:pPr>
            <w:r w:rsidRPr="00C25508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 w:eastAsia="es-ES"/>
              </w:rPr>
              <w:t>α</w:t>
            </w:r>
            <w:r w:rsidRPr="00C25508">
              <w:rPr>
                <w:rFonts w:ascii="Times New Roman" w:hAnsi="Times New Roman" w:cs="Times New Roman"/>
                <w:b/>
                <w:i/>
                <w:sz w:val="20"/>
                <w:szCs w:val="20"/>
                <w:vertAlign w:val="subscript"/>
                <w:lang w:val="en-US" w:eastAsia="es-ES"/>
              </w:rPr>
              <w:t>i</w:t>
            </w:r>
            <w:r w:rsidRPr="00C25508">
              <w:rPr>
                <w:rFonts w:ascii="Times New Roman" w:hAnsi="Times New Roman" w:cs="Times New Roman"/>
                <w:b/>
                <w:sz w:val="20"/>
                <w:szCs w:val="20"/>
                <w:lang w:val="en-US" w:eastAsia="es-ES"/>
              </w:rPr>
              <w:t xml:space="preserve"> </w:t>
            </w:r>
            <w:r w:rsidRPr="00C25508"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  <w:t>= basal area of a species at each sampling site</w:t>
            </w:r>
          </w:p>
          <w:p w:rsidR="000D4D24" w:rsidRPr="00C25508" w:rsidRDefault="000D4D24" w:rsidP="00FF253D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es-ES"/>
              </w:rPr>
            </w:pPr>
            <w:r w:rsidRPr="00C25508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 w:eastAsia="es-ES"/>
              </w:rPr>
              <w:t>α</w:t>
            </w:r>
            <w:r w:rsidRPr="00C25508">
              <w:rPr>
                <w:rFonts w:ascii="Times New Roman" w:hAnsi="Times New Roman" w:cs="Times New Roman"/>
                <w:b/>
                <w:sz w:val="20"/>
                <w:szCs w:val="20"/>
                <w:lang w:val="en-US" w:eastAsia="es-ES"/>
              </w:rPr>
              <w:t xml:space="preserve"> </w:t>
            </w:r>
            <w:r w:rsidRPr="00C25508"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  <w:t>= total basal area of ​​all species at each sampling site</w:t>
            </w:r>
          </w:p>
        </w:tc>
        <w:tc>
          <w:tcPr>
            <w:tcW w:w="1418" w:type="dxa"/>
            <w:shd w:val="clear" w:color="auto" w:fill="auto"/>
          </w:tcPr>
          <w:p w:rsidR="000D4D24" w:rsidRPr="00C25508" w:rsidRDefault="000D4D24" w:rsidP="00FF2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Villavicencio and Valdez (2003)</w:t>
            </w:r>
          </w:p>
        </w:tc>
      </w:tr>
      <w:tr w:rsidR="000D4D24" w:rsidRPr="00C25508" w:rsidTr="00FF253D">
        <w:trPr>
          <w:trHeight w:val="242"/>
        </w:trPr>
        <w:tc>
          <w:tcPr>
            <w:tcW w:w="1661" w:type="dxa"/>
            <w:shd w:val="clear" w:color="auto" w:fill="auto"/>
          </w:tcPr>
          <w:p w:rsidR="000D4D24" w:rsidRPr="00C25508" w:rsidRDefault="000D4D24" w:rsidP="00FF25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 w:eastAsia="es-MX"/>
              </w:rPr>
              <w:t>Importance Value Index</w:t>
            </w:r>
          </w:p>
        </w:tc>
        <w:tc>
          <w:tcPr>
            <w:tcW w:w="1883" w:type="dxa"/>
            <w:shd w:val="clear" w:color="auto" w:fill="auto"/>
          </w:tcPr>
          <w:p w:rsidR="000D4D24" w:rsidRPr="00C25508" w:rsidRDefault="000D4D24" w:rsidP="00FF253D">
            <w:pPr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</w:pPr>
            <w:r w:rsidRPr="00C25508"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  <w:t xml:space="preserve">IVI = </w:t>
            </w:r>
            <w:r w:rsidRPr="00C255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es-ES"/>
              </w:rPr>
              <w:t>D</w:t>
            </w:r>
            <w:r w:rsidRPr="00C25508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bscript"/>
                <w:lang w:val="en-US" w:eastAsia="es-ES"/>
              </w:rPr>
              <w:t>R</w:t>
            </w:r>
            <w:r w:rsidRPr="00C25508"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  <w:t>+</w:t>
            </w: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Do</w:t>
            </w:r>
            <w:r w:rsidRPr="00C25508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bscript"/>
                <w:lang w:val="en-US" w:eastAsia="es-ES"/>
              </w:rPr>
              <w:t>R</w:t>
            </w:r>
            <w:r w:rsidRPr="00C25508"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  <w:t>+</w:t>
            </w:r>
            <w:r w:rsidRPr="00C2550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es-ES"/>
              </w:rPr>
              <w:t>F</w:t>
            </w:r>
            <w:r w:rsidRPr="00C25508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bscript"/>
                <w:lang w:val="en-US" w:eastAsia="es-ES"/>
              </w:rPr>
              <w:t>R</w:t>
            </w:r>
            <w:r w:rsidRPr="00C25508"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  <w:t xml:space="preserve">         </w:t>
            </w:r>
          </w:p>
          <w:p w:rsidR="000D4D24" w:rsidRPr="00C25508" w:rsidRDefault="000D4D24" w:rsidP="00FF25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3969" w:type="dxa"/>
            <w:shd w:val="clear" w:color="auto" w:fill="auto"/>
          </w:tcPr>
          <w:p w:rsidR="000D4D24" w:rsidRPr="00C25508" w:rsidRDefault="000D4D24" w:rsidP="00FF25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</w:pPr>
            <w:r w:rsidRPr="00C255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s-ES"/>
              </w:rPr>
              <w:t>D</w:t>
            </w:r>
            <w:r w:rsidRPr="00C25508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 w:eastAsia="es-ES"/>
              </w:rPr>
              <w:t>R</w:t>
            </w:r>
            <w:r w:rsidRPr="00C25508"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  <w:t xml:space="preserve"> = relative density</w:t>
            </w:r>
          </w:p>
          <w:p w:rsidR="000D4D24" w:rsidRPr="00C25508" w:rsidRDefault="000D4D24" w:rsidP="00FF253D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es-ES"/>
              </w:rPr>
            </w:pPr>
            <w:r w:rsidRPr="00C2550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MX"/>
              </w:rPr>
              <w:t>Do</w:t>
            </w:r>
            <w:r w:rsidRPr="00C2550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  <w:lang w:val="en-US" w:eastAsia="es-ES"/>
              </w:rPr>
              <w:t>R</w:t>
            </w:r>
            <w:r w:rsidRPr="00C25508"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  <w:t xml:space="preserve"> = relative dominance</w:t>
            </w:r>
          </w:p>
          <w:p w:rsidR="000D4D24" w:rsidRPr="00C25508" w:rsidRDefault="000D4D24" w:rsidP="00FF25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s-ES"/>
              </w:rPr>
              <w:t>F</w:t>
            </w:r>
            <w:r w:rsidRPr="00C25508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 w:eastAsia="es-ES"/>
              </w:rPr>
              <w:t>R</w:t>
            </w:r>
            <w:r w:rsidRPr="00C25508">
              <w:rPr>
                <w:rFonts w:ascii="Times New Roman" w:hAnsi="Times New Roman" w:cs="Times New Roman"/>
                <w:b/>
                <w:sz w:val="20"/>
                <w:szCs w:val="20"/>
                <w:lang w:val="en-US" w:eastAsia="es-ES"/>
              </w:rPr>
              <w:t xml:space="preserve"> </w:t>
            </w:r>
            <w:r w:rsidRPr="00C25508"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  <w:t>= relative frequency</w:t>
            </w:r>
          </w:p>
        </w:tc>
        <w:tc>
          <w:tcPr>
            <w:tcW w:w="1418" w:type="dxa"/>
            <w:shd w:val="clear" w:color="auto" w:fill="auto"/>
          </w:tcPr>
          <w:p w:rsidR="000D4D24" w:rsidRPr="00C25508" w:rsidRDefault="000D4D24" w:rsidP="00FF2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Villavicencio and Valdez (2003)</w:t>
            </w:r>
          </w:p>
        </w:tc>
      </w:tr>
      <w:tr w:rsidR="000D4D24" w:rsidRPr="00C25508" w:rsidTr="00FF253D">
        <w:trPr>
          <w:trHeight w:val="242"/>
        </w:trPr>
        <w:tc>
          <w:tcPr>
            <w:tcW w:w="1661" w:type="dxa"/>
            <w:shd w:val="clear" w:color="auto" w:fill="auto"/>
          </w:tcPr>
          <w:p w:rsidR="000D4D24" w:rsidRPr="00C25508" w:rsidRDefault="000D4D24" w:rsidP="00FF25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 w:eastAsia="es-MX"/>
              </w:rPr>
              <w:t>Forest Value Index</w:t>
            </w:r>
          </w:p>
        </w:tc>
        <w:tc>
          <w:tcPr>
            <w:tcW w:w="1883" w:type="dxa"/>
            <w:shd w:val="clear" w:color="auto" w:fill="auto"/>
          </w:tcPr>
          <w:p w:rsidR="000D4D24" w:rsidRPr="00C25508" w:rsidRDefault="000D4D24" w:rsidP="00FF253D">
            <w:pPr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</w:pPr>
            <w:r w:rsidRPr="00C25508"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  <w:t>FVI = ND</w:t>
            </w:r>
            <w:r w:rsidRPr="00C25508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bscript"/>
                <w:lang w:val="en-US" w:eastAsia="es-ES"/>
              </w:rPr>
              <w:t>R</w:t>
            </w:r>
            <w:r w:rsidRPr="00C25508"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  <w:t>+H</w:t>
            </w:r>
            <w:r w:rsidRPr="00C25508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bscript"/>
                <w:lang w:val="en-US" w:eastAsia="es-ES"/>
              </w:rPr>
              <w:t>R</w:t>
            </w:r>
            <w:r w:rsidRPr="00C25508"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  <w:t>+C</w:t>
            </w:r>
            <w:r w:rsidRPr="00C25508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bscript"/>
                <w:lang w:val="en-US" w:eastAsia="es-ES"/>
              </w:rPr>
              <w:t>R</w:t>
            </w:r>
          </w:p>
        </w:tc>
        <w:tc>
          <w:tcPr>
            <w:tcW w:w="3969" w:type="dxa"/>
            <w:shd w:val="clear" w:color="auto" w:fill="auto"/>
          </w:tcPr>
          <w:p w:rsidR="000D4D24" w:rsidRPr="00C25508" w:rsidRDefault="000D4D24" w:rsidP="00FF25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</w:pPr>
            <w:r w:rsidRPr="00C2550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eastAsia="es-ES"/>
              </w:rPr>
              <w:t>ND</w:t>
            </w:r>
            <w:r w:rsidRPr="00C2550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  <w:lang w:val="en-US" w:eastAsia="es-ES"/>
              </w:rPr>
              <w:t>R</w:t>
            </w:r>
            <w:r w:rsidRPr="00C25508">
              <w:rPr>
                <w:rFonts w:ascii="Times New Roman" w:hAnsi="Times New Roman" w:cs="Times New Roman"/>
                <w:b/>
                <w:sz w:val="20"/>
                <w:szCs w:val="20"/>
                <w:lang w:val="en-US" w:eastAsia="es-ES"/>
              </w:rPr>
              <w:t xml:space="preserve"> </w:t>
            </w:r>
            <w:r w:rsidRPr="00C25508"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  <w:t>= Normal diameter relative (ND absolute of a species entre ND absolute of all species).</w:t>
            </w:r>
          </w:p>
          <w:p w:rsidR="000D4D24" w:rsidRPr="00C25508" w:rsidRDefault="000D4D24" w:rsidP="00FF25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</w:pPr>
            <w:r w:rsidRPr="00C25508">
              <w:rPr>
                <w:rFonts w:ascii="Times New Roman" w:hAnsi="Times New Roman" w:cs="Times New Roman"/>
                <w:b/>
                <w:sz w:val="20"/>
                <w:szCs w:val="20"/>
                <w:lang w:val="en-US" w:eastAsia="es-ES"/>
              </w:rPr>
              <w:t>H</w:t>
            </w:r>
            <w:r w:rsidRPr="00C25508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 w:eastAsia="es-ES"/>
              </w:rPr>
              <w:t>R</w:t>
            </w:r>
            <w:r w:rsidRPr="00C25508">
              <w:rPr>
                <w:rFonts w:ascii="Times New Roman" w:hAnsi="Times New Roman" w:cs="Times New Roman"/>
                <w:b/>
                <w:sz w:val="20"/>
                <w:szCs w:val="20"/>
                <w:lang w:val="en-US" w:eastAsia="es-ES"/>
              </w:rPr>
              <w:t xml:space="preserve"> </w:t>
            </w:r>
            <w:r w:rsidRPr="00C25508"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  <w:t>= relative height (absolute height of a species between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  <w:t xml:space="preserve"> the</w:t>
            </w:r>
            <w:r w:rsidRPr="00C25508"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  <w:t xml:space="preserve"> absolute height of all species)</w:t>
            </w:r>
          </w:p>
          <w:p w:rsidR="000D4D24" w:rsidRPr="00C25508" w:rsidRDefault="000D4D24" w:rsidP="00FF25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</w:pPr>
            <w:r w:rsidRPr="00C25508">
              <w:rPr>
                <w:rFonts w:ascii="Times New Roman" w:hAnsi="Times New Roman" w:cs="Times New Roman"/>
                <w:b/>
                <w:sz w:val="20"/>
                <w:szCs w:val="20"/>
                <w:lang w:val="en-US" w:eastAsia="es-ES"/>
              </w:rPr>
              <w:t>C</w:t>
            </w:r>
            <w:r w:rsidRPr="00C25508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 w:eastAsia="es-ES"/>
              </w:rPr>
              <w:t>R</w:t>
            </w:r>
            <w:r w:rsidRPr="00C25508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  <w:lang w:val="en-US" w:eastAsia="es-ES"/>
              </w:rPr>
              <w:t xml:space="preserve"> </w:t>
            </w:r>
            <w:r w:rsidRPr="00C25508"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  <w:t>= (Canopy diameter of all species/sampled area)*100</w:t>
            </w:r>
          </w:p>
        </w:tc>
        <w:tc>
          <w:tcPr>
            <w:tcW w:w="1418" w:type="dxa"/>
            <w:shd w:val="clear" w:color="auto" w:fill="auto"/>
          </w:tcPr>
          <w:p w:rsidR="000D4D24" w:rsidRPr="00C25508" w:rsidRDefault="000D4D24" w:rsidP="00FF2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  <w:p w:rsidR="000D4D24" w:rsidRPr="00C25508" w:rsidRDefault="000D4D24" w:rsidP="00FF2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Zarco et al. (2010)</w:t>
            </w:r>
          </w:p>
        </w:tc>
      </w:tr>
      <w:tr w:rsidR="000D4D24" w:rsidRPr="00C25508" w:rsidTr="00FF253D">
        <w:trPr>
          <w:trHeight w:val="242"/>
        </w:trPr>
        <w:tc>
          <w:tcPr>
            <w:tcW w:w="1661" w:type="dxa"/>
            <w:shd w:val="clear" w:color="auto" w:fill="auto"/>
          </w:tcPr>
          <w:p w:rsidR="000D4D24" w:rsidRPr="00C25508" w:rsidRDefault="000D4D24" w:rsidP="00FF25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 w:eastAsia="es-MX"/>
              </w:rPr>
              <w:t>Holdrige Complexity Index</w:t>
            </w:r>
          </w:p>
        </w:tc>
        <w:tc>
          <w:tcPr>
            <w:tcW w:w="1883" w:type="dxa"/>
            <w:shd w:val="clear" w:color="auto" w:fill="auto"/>
          </w:tcPr>
          <w:p w:rsidR="000D4D24" w:rsidRPr="00C25508" w:rsidRDefault="000D4D24" w:rsidP="00FF253D">
            <w:pPr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</w:pPr>
            <w:r w:rsidRPr="00C25508"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  <w:t>HCI = (d*a*h*s) / 100</w:t>
            </w:r>
          </w:p>
        </w:tc>
        <w:tc>
          <w:tcPr>
            <w:tcW w:w="3969" w:type="dxa"/>
            <w:shd w:val="clear" w:color="auto" w:fill="auto"/>
          </w:tcPr>
          <w:p w:rsidR="000D4D24" w:rsidRPr="00C25508" w:rsidRDefault="000D4D24" w:rsidP="00FF253D">
            <w:pPr>
              <w:spacing w:after="0" w:line="240" w:lineRule="auto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en-US" w:eastAsia="es-ES"/>
              </w:rPr>
            </w:pPr>
            <w:r w:rsidRPr="00C25508">
              <w:rPr>
                <w:rFonts w:ascii="Times New Roman" w:hAnsi="Times New Roman" w:cs="Times New Roman"/>
                <w:b/>
                <w:iCs/>
                <w:sz w:val="20"/>
                <w:szCs w:val="20"/>
                <w:lang w:val="en-US" w:eastAsia="es-ES"/>
              </w:rPr>
              <w:t xml:space="preserve">d </w:t>
            </w:r>
            <w:r w:rsidRPr="00C25508">
              <w:rPr>
                <w:rFonts w:ascii="Times New Roman" w:hAnsi="Times New Roman" w:cs="Times New Roman"/>
                <w:iCs/>
                <w:sz w:val="20"/>
                <w:szCs w:val="20"/>
                <w:lang w:val="en-US" w:eastAsia="es-ES"/>
              </w:rPr>
              <w:t>= number of trees in the sample unit /0.1 ha.</w:t>
            </w:r>
          </w:p>
          <w:p w:rsidR="000D4D24" w:rsidRPr="00C25508" w:rsidRDefault="000D4D24" w:rsidP="00FF25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 w:eastAsia="es-ES"/>
              </w:rPr>
            </w:pPr>
            <w:r w:rsidRPr="008C4BB8">
              <w:rPr>
                <w:rFonts w:ascii="Times New Roman" w:hAnsi="Times New Roman" w:cs="Times New Roman"/>
                <w:b/>
                <w:iCs/>
                <w:sz w:val="20"/>
                <w:szCs w:val="20"/>
                <w:lang w:eastAsia="es-ES"/>
              </w:rPr>
              <w:t xml:space="preserve">a </w:t>
            </w:r>
            <w:r w:rsidRPr="008C4BB8">
              <w:rPr>
                <w:rFonts w:ascii="Times New Roman" w:hAnsi="Times New Roman" w:cs="Times New Roman"/>
                <w:iCs/>
                <w:sz w:val="20"/>
                <w:szCs w:val="20"/>
                <w:lang w:eastAsia="es-ES"/>
              </w:rPr>
              <w:t>= total basal area (m</w:t>
            </w:r>
            <w:r w:rsidRPr="008C4BB8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  <w:lang w:eastAsia="es-ES"/>
              </w:rPr>
              <w:t>2</w:t>
            </w:r>
            <w:r w:rsidRPr="008C4BB8">
              <w:rPr>
                <w:rFonts w:ascii="Times New Roman" w:hAnsi="Times New Roman" w:cs="Times New Roman"/>
                <w:iCs/>
                <w:sz w:val="20"/>
                <w:szCs w:val="20"/>
                <w:lang w:eastAsia="es-ES"/>
              </w:rPr>
              <w:t xml:space="preserve">/0.1ha). </w:t>
            </w:r>
            <w:r w:rsidRPr="00C25508">
              <w:rPr>
                <w:rFonts w:ascii="Times New Roman" w:hAnsi="Times New Roman" w:cs="Times New Roman"/>
                <w:iCs/>
                <w:sz w:val="20"/>
                <w:szCs w:val="20"/>
                <w:lang w:val="en-US" w:eastAsia="es-ES"/>
              </w:rPr>
              <w:t>It was calculated with the formula π</w:t>
            </w:r>
            <w:r w:rsidRPr="00C25508">
              <w:rPr>
                <w:rFonts w:ascii="Times New Roman" w:hAnsi="Times New Roman" w:cs="Times New Roman"/>
                <w:sz w:val="20"/>
                <w:szCs w:val="20"/>
                <w:lang w:val="en-US" w:eastAsia="es-ES"/>
              </w:rPr>
              <w:t>*4(DAP)</w:t>
            </w:r>
            <w:r w:rsidRPr="00C2550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 w:eastAsia="es-ES"/>
              </w:rPr>
              <w:t>2</w:t>
            </w:r>
          </w:p>
          <w:p w:rsidR="000D4D24" w:rsidRPr="00C25508" w:rsidRDefault="000D4D24" w:rsidP="00FF253D">
            <w:pPr>
              <w:spacing w:after="0" w:line="240" w:lineRule="auto"/>
              <w:rPr>
                <w:rFonts w:ascii="Times New Roman" w:hAnsi="Times New Roman" w:cs="Times New Roman"/>
                <w:b/>
                <w:iCs/>
                <w:sz w:val="20"/>
                <w:szCs w:val="20"/>
                <w:lang w:val="en-US" w:eastAsia="es-ES"/>
              </w:rPr>
            </w:pPr>
            <w:r w:rsidRPr="00C25508">
              <w:rPr>
                <w:rFonts w:ascii="Times New Roman" w:hAnsi="Times New Roman" w:cs="Times New Roman"/>
                <w:b/>
                <w:iCs/>
                <w:sz w:val="20"/>
                <w:szCs w:val="20"/>
                <w:lang w:val="en-US" w:eastAsia="es-ES"/>
              </w:rPr>
              <w:t xml:space="preserve">h </w:t>
            </w:r>
            <w:r w:rsidRPr="00C25508">
              <w:rPr>
                <w:rFonts w:ascii="Times New Roman" w:hAnsi="Times New Roman" w:cs="Times New Roman"/>
                <w:iCs/>
                <w:sz w:val="20"/>
                <w:szCs w:val="20"/>
                <w:lang w:val="en-US" w:eastAsia="es-ES"/>
              </w:rPr>
              <w:t>= average stand height in meters</w:t>
            </w:r>
            <w:r w:rsidRPr="00C25508">
              <w:rPr>
                <w:rFonts w:ascii="Times New Roman" w:hAnsi="Times New Roman" w:cs="Times New Roman"/>
                <w:b/>
                <w:iCs/>
                <w:sz w:val="20"/>
                <w:szCs w:val="20"/>
                <w:lang w:val="en-US" w:eastAsia="es-ES"/>
              </w:rPr>
              <w:t xml:space="preserve"> </w:t>
            </w:r>
          </w:p>
          <w:p w:rsidR="000D4D24" w:rsidRPr="00C25508" w:rsidRDefault="000D4D24" w:rsidP="00FF253D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lang w:val="en-US" w:eastAsia="es-ES"/>
              </w:rPr>
            </w:pPr>
            <w:r w:rsidRPr="00C25508">
              <w:rPr>
                <w:rFonts w:ascii="Times New Roman" w:hAnsi="Times New Roman" w:cs="Times New Roman"/>
                <w:b/>
                <w:iCs/>
                <w:sz w:val="20"/>
                <w:szCs w:val="20"/>
                <w:lang w:val="en-US" w:eastAsia="es-ES"/>
              </w:rPr>
              <w:t>s</w:t>
            </w:r>
            <w:r w:rsidRPr="00C25508">
              <w:rPr>
                <w:rFonts w:ascii="Times New Roman" w:hAnsi="Times New Roman" w:cs="Times New Roman"/>
                <w:iCs/>
                <w:sz w:val="20"/>
                <w:szCs w:val="20"/>
                <w:lang w:val="en-US" w:eastAsia="es-ES"/>
              </w:rPr>
              <w:t xml:space="preserve"> = total number of species in the sample unit (0.06 ha). </w:t>
            </w:r>
          </w:p>
        </w:tc>
        <w:tc>
          <w:tcPr>
            <w:tcW w:w="1418" w:type="dxa"/>
            <w:shd w:val="clear" w:color="auto" w:fill="auto"/>
          </w:tcPr>
          <w:p w:rsidR="000D4D24" w:rsidRPr="00C25508" w:rsidRDefault="000D4D24" w:rsidP="00FF2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  <w:r w:rsidRPr="00C2550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  <w:t>Holdridge et al. (1951)</w:t>
            </w:r>
          </w:p>
        </w:tc>
      </w:tr>
    </w:tbl>
    <w:p w:rsidR="00000F57" w:rsidRDefault="000D4D24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D24"/>
    <w:rsid w:val="0007695B"/>
    <w:rsid w:val="000D4D24"/>
    <w:rsid w:val="005615C6"/>
    <w:rsid w:val="005E078B"/>
    <w:rsid w:val="007D4061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4AE3B2-510B-4100-8C15-D8C8632A8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4D24"/>
    <w:rPr>
      <w:lang w:val="es-4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31text">
    <w:name w:val="MDPI_3.1_text"/>
    <w:qFormat/>
    <w:rsid w:val="000D4D24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282</Words>
  <Characters>1608</Characters>
  <Application>Microsoft Office Word</Application>
  <DocSecurity>0</DocSecurity>
  <Lines>13</Lines>
  <Paragraphs>3</Paragraphs>
  <ScaleCrop>false</ScaleCrop>
  <Company>Springer Nature IT</Company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2022-09-23T12:42:00Z</dcterms:created>
  <dcterms:modified xsi:type="dcterms:W3CDTF">2022-09-23T12:42:00Z</dcterms:modified>
</cp:coreProperties>
</file>