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AEC7BE" w14:textId="39DAD6EF" w:rsidR="00656D9B" w:rsidRPr="000608CC" w:rsidRDefault="00656D9B" w:rsidP="007A2660">
      <w:pPr>
        <w:autoSpaceDE w:val="0"/>
        <w:autoSpaceDN w:val="0"/>
        <w:adjustRightInd w:val="0"/>
        <w:spacing w:line="480" w:lineRule="auto"/>
        <w:rPr>
          <w:rFonts w:ascii="Arial" w:eastAsia="NimbusSanL-Regu" w:hAnsi="Arial" w:cs="Arial"/>
          <w:b/>
          <w:bCs/>
          <w:kern w:val="0"/>
          <w:szCs w:val="21"/>
        </w:rPr>
      </w:pPr>
      <w:r w:rsidRPr="000608CC">
        <w:rPr>
          <w:rFonts w:ascii="Arial" w:eastAsia="NimbusSanL-Regu" w:hAnsi="Arial" w:cs="Arial"/>
          <w:b/>
          <w:bCs/>
          <w:kern w:val="0"/>
          <w:szCs w:val="21"/>
        </w:rPr>
        <w:t xml:space="preserve">Supplemental material: </w:t>
      </w:r>
    </w:p>
    <w:p w14:paraId="1B74570F" w14:textId="77777777" w:rsidR="00F04F53" w:rsidRPr="000608CC" w:rsidRDefault="00F04F53" w:rsidP="007A2660">
      <w:pPr>
        <w:autoSpaceDE w:val="0"/>
        <w:autoSpaceDN w:val="0"/>
        <w:adjustRightInd w:val="0"/>
        <w:spacing w:line="480" w:lineRule="auto"/>
        <w:rPr>
          <w:rFonts w:ascii="Arial" w:eastAsia="NimbusSanL-Regu" w:hAnsi="Arial" w:cs="Arial"/>
          <w:kern w:val="0"/>
          <w:szCs w:val="21"/>
        </w:rPr>
      </w:pPr>
    </w:p>
    <w:p w14:paraId="78D9A5F2" w14:textId="7B5DCDD5" w:rsidR="00E72F51" w:rsidRDefault="001103CE" w:rsidP="007A2660">
      <w:pPr>
        <w:spacing w:line="480" w:lineRule="auto"/>
        <w:rPr>
          <w:rFonts w:ascii="Arial" w:hAnsi="Arial" w:cs="Arial"/>
          <w:b/>
          <w:bCs/>
          <w:szCs w:val="21"/>
        </w:rPr>
      </w:pPr>
      <w:r w:rsidRPr="001103CE">
        <w:rPr>
          <w:rFonts w:ascii="Arial" w:hAnsi="Arial" w:cs="Arial"/>
          <w:b/>
          <w:bCs/>
          <w:szCs w:val="21"/>
        </w:rPr>
        <w:t>Apolipoprotein C-II</w:t>
      </w:r>
      <w:r w:rsidR="00E72F51">
        <w:rPr>
          <w:rFonts w:ascii="Arial" w:hAnsi="Arial" w:cs="Arial"/>
          <w:b/>
          <w:bCs/>
          <w:szCs w:val="21"/>
        </w:rPr>
        <w:t xml:space="preserve"> induces EMT to promote gastric cancer peritoneal metastasis via PI3K/AKT/mTOR pathway</w:t>
      </w:r>
    </w:p>
    <w:p w14:paraId="50C038B6" w14:textId="77777777" w:rsidR="00E72F51" w:rsidRDefault="00E72F51" w:rsidP="007A2660">
      <w:pPr>
        <w:spacing w:line="480" w:lineRule="auto"/>
        <w:rPr>
          <w:rFonts w:ascii="Arial" w:hAnsi="Arial" w:cs="Arial"/>
          <w:b/>
          <w:bCs/>
          <w:sz w:val="18"/>
          <w:szCs w:val="18"/>
        </w:rPr>
      </w:pPr>
    </w:p>
    <w:p w14:paraId="794C8B6F" w14:textId="77777777" w:rsidR="00E72F51" w:rsidRDefault="00E72F51" w:rsidP="007A2660">
      <w:pPr>
        <w:spacing w:line="480" w:lineRule="auto"/>
        <w:rPr>
          <w:rFonts w:ascii="Arial" w:hAnsi="Arial" w:cs="Arial"/>
          <w:kern w:val="0"/>
          <w:sz w:val="18"/>
          <w:szCs w:val="18"/>
          <w:vertAlign w:val="superscript"/>
        </w:rPr>
      </w:pPr>
      <w:r>
        <w:rPr>
          <w:rFonts w:ascii="Arial" w:hAnsi="Arial" w:cs="Arial"/>
          <w:sz w:val="18"/>
          <w:szCs w:val="18"/>
        </w:rPr>
        <w:t xml:space="preserve">Chao </w:t>
      </w:r>
      <w:r>
        <w:rPr>
          <w:rFonts w:ascii="Arial" w:hAnsi="Arial" w:cs="Arial"/>
          <w:color w:val="000000" w:themeColor="text1"/>
          <w:sz w:val="18"/>
          <w:szCs w:val="18"/>
        </w:rPr>
        <w:t>W</w:t>
      </w:r>
      <w:r>
        <w:rPr>
          <w:rFonts w:ascii="Arial" w:hAnsi="Arial" w:cs="Arial"/>
          <w:sz w:val="18"/>
          <w:szCs w:val="18"/>
        </w:rPr>
        <w:t>ang</w:t>
      </w:r>
      <w:r>
        <w:rPr>
          <w:rFonts w:ascii="Arial" w:hAnsi="Arial" w:cs="Arial"/>
          <w:sz w:val="18"/>
          <w:szCs w:val="18"/>
          <w:vertAlign w:val="superscript"/>
        </w:rPr>
        <w:t>1</w:t>
      </w:r>
      <w:bookmarkStart w:id="0" w:name="OLE_LINK290"/>
      <w:bookmarkStart w:id="1" w:name="OLE_LINK291"/>
      <w:r>
        <w:rPr>
          <w:rFonts w:ascii="Arial" w:hAnsi="Arial" w:cs="Arial"/>
          <w:sz w:val="18"/>
          <w:szCs w:val="18"/>
          <w:vertAlign w:val="superscript"/>
        </w:rPr>
        <w:t>†</w:t>
      </w:r>
      <w:bookmarkEnd w:id="0"/>
      <w:bookmarkEnd w:id="1"/>
      <w:r>
        <w:rPr>
          <w:rFonts w:ascii="Arial" w:hAnsi="Arial" w:cs="Arial"/>
          <w:sz w:val="18"/>
          <w:szCs w:val="18"/>
        </w:rPr>
        <w:t xml:space="preserve">, </w:t>
      </w:r>
      <w:proofErr w:type="spellStart"/>
      <w:r>
        <w:rPr>
          <w:rFonts w:ascii="Arial" w:hAnsi="Arial" w:cs="Arial"/>
          <w:sz w:val="18"/>
          <w:szCs w:val="18"/>
        </w:rPr>
        <w:t>Zhi</w:t>
      </w:r>
      <w:proofErr w:type="spellEnd"/>
      <w:r>
        <w:rPr>
          <w:rFonts w:ascii="Arial" w:hAnsi="Arial" w:cs="Arial"/>
          <w:sz w:val="18"/>
          <w:szCs w:val="18"/>
        </w:rPr>
        <w:t xml:space="preserve"> Yang </w:t>
      </w:r>
      <w:r>
        <w:rPr>
          <w:rFonts w:ascii="Arial" w:hAnsi="Arial" w:cs="Arial"/>
          <w:sz w:val="18"/>
          <w:szCs w:val="18"/>
          <w:vertAlign w:val="superscript"/>
        </w:rPr>
        <w:t>2†</w:t>
      </w:r>
      <w:r>
        <w:rPr>
          <w:rFonts w:ascii="Arial" w:hAnsi="Arial" w:cs="Arial"/>
          <w:sz w:val="18"/>
          <w:szCs w:val="18"/>
        </w:rPr>
        <w:t xml:space="preserve">, </w:t>
      </w:r>
      <w:proofErr w:type="spellStart"/>
      <w:r>
        <w:rPr>
          <w:rFonts w:ascii="Arial" w:hAnsi="Arial" w:cs="Arial"/>
          <w:sz w:val="18"/>
          <w:szCs w:val="18"/>
        </w:rPr>
        <w:t>En</w:t>
      </w:r>
      <w:proofErr w:type="spellEnd"/>
      <w:r>
        <w:rPr>
          <w:rFonts w:ascii="Arial" w:hAnsi="Arial" w:cs="Arial"/>
          <w:sz w:val="18"/>
          <w:szCs w:val="18"/>
        </w:rPr>
        <w:t xml:space="preserve"> Xu </w:t>
      </w:r>
      <w:r>
        <w:rPr>
          <w:rFonts w:ascii="Arial" w:hAnsi="Arial" w:cs="Arial"/>
          <w:sz w:val="18"/>
          <w:szCs w:val="18"/>
          <w:vertAlign w:val="superscript"/>
        </w:rPr>
        <w:t>1†</w:t>
      </w:r>
      <w:r>
        <w:rPr>
          <w:rFonts w:ascii="Arial" w:hAnsi="Arial" w:cs="Arial"/>
          <w:sz w:val="18"/>
          <w:szCs w:val="18"/>
        </w:rPr>
        <w:t xml:space="preserve">, </w:t>
      </w:r>
      <w:proofErr w:type="spellStart"/>
      <w:r>
        <w:rPr>
          <w:rFonts w:ascii="Arial" w:hAnsi="Arial" w:cs="Arial"/>
          <w:sz w:val="18"/>
          <w:szCs w:val="18"/>
        </w:rPr>
        <w:t>Xingzhou</w:t>
      </w:r>
      <w:proofErr w:type="spellEnd"/>
      <w:r>
        <w:rPr>
          <w:rFonts w:ascii="Arial" w:hAnsi="Arial" w:cs="Arial"/>
          <w:sz w:val="18"/>
          <w:szCs w:val="18"/>
        </w:rPr>
        <w:t xml:space="preserve"> Wang</w:t>
      </w:r>
      <w:r>
        <w:rPr>
          <w:rFonts w:ascii="Arial" w:hAnsi="Arial" w:cs="Arial"/>
          <w:sz w:val="18"/>
          <w:szCs w:val="18"/>
          <w:vertAlign w:val="superscript"/>
        </w:rPr>
        <w:t>1</w:t>
      </w:r>
      <w:r>
        <w:rPr>
          <w:rFonts w:ascii="Arial" w:hAnsi="Arial" w:cs="Arial"/>
          <w:sz w:val="18"/>
          <w:szCs w:val="18"/>
        </w:rPr>
        <w:t xml:space="preserve">, </w:t>
      </w:r>
      <w:proofErr w:type="spellStart"/>
      <w:r>
        <w:rPr>
          <w:rFonts w:ascii="Arial" w:hAnsi="Arial" w:cs="Arial"/>
          <w:sz w:val="18"/>
          <w:szCs w:val="18"/>
        </w:rPr>
        <w:t>Zijian</w:t>
      </w:r>
      <w:proofErr w:type="spellEnd"/>
      <w:r>
        <w:rPr>
          <w:rFonts w:ascii="Arial" w:hAnsi="Arial" w:cs="Arial"/>
          <w:sz w:val="18"/>
          <w:szCs w:val="18"/>
        </w:rPr>
        <w:t xml:space="preserve"> Li</w:t>
      </w:r>
      <w:r>
        <w:rPr>
          <w:rFonts w:ascii="Arial" w:hAnsi="Arial" w:cs="Arial"/>
          <w:sz w:val="18"/>
          <w:szCs w:val="18"/>
          <w:vertAlign w:val="superscript"/>
        </w:rPr>
        <w:t>2</w:t>
      </w:r>
      <w:r>
        <w:rPr>
          <w:rFonts w:ascii="Arial" w:hAnsi="Arial" w:cs="Arial"/>
          <w:sz w:val="18"/>
          <w:szCs w:val="18"/>
        </w:rPr>
        <w:t>, Heng Yu</w:t>
      </w:r>
      <w:r>
        <w:rPr>
          <w:rFonts w:ascii="Arial" w:hAnsi="Arial" w:cs="Arial"/>
          <w:sz w:val="18"/>
          <w:szCs w:val="18"/>
          <w:vertAlign w:val="superscript"/>
        </w:rPr>
        <w:t>2</w:t>
      </w:r>
      <w:r>
        <w:rPr>
          <w:rFonts w:ascii="Arial" w:hAnsi="Arial" w:cs="Arial"/>
          <w:sz w:val="18"/>
          <w:szCs w:val="18"/>
        </w:rPr>
        <w:t>, Kai Chen</w:t>
      </w:r>
      <w:r>
        <w:rPr>
          <w:rFonts w:ascii="Arial" w:hAnsi="Arial" w:cs="Arial"/>
          <w:sz w:val="18"/>
          <w:szCs w:val="18"/>
          <w:vertAlign w:val="superscript"/>
        </w:rPr>
        <w:t>1</w:t>
      </w:r>
      <w:r>
        <w:rPr>
          <w:rFonts w:ascii="Arial" w:hAnsi="Arial" w:cs="Arial"/>
          <w:sz w:val="18"/>
          <w:szCs w:val="18"/>
        </w:rPr>
        <w:t>, Song Liu</w:t>
      </w:r>
      <w:r>
        <w:rPr>
          <w:rFonts w:ascii="Arial" w:hAnsi="Arial" w:cs="Arial"/>
          <w:sz w:val="18"/>
          <w:szCs w:val="18"/>
          <w:vertAlign w:val="superscript"/>
        </w:rPr>
        <w:t>1</w:t>
      </w:r>
      <w:r>
        <w:rPr>
          <w:rFonts w:ascii="Arial" w:hAnsi="Arial" w:cs="Arial"/>
          <w:kern w:val="0"/>
          <w:sz w:val="18"/>
          <w:szCs w:val="18"/>
        </w:rPr>
        <w:t xml:space="preserve">*, </w:t>
      </w:r>
      <w:proofErr w:type="spellStart"/>
      <w:r>
        <w:rPr>
          <w:rFonts w:ascii="Arial" w:hAnsi="Arial" w:cs="Arial"/>
          <w:kern w:val="0"/>
          <w:sz w:val="18"/>
          <w:szCs w:val="18"/>
        </w:rPr>
        <w:t>Wenxian</w:t>
      </w:r>
      <w:proofErr w:type="spellEnd"/>
      <w:r>
        <w:rPr>
          <w:rFonts w:ascii="Arial" w:hAnsi="Arial" w:cs="Arial"/>
          <w:kern w:val="0"/>
          <w:sz w:val="18"/>
          <w:szCs w:val="18"/>
        </w:rPr>
        <w:t xml:space="preserve"> Guan</w:t>
      </w:r>
      <w:bookmarkStart w:id="2" w:name="OLE_LINK321"/>
      <w:bookmarkStart w:id="3" w:name="OLE_LINK322"/>
      <w:r>
        <w:rPr>
          <w:rFonts w:ascii="Arial" w:hAnsi="Arial" w:cs="Arial"/>
          <w:kern w:val="0"/>
          <w:sz w:val="18"/>
          <w:szCs w:val="18"/>
          <w:vertAlign w:val="superscript"/>
        </w:rPr>
        <w:t>1</w:t>
      </w:r>
      <w:r>
        <w:rPr>
          <w:rFonts w:ascii="Arial" w:hAnsi="Arial" w:cs="Arial"/>
          <w:kern w:val="0"/>
          <w:sz w:val="18"/>
          <w:szCs w:val="18"/>
        </w:rPr>
        <w:t>*</w:t>
      </w:r>
      <w:bookmarkEnd w:id="2"/>
      <w:bookmarkEnd w:id="3"/>
    </w:p>
    <w:p w14:paraId="088E220E" w14:textId="77777777" w:rsidR="00E72F51" w:rsidRDefault="00E72F51" w:rsidP="007A2660">
      <w:pPr>
        <w:spacing w:line="480" w:lineRule="auto"/>
        <w:rPr>
          <w:rFonts w:ascii="Arial" w:hAnsi="Arial" w:cs="Arial"/>
          <w:sz w:val="18"/>
          <w:szCs w:val="18"/>
        </w:rPr>
      </w:pPr>
    </w:p>
    <w:p w14:paraId="4FBD28F5" w14:textId="77777777" w:rsidR="00E72F51" w:rsidRDefault="00E72F51" w:rsidP="007A2660">
      <w:pPr>
        <w:spacing w:line="480" w:lineRule="auto"/>
        <w:rPr>
          <w:rFonts w:ascii="Arial" w:hAnsi="Arial" w:cs="Arial"/>
          <w:sz w:val="18"/>
          <w:szCs w:val="18"/>
        </w:rPr>
      </w:pPr>
      <w:bookmarkStart w:id="4" w:name="OLE_LINK245"/>
      <w:bookmarkStart w:id="5" w:name="OLE_LINK246"/>
      <w:bookmarkStart w:id="6" w:name="_Hlk63252033"/>
      <w:bookmarkStart w:id="7" w:name="OLE_LINK289"/>
      <w:r>
        <w:rPr>
          <w:rFonts w:ascii="Arial" w:hAnsi="Arial" w:cs="Arial"/>
          <w:sz w:val="18"/>
          <w:szCs w:val="18"/>
          <w:vertAlign w:val="superscript"/>
        </w:rPr>
        <w:t>1</w:t>
      </w:r>
      <w:r>
        <w:rPr>
          <w:rFonts w:ascii="Arial" w:hAnsi="Arial" w:cs="Arial"/>
          <w:sz w:val="18"/>
          <w:szCs w:val="18"/>
        </w:rPr>
        <w:t xml:space="preserve">Department of General Surgery, </w:t>
      </w:r>
      <w:bookmarkStart w:id="8" w:name="OLE_LINK251"/>
      <w:bookmarkStart w:id="9" w:name="OLE_LINK252"/>
      <w:r>
        <w:rPr>
          <w:rFonts w:ascii="Arial" w:hAnsi="Arial" w:cs="Arial"/>
          <w:sz w:val="18"/>
          <w:szCs w:val="18"/>
        </w:rPr>
        <w:t>Nanjing Drum Tower Hospital, The Affiliated Hospital of Nanjing University School</w:t>
      </w:r>
      <w:bookmarkEnd w:id="4"/>
      <w:bookmarkEnd w:id="5"/>
      <w:r>
        <w:rPr>
          <w:rFonts w:ascii="Arial" w:hAnsi="Arial" w:cs="Arial"/>
          <w:sz w:val="18"/>
          <w:szCs w:val="18"/>
        </w:rPr>
        <w:t>,</w:t>
      </w:r>
      <w:bookmarkEnd w:id="8"/>
      <w:bookmarkEnd w:id="9"/>
      <w:r>
        <w:rPr>
          <w:rFonts w:ascii="Arial" w:hAnsi="Arial" w:cs="Arial"/>
          <w:sz w:val="18"/>
          <w:szCs w:val="18"/>
        </w:rPr>
        <w:t xml:space="preserve"> Nanjing 210008, China; </w:t>
      </w:r>
      <w:r>
        <w:rPr>
          <w:rFonts w:ascii="Arial" w:hAnsi="Arial" w:cs="Arial"/>
          <w:sz w:val="18"/>
          <w:szCs w:val="18"/>
          <w:vertAlign w:val="superscript"/>
        </w:rPr>
        <w:t xml:space="preserve">2 </w:t>
      </w:r>
      <w:r>
        <w:rPr>
          <w:rFonts w:ascii="Arial" w:hAnsi="Arial" w:cs="Arial"/>
          <w:sz w:val="18"/>
          <w:szCs w:val="18"/>
        </w:rPr>
        <w:t>Department of General Surgery, Nanjing Drum Tower Hospital Clinical College of Nanjing Medical University, Nanjing 210008, China.</w:t>
      </w:r>
    </w:p>
    <w:bookmarkEnd w:id="6"/>
    <w:bookmarkEnd w:id="7"/>
    <w:p w14:paraId="26D92FD9" w14:textId="77777777" w:rsidR="00E72F51" w:rsidRDefault="00E72F51" w:rsidP="007A2660">
      <w:pPr>
        <w:spacing w:line="480" w:lineRule="auto"/>
        <w:rPr>
          <w:rFonts w:ascii="Arial" w:hAnsi="Arial" w:cs="Arial"/>
          <w:b/>
          <w:bCs/>
          <w:sz w:val="18"/>
          <w:szCs w:val="18"/>
        </w:rPr>
      </w:pPr>
    </w:p>
    <w:p w14:paraId="750D606F" w14:textId="77777777" w:rsidR="00E72F51" w:rsidRDefault="00E72F51" w:rsidP="007A2660">
      <w:pPr>
        <w:spacing w:line="480" w:lineRule="auto"/>
        <w:rPr>
          <w:rFonts w:ascii="Arial" w:hAnsi="Arial" w:cs="Arial"/>
          <w:sz w:val="18"/>
          <w:szCs w:val="18"/>
        </w:rPr>
      </w:pPr>
      <w:r>
        <w:rPr>
          <w:rFonts w:ascii="Arial" w:hAnsi="Arial" w:cs="Arial"/>
          <w:sz w:val="18"/>
          <w:szCs w:val="18"/>
          <w:vertAlign w:val="superscript"/>
        </w:rPr>
        <w:t>†</w:t>
      </w:r>
      <w:r>
        <w:rPr>
          <w:rFonts w:ascii="Arial" w:hAnsi="Arial" w:cs="Arial"/>
          <w:sz w:val="18"/>
          <w:szCs w:val="18"/>
        </w:rPr>
        <w:t>These authors contributed equally to this work.</w:t>
      </w:r>
    </w:p>
    <w:p w14:paraId="1D3982E7" w14:textId="77777777" w:rsidR="00E72F51" w:rsidRDefault="00E72F51" w:rsidP="007A2660">
      <w:pPr>
        <w:spacing w:line="480" w:lineRule="auto"/>
        <w:rPr>
          <w:rFonts w:ascii="Arial" w:hAnsi="Arial" w:cs="Arial"/>
          <w:sz w:val="18"/>
          <w:szCs w:val="18"/>
        </w:rPr>
      </w:pPr>
    </w:p>
    <w:p w14:paraId="425FA612" w14:textId="77777777" w:rsidR="00E72F51" w:rsidRDefault="00E72F51" w:rsidP="007A2660">
      <w:pPr>
        <w:spacing w:line="480" w:lineRule="auto"/>
        <w:rPr>
          <w:rFonts w:ascii="Arial" w:hAnsi="Arial" w:cs="Arial"/>
          <w:kern w:val="0"/>
          <w:sz w:val="18"/>
          <w:szCs w:val="18"/>
        </w:rPr>
      </w:pPr>
      <w:r>
        <w:rPr>
          <w:rFonts w:ascii="Arial" w:hAnsi="Arial" w:cs="Arial"/>
          <w:kern w:val="0"/>
          <w:sz w:val="18"/>
          <w:szCs w:val="18"/>
        </w:rPr>
        <w:t xml:space="preserve">*Corresponding author: </w:t>
      </w:r>
      <w:bookmarkStart w:id="10" w:name="OLE_LINK323"/>
      <w:bookmarkStart w:id="11" w:name="OLE_LINK324"/>
    </w:p>
    <w:p w14:paraId="6A72C552" w14:textId="77777777" w:rsidR="00E72F51" w:rsidRDefault="00E72F51" w:rsidP="007A2660">
      <w:pPr>
        <w:spacing w:line="480" w:lineRule="auto"/>
        <w:rPr>
          <w:rFonts w:ascii="Arial" w:hAnsi="Arial" w:cs="Arial"/>
          <w:kern w:val="0"/>
          <w:sz w:val="18"/>
          <w:szCs w:val="18"/>
        </w:rPr>
      </w:pPr>
      <w:proofErr w:type="spellStart"/>
      <w:r>
        <w:rPr>
          <w:rFonts w:ascii="Arial" w:hAnsi="Arial" w:cs="Arial"/>
          <w:kern w:val="0"/>
          <w:sz w:val="18"/>
          <w:szCs w:val="18"/>
        </w:rPr>
        <w:t>Wenxian</w:t>
      </w:r>
      <w:proofErr w:type="spellEnd"/>
      <w:r>
        <w:rPr>
          <w:rFonts w:ascii="Arial" w:hAnsi="Arial" w:cs="Arial"/>
          <w:kern w:val="0"/>
          <w:sz w:val="18"/>
          <w:szCs w:val="18"/>
        </w:rPr>
        <w:t xml:space="preserve"> Guan, Department of General Surgery, Nanjing Drum Tower Hospital, The Affiliated Hospital of Nanjing University School, 321 Zhongshan Road, Nanjing, Jiangsu 210008,</w:t>
      </w:r>
      <w:bookmarkEnd w:id="10"/>
      <w:bookmarkEnd w:id="11"/>
      <w:r>
        <w:rPr>
          <w:rFonts w:ascii="Arial" w:hAnsi="Arial" w:cs="Arial"/>
          <w:kern w:val="0"/>
          <w:sz w:val="18"/>
          <w:szCs w:val="18"/>
        </w:rPr>
        <w:t xml:space="preserve"> </w:t>
      </w:r>
      <w:bookmarkStart w:id="12" w:name="OLE_LINK325"/>
      <w:bookmarkStart w:id="13" w:name="OLE_LINK326"/>
      <w:r>
        <w:rPr>
          <w:rFonts w:ascii="Arial" w:hAnsi="Arial" w:cs="Arial"/>
          <w:kern w:val="0"/>
          <w:sz w:val="18"/>
          <w:szCs w:val="18"/>
        </w:rPr>
        <w:t>China; E-mail:</w:t>
      </w:r>
      <w:bookmarkEnd w:id="12"/>
      <w:bookmarkEnd w:id="13"/>
      <w:r>
        <w:rPr>
          <w:rFonts w:ascii="Arial" w:hAnsi="Arial" w:cs="Arial"/>
          <w:kern w:val="0"/>
          <w:sz w:val="18"/>
          <w:szCs w:val="18"/>
        </w:rPr>
        <w:t xml:space="preserve"> guan_wenxian@sina.com.</w:t>
      </w:r>
    </w:p>
    <w:p w14:paraId="5008D140" w14:textId="77777777" w:rsidR="00E72F51" w:rsidRDefault="00E72F51" w:rsidP="007A2660">
      <w:pPr>
        <w:spacing w:line="480" w:lineRule="auto"/>
        <w:rPr>
          <w:rFonts w:ascii="Arial" w:hAnsi="Arial" w:cs="Arial"/>
          <w:sz w:val="18"/>
          <w:szCs w:val="18"/>
        </w:rPr>
      </w:pPr>
    </w:p>
    <w:p w14:paraId="7D5064C1" w14:textId="77777777" w:rsidR="00E72F51" w:rsidRDefault="00E72F51" w:rsidP="007A2660">
      <w:pPr>
        <w:spacing w:line="480" w:lineRule="auto"/>
        <w:rPr>
          <w:rFonts w:ascii="Arial" w:hAnsi="Arial" w:cs="Arial"/>
          <w:sz w:val="18"/>
          <w:szCs w:val="18"/>
        </w:rPr>
      </w:pPr>
      <w:r>
        <w:rPr>
          <w:rFonts w:ascii="Arial" w:hAnsi="Arial" w:cs="Arial"/>
          <w:sz w:val="18"/>
          <w:szCs w:val="18"/>
        </w:rPr>
        <w:t>Song Liu, Department of General Surgery, Nanjing Drum Tower Hospital, The Affiliated Hospital of Nanjing University School, 321 Zhongshan Road, Nanjing, Jiangsu 210008, China; E-mail: medical.lis@gmail.com.</w:t>
      </w:r>
    </w:p>
    <w:p w14:paraId="024057DF" w14:textId="775DAA34" w:rsidR="00264329" w:rsidRPr="000608CC" w:rsidRDefault="00264329" w:rsidP="007A2660">
      <w:pPr>
        <w:autoSpaceDE w:val="0"/>
        <w:autoSpaceDN w:val="0"/>
        <w:adjustRightInd w:val="0"/>
        <w:spacing w:line="480" w:lineRule="auto"/>
        <w:rPr>
          <w:rFonts w:ascii="Arial" w:eastAsia="NimbusSanL-Regu" w:hAnsi="Arial" w:cs="Arial"/>
          <w:b/>
          <w:bCs/>
          <w:kern w:val="0"/>
          <w:szCs w:val="21"/>
        </w:rPr>
      </w:pPr>
    </w:p>
    <w:p w14:paraId="2B38D72E" w14:textId="6D674D2D" w:rsidR="00002A95" w:rsidRPr="00F639A4" w:rsidRDefault="00264329" w:rsidP="007A2660">
      <w:pPr>
        <w:autoSpaceDE w:val="0"/>
        <w:autoSpaceDN w:val="0"/>
        <w:adjustRightInd w:val="0"/>
        <w:spacing w:line="480" w:lineRule="auto"/>
        <w:rPr>
          <w:rFonts w:ascii="Arial" w:eastAsia="NimbusSanL-Regu" w:hAnsi="Arial" w:cs="Arial"/>
          <w:b/>
          <w:bCs/>
          <w:kern w:val="0"/>
          <w:szCs w:val="21"/>
        </w:rPr>
      </w:pPr>
      <w:r w:rsidRPr="000608CC">
        <w:rPr>
          <w:rFonts w:ascii="Arial" w:eastAsia="NimbusSanL-Regu" w:hAnsi="Arial" w:cs="Arial"/>
          <w:b/>
          <w:bCs/>
          <w:kern w:val="0"/>
          <w:szCs w:val="21"/>
        </w:rPr>
        <w:lastRenderedPageBreak/>
        <w:t>Supplemental Methods:</w:t>
      </w:r>
    </w:p>
    <w:p w14:paraId="3EA3CBC3" w14:textId="58BF20A4" w:rsidR="00002A95" w:rsidRPr="000608CC" w:rsidRDefault="00002A95" w:rsidP="007A2660">
      <w:pPr>
        <w:autoSpaceDE w:val="0"/>
        <w:autoSpaceDN w:val="0"/>
        <w:adjustRightInd w:val="0"/>
        <w:spacing w:line="480" w:lineRule="auto"/>
        <w:rPr>
          <w:rFonts w:ascii="Arial" w:eastAsia="NimbusSanL-Regu" w:hAnsi="Arial" w:cs="Arial"/>
          <w:b/>
          <w:bCs/>
          <w:kern w:val="0"/>
          <w:sz w:val="18"/>
          <w:szCs w:val="18"/>
        </w:rPr>
      </w:pPr>
      <w:bookmarkStart w:id="14" w:name="_Hlk63249866"/>
      <w:r w:rsidRPr="000608CC">
        <w:rPr>
          <w:rFonts w:ascii="Arial" w:eastAsia="NimbusSanL-Regu" w:hAnsi="Arial" w:cs="Arial"/>
          <w:b/>
          <w:bCs/>
          <w:kern w:val="0"/>
          <w:sz w:val="18"/>
          <w:szCs w:val="18"/>
        </w:rPr>
        <w:t>Tandem Mass tag (TMT) Quantification Proteomic analysis</w:t>
      </w:r>
    </w:p>
    <w:p w14:paraId="67546B76" w14:textId="623C7F28" w:rsidR="00264329" w:rsidRPr="000608CC" w:rsidRDefault="00002A95"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GC tissues and corresponding PM tissues were sampled from five patients with GC and combined. The samples were prepared and the differentially expressed proteins (DEPs) were determined using Liquid chromatography–tandem mass spectrometry (LC-MS/MS)-based proteomic and bioinformatic analyses at the Beijing Genomics Institution (BGI).</w:t>
      </w:r>
      <w:r w:rsidR="00264329" w:rsidRPr="000608CC">
        <w:rPr>
          <w:rFonts w:ascii="Arial" w:hAnsi="Arial" w:cs="Arial"/>
          <w:sz w:val="18"/>
          <w:szCs w:val="18"/>
        </w:rPr>
        <w:t xml:space="preserve"> </w:t>
      </w:r>
      <w:bookmarkStart w:id="15" w:name="OLE_LINK227"/>
      <w:bookmarkStart w:id="16" w:name="OLE_LINK228"/>
      <w:bookmarkEnd w:id="14"/>
      <w:r w:rsidR="00264329" w:rsidRPr="000608CC">
        <w:rPr>
          <w:rFonts w:ascii="Arial" w:eastAsia="NimbusSanL-Regu" w:hAnsi="Arial" w:cs="Arial"/>
          <w:kern w:val="0"/>
          <w:sz w:val="18"/>
          <w:szCs w:val="18"/>
        </w:rPr>
        <w:t>The main steps are as follows:</w:t>
      </w:r>
      <w:bookmarkEnd w:id="15"/>
      <w:bookmarkEnd w:id="16"/>
    </w:p>
    <w:p w14:paraId="2CAB6F5A" w14:textId="03F7159C"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1. Protein Extraction</w:t>
      </w:r>
    </w:p>
    <w:p w14:paraId="47DB8F3C"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(1) Weigh the appropriate amount of sample, transfer it into a 2mL centrifuge tube, add two steel beads, add 1XCocktail with appropriate amount of SDS L3 and EDTA, put on ice for 5 minutes, add DTT with the final concentration of 10mM; (2) Use a grinder (frequency is 60HZ, time is 2 minutes) to crush the tissue, centrifuge at 25,000g*4°C for 15 minutes, and take the supernatant; (3) Add DTT with the final concentration of 10mM, water bath at 56°C for 1 hour; (4) Add IAM at a final concentration of 55mM, and place in a dark room for 45 minutes; (5) Add cold acetone to the protein solution at a ratio of 1:5, place in a refrigerator at -20°C for 30 minutes, centrifuge at 25,000g*4°C for 15 minutes, and discard the supernatant; (6) Air-dry precipitation, add lysis buffer without SDS L3, use a grinder (frequency is 60HZ, time is 2 minutes) to promote protein solubilization; (7) Centrifuge for 15 minutes at 25,000g*4°C to take the supernatant, and the supernatant is the protein solution.</w:t>
      </w:r>
    </w:p>
    <w:p w14:paraId="4D12CBD6" w14:textId="59F83F18"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2. Quality Control of Protein Extraction</w:t>
      </w:r>
    </w:p>
    <w:p w14:paraId="65229ED1"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(1) Standard proteins (0.2μg/</w:t>
      </w:r>
      <w:proofErr w:type="spellStart"/>
      <w:r w:rsidRPr="000608CC">
        <w:rPr>
          <w:rFonts w:ascii="Arial" w:eastAsia="NimbusSanL-Regu" w:hAnsi="Arial" w:cs="Arial"/>
          <w:kern w:val="0"/>
          <w:sz w:val="18"/>
          <w:szCs w:val="18"/>
        </w:rPr>
        <w:t>μL</w:t>
      </w:r>
      <w:proofErr w:type="spellEnd"/>
      <w:r w:rsidRPr="000608CC">
        <w:rPr>
          <w:rFonts w:ascii="Arial" w:eastAsia="NimbusSanL-Regu" w:hAnsi="Arial" w:cs="Arial"/>
          <w:kern w:val="0"/>
          <w:sz w:val="18"/>
          <w:szCs w:val="18"/>
        </w:rPr>
        <w:t xml:space="preserve"> BSA) 0, 2, 4, 6, 8, 10, 12, 14, 16, 18μL were sequentially added to the 96-well microtiter plates A1 to A10, followed by the addition of pure water 20, 18, 16, 14, 12, 10, 8, 6, 4, 2μL, and then 180μL of Coomassie Brilliant Blue G-250 Quantitative Working Solution was added to each well. The OD595 was measured with a microplate reader, and a linear standard curve was drawn based </w:t>
      </w:r>
      <w:r w:rsidRPr="000608CC">
        <w:rPr>
          <w:rFonts w:ascii="Arial" w:eastAsia="NimbusSanL-Regu" w:hAnsi="Arial" w:cs="Arial"/>
          <w:kern w:val="0"/>
          <w:sz w:val="18"/>
          <w:szCs w:val="18"/>
        </w:rPr>
        <w:lastRenderedPageBreak/>
        <w:t>on the OD595 and protein concentration. Diluted the protein solution to be tested several times, added 180μL of the quantitative working solution to 20μL of the protein solution, and read at OD595. The sample protein concentration was calculated from the standard curve and sample OD595. (2) Each 10μg of protein solution was mixed with an appropriate amount of loading buffer, heated at 95°C for 5 minutes, centrifuged at 25,000g for 5 minutes, and the supernatant was loaded into a well of a 12% SDS polyacrylamide gel, 80V constant pressure electrophoresis for 30 minutes followed by 120V constant pressure electrophoresis for 120 minutes; After electrophoresis, the gel was stained and de-stained by a protein staining instrument for 10 minutes and the images were scanned.</w:t>
      </w:r>
    </w:p>
    <w:p w14:paraId="7C339C1A" w14:textId="61008CC1"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3. Proteolysis</w:t>
      </w:r>
    </w:p>
    <w:p w14:paraId="62F88C07"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(1) Sampling: Took 100μg (total amount of protein for digestion is adjusted according to </w:t>
      </w:r>
      <w:proofErr w:type="spellStart"/>
      <w:r w:rsidRPr="000608CC">
        <w:rPr>
          <w:rFonts w:ascii="Arial" w:eastAsia="NimbusSanL-Regu" w:hAnsi="Arial" w:cs="Arial"/>
          <w:kern w:val="0"/>
          <w:sz w:val="18"/>
          <w:szCs w:val="18"/>
        </w:rPr>
        <w:t>theproject</w:t>
      </w:r>
      <w:proofErr w:type="spellEnd"/>
      <w:r w:rsidRPr="000608CC">
        <w:rPr>
          <w:rFonts w:ascii="Arial" w:eastAsia="NimbusSanL-Regu" w:hAnsi="Arial" w:cs="Arial"/>
          <w:kern w:val="0"/>
          <w:sz w:val="18"/>
          <w:szCs w:val="18"/>
        </w:rPr>
        <w:t xml:space="preserve"> requirements) and added it to a 1.5mL centrifuge tube; (2) Dilution of protein solution: If there is high concentration of urea or SDS in the protein solution, it should be diluted with 0.5M TEAB to make the final concentration of urea less than 2M, and the final concentration of SDS is less than 0.1%; (3) According to Trypsin enzyme (</w:t>
      </w:r>
      <w:proofErr w:type="spellStart"/>
      <w:r w:rsidRPr="000608CC">
        <w:rPr>
          <w:rFonts w:ascii="Arial" w:eastAsia="NimbusSanL-Regu" w:hAnsi="Arial" w:cs="Arial"/>
          <w:kern w:val="0"/>
          <w:sz w:val="18"/>
          <w:szCs w:val="18"/>
        </w:rPr>
        <w:t>μg</w:t>
      </w:r>
      <w:proofErr w:type="spellEnd"/>
      <w:r w:rsidRPr="000608CC">
        <w:rPr>
          <w:rFonts w:ascii="Arial" w:eastAsia="NimbusSanL-Regu" w:hAnsi="Arial" w:cs="Arial"/>
          <w:kern w:val="0"/>
          <w:sz w:val="18"/>
          <w:szCs w:val="18"/>
        </w:rPr>
        <w:t>): substrate protein (</w:t>
      </w:r>
      <w:proofErr w:type="spellStart"/>
      <w:r w:rsidRPr="000608CC">
        <w:rPr>
          <w:rFonts w:ascii="Arial" w:eastAsia="NimbusSanL-Regu" w:hAnsi="Arial" w:cs="Arial"/>
          <w:kern w:val="0"/>
          <w:sz w:val="18"/>
          <w:szCs w:val="18"/>
        </w:rPr>
        <w:t>μg</w:t>
      </w:r>
      <w:proofErr w:type="spellEnd"/>
      <w:r w:rsidRPr="000608CC">
        <w:rPr>
          <w:rFonts w:ascii="Arial" w:eastAsia="NimbusSanL-Regu" w:hAnsi="Arial" w:cs="Arial"/>
          <w:kern w:val="0"/>
          <w:sz w:val="18"/>
          <w:szCs w:val="18"/>
        </w:rPr>
        <w:t>) = 1:20, enzyme solution was added, vortexed, centrifuged at low speed for 1 minute, and incubated at 37°C for 4 hours; (4) Took out the digested peptide liquid for desalting; (5) Freeze-dried the peptide liquid obtained after salt removal.</w:t>
      </w:r>
    </w:p>
    <w:p w14:paraId="7420C8AC" w14:textId="75A26B01"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4. Peptide Labeling</w:t>
      </w:r>
    </w:p>
    <w:p w14:paraId="28BF7069"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(1) Each tube of TMT (0.8mg) reagent was dissolved in 41μL of acetonitrile and shaken for more than 1 minute to fully dissolve; (2) The peptide fragment after digestion and desalting was dissolved in 0.1M TEAB solution to make the peptide concentration 3.74 </w:t>
      </w:r>
      <w:proofErr w:type="spellStart"/>
      <w:r w:rsidRPr="000608CC">
        <w:rPr>
          <w:rFonts w:ascii="Arial" w:eastAsia="NimbusSanL-Regu" w:hAnsi="Arial" w:cs="Arial"/>
          <w:kern w:val="0"/>
          <w:sz w:val="18"/>
          <w:szCs w:val="18"/>
        </w:rPr>
        <w:t>μg</w:t>
      </w:r>
      <w:proofErr w:type="spellEnd"/>
      <w:r w:rsidRPr="000608CC">
        <w:rPr>
          <w:rFonts w:ascii="Arial" w:eastAsia="NimbusSanL-Regu" w:hAnsi="Arial" w:cs="Arial"/>
          <w:kern w:val="0"/>
          <w:sz w:val="18"/>
          <w:szCs w:val="18"/>
        </w:rPr>
        <w:t>/</w:t>
      </w:r>
      <w:proofErr w:type="spellStart"/>
      <w:r w:rsidRPr="000608CC">
        <w:rPr>
          <w:rFonts w:ascii="Arial" w:eastAsia="NimbusSanL-Regu" w:hAnsi="Arial" w:cs="Arial"/>
          <w:kern w:val="0"/>
          <w:sz w:val="18"/>
          <w:szCs w:val="18"/>
        </w:rPr>
        <w:t>μL</w:t>
      </w:r>
      <w:proofErr w:type="spellEnd"/>
      <w:r w:rsidRPr="000608CC">
        <w:rPr>
          <w:rFonts w:ascii="Arial" w:eastAsia="NimbusSanL-Regu" w:hAnsi="Arial" w:cs="Arial"/>
          <w:kern w:val="0"/>
          <w:sz w:val="18"/>
          <w:szCs w:val="18"/>
        </w:rPr>
        <w:t xml:space="preserve">, and shook for more than 1 minute to fully dissolve; (3) Took 100μg of peptide (26.7μL) and 41μL of TMT reagent for rapid mixing, shook and centrifuged, and then checked the pH value between 7.0-8.0; (4) The same procedure was used for each </w:t>
      </w:r>
      <w:r w:rsidRPr="000608CC">
        <w:rPr>
          <w:rFonts w:ascii="Arial" w:eastAsia="NimbusSanL-Regu" w:hAnsi="Arial" w:cs="Arial"/>
          <w:kern w:val="0"/>
          <w:sz w:val="18"/>
          <w:szCs w:val="18"/>
        </w:rPr>
        <w:lastRenderedPageBreak/>
        <w:t>channel of the TMT reagent and allowed to stand at room temperature for 2 hours to obtain sufficient labeling.</w:t>
      </w:r>
    </w:p>
    <w:p w14:paraId="534844C9" w14:textId="0447D109"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5. Peptide Fractionation</w:t>
      </w:r>
    </w:p>
    <w:p w14:paraId="1683A84A"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The Shimadzu LC-20AB liquid phase system was used, and the separation column was a 5um 4.6x250mm Gemini C18 column for liquid phase separation of the sample. The dried peptide samples were reconstituted with mobile phase A (5% ACN pH 9.8) and injected, eluting at a flow rate of 1mL/min by following gradients: 5% mobile phase B (95% ACN, pH 9.8) for 10 minutes. 5% to 35% mobile phase B for 40 minutes, 35% to 95% mobile phase B for </w:t>
      </w:r>
      <w:proofErr w:type="gramStart"/>
      <w:r w:rsidRPr="000608CC">
        <w:rPr>
          <w:rFonts w:ascii="Arial" w:eastAsia="NimbusSanL-Regu" w:hAnsi="Arial" w:cs="Arial"/>
          <w:kern w:val="0"/>
          <w:sz w:val="18"/>
          <w:szCs w:val="18"/>
        </w:rPr>
        <w:t>1 minute</w:t>
      </w:r>
      <w:proofErr w:type="gramEnd"/>
      <w:r w:rsidRPr="000608CC">
        <w:rPr>
          <w:rFonts w:ascii="Arial" w:eastAsia="NimbusSanL-Regu" w:hAnsi="Arial" w:cs="Arial"/>
          <w:kern w:val="0"/>
          <w:sz w:val="18"/>
          <w:szCs w:val="18"/>
        </w:rPr>
        <w:t>, mobile phase B for 3 minutes, and 5% mobile phase B for 10 minutes. The elution peak was monitored at a wavelength of 214nm and one component was collected per minute, and the samples were combined according to the chromatographic elution peak map to obtain 20 components, which were then freeze-dried.</w:t>
      </w:r>
    </w:p>
    <w:p w14:paraId="53DBED7B" w14:textId="6EDD5E10"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6. HPLC</w:t>
      </w:r>
    </w:p>
    <w:p w14:paraId="37327647"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The dried peptide samples were reconstituted with mobile phase A (2% ACN, 0.1% FA), centrifuged at 20,000g for 10 minutes, and the supernatant was taken for injection. Separation was performed by Thermo </w:t>
      </w:r>
      <w:proofErr w:type="spellStart"/>
      <w:r w:rsidRPr="000608CC">
        <w:rPr>
          <w:rFonts w:ascii="Arial" w:eastAsia="NimbusSanL-Regu" w:hAnsi="Arial" w:cs="Arial"/>
          <w:kern w:val="0"/>
          <w:sz w:val="18"/>
          <w:szCs w:val="18"/>
        </w:rPr>
        <w:t>UltiMate</w:t>
      </w:r>
      <w:proofErr w:type="spellEnd"/>
      <w:r w:rsidRPr="000608CC">
        <w:rPr>
          <w:rFonts w:ascii="Arial" w:eastAsia="NimbusSanL-Regu" w:hAnsi="Arial" w:cs="Arial"/>
          <w:kern w:val="0"/>
          <w:sz w:val="18"/>
          <w:szCs w:val="18"/>
        </w:rPr>
        <w:t xml:space="preserve"> 3000 UHPLC. The sample was first enriched in trap column and desalted, and then entered a self-packed C18 column (75μm internal diameter, 3μm column size, 25cm column length) and separated at a flow rate of 300nL/min by the following effective gradient: 0~5 minutes, 5% mobile phase B (98% ACN, 0.1% FA); 5~45 minutes, mobile phase B linearly increased from 5% to 25%; 45~50minutes, mobile phase B increased from 25% to 35%; 50~52 minutes, mobile phase B rose from 35% to 80%; 52~54 minutes, 80% mobile phase B; 54~60 minutes, 5% mobile phase B. The nanoliter liquid phase separation end was directly connected to the mass spectrometer.</w:t>
      </w:r>
    </w:p>
    <w:p w14:paraId="25F05F88" w14:textId="523F7146"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7 Mass Spectrometry Detection</w:t>
      </w:r>
    </w:p>
    <w:p w14:paraId="118DA0CD"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lastRenderedPageBreak/>
        <w:t xml:space="preserve">The peptides separated by liquid phase chromatography were ionized by a </w:t>
      </w:r>
      <w:proofErr w:type="spellStart"/>
      <w:r w:rsidRPr="000608CC">
        <w:rPr>
          <w:rFonts w:ascii="Arial" w:eastAsia="NimbusSanL-Regu" w:hAnsi="Arial" w:cs="Arial"/>
          <w:kern w:val="0"/>
          <w:sz w:val="18"/>
          <w:szCs w:val="18"/>
        </w:rPr>
        <w:t>nanoESI</w:t>
      </w:r>
      <w:proofErr w:type="spellEnd"/>
      <w:r w:rsidRPr="000608CC">
        <w:rPr>
          <w:rFonts w:ascii="Arial" w:eastAsia="NimbusSanL-Regu" w:hAnsi="Arial" w:cs="Arial"/>
          <w:kern w:val="0"/>
          <w:sz w:val="18"/>
          <w:szCs w:val="18"/>
        </w:rPr>
        <w:t xml:space="preserve"> source and then passed to a tandem mass spectrometer Q-</w:t>
      </w:r>
      <w:proofErr w:type="spellStart"/>
      <w:r w:rsidRPr="000608CC">
        <w:rPr>
          <w:rFonts w:ascii="Arial" w:eastAsia="NimbusSanL-Regu" w:hAnsi="Arial" w:cs="Arial"/>
          <w:kern w:val="0"/>
          <w:sz w:val="18"/>
          <w:szCs w:val="18"/>
        </w:rPr>
        <w:t>Exactive</w:t>
      </w:r>
      <w:proofErr w:type="spellEnd"/>
      <w:r w:rsidRPr="000608CC">
        <w:rPr>
          <w:rFonts w:ascii="Arial" w:eastAsia="NimbusSanL-Regu" w:hAnsi="Arial" w:cs="Arial"/>
          <w:kern w:val="0"/>
          <w:sz w:val="18"/>
          <w:szCs w:val="18"/>
        </w:rPr>
        <w:t xml:space="preserve"> HF X (Thermo Fisher Scientific, San Jose, CA) for DDA (Data Dependent Acquisition) mode detection. The main parameters were set: ion source voltage was set to 1.9kV, MS1 scanning range was 350~1,500m/z; resolution was set to 60,000; MS2 starting m/z was fixed at 100; resolution was 15,000. The ion screening conditions for MS2 fragmentation: charge 2+ to 6+, and the top 20 parent ions with the peak intensity exceeding 10,000. The ion fragmentation mode was HCD, and the fragment ions were detected in Orbitrap. The dynamic exclusion time was set to 30 seconds. The AGC was set to: MS1 3E6, MS2 1E5.</w:t>
      </w:r>
    </w:p>
    <w:p w14:paraId="4CAE6A4B" w14:textId="77777777" w:rsidR="000608CC" w:rsidRDefault="000608CC" w:rsidP="007A2660">
      <w:pPr>
        <w:autoSpaceDE w:val="0"/>
        <w:autoSpaceDN w:val="0"/>
        <w:adjustRightInd w:val="0"/>
        <w:spacing w:line="480" w:lineRule="auto"/>
        <w:rPr>
          <w:rFonts w:ascii="Arial" w:eastAsia="NimbusSanL-Regu" w:hAnsi="Arial" w:cs="Arial"/>
          <w:kern w:val="0"/>
          <w:sz w:val="18"/>
          <w:szCs w:val="18"/>
        </w:rPr>
      </w:pPr>
    </w:p>
    <w:p w14:paraId="1DB3FE0C" w14:textId="733B801A" w:rsidR="00002A95" w:rsidRPr="000608CC" w:rsidRDefault="00002A95" w:rsidP="007A2660">
      <w:pPr>
        <w:autoSpaceDE w:val="0"/>
        <w:autoSpaceDN w:val="0"/>
        <w:adjustRightInd w:val="0"/>
        <w:spacing w:line="480" w:lineRule="auto"/>
        <w:rPr>
          <w:rFonts w:ascii="Arial" w:eastAsia="NimbusSanL-Regu" w:hAnsi="Arial" w:cs="Arial"/>
          <w:b/>
          <w:bCs/>
          <w:kern w:val="0"/>
          <w:sz w:val="18"/>
          <w:szCs w:val="18"/>
        </w:rPr>
      </w:pPr>
      <w:bookmarkStart w:id="17" w:name="_Hlk63249904"/>
      <w:bookmarkStart w:id="18" w:name="OLE_LINK288"/>
      <w:r w:rsidRPr="000608CC">
        <w:rPr>
          <w:rFonts w:ascii="Arial" w:eastAsia="NimbusSanL-Regu" w:hAnsi="Arial" w:cs="Arial"/>
          <w:b/>
          <w:bCs/>
          <w:kern w:val="0"/>
          <w:sz w:val="18"/>
          <w:szCs w:val="18"/>
        </w:rPr>
        <w:t>RNA sequencing analysis</w:t>
      </w:r>
    </w:p>
    <w:p w14:paraId="2C0F4840" w14:textId="3D73B24A" w:rsidR="00264329" w:rsidRPr="000608CC" w:rsidRDefault="00002A95"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The mRNA of the AGS cells knocked down for APOC2 expression and untreated AGS cells was extracted and sent to Shanghai Gene-Pharma Co., Ltd. for mRNA sequencing. </w:t>
      </w:r>
      <w:bookmarkEnd w:id="17"/>
      <w:bookmarkEnd w:id="18"/>
      <w:r w:rsidR="00264329" w:rsidRPr="000608CC">
        <w:rPr>
          <w:rFonts w:ascii="Arial" w:eastAsia="NimbusSanL-Regu" w:hAnsi="Arial" w:cs="Arial"/>
          <w:kern w:val="0"/>
          <w:sz w:val="18"/>
          <w:szCs w:val="18"/>
        </w:rPr>
        <w:t>The main steps are as follows:</w:t>
      </w:r>
    </w:p>
    <w:p w14:paraId="51DD5F2B" w14:textId="060C2858"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1. RNA quantification and qualification</w:t>
      </w:r>
    </w:p>
    <w:p w14:paraId="3498E7F0" w14:textId="616D3DE2"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(1) RNA degradation and contamination </w:t>
      </w:r>
      <w:r w:rsidR="00F04F53" w:rsidRPr="000608CC">
        <w:rPr>
          <w:rFonts w:ascii="Arial" w:eastAsia="NimbusSanL-Regu" w:hAnsi="Arial" w:cs="Arial"/>
          <w:kern w:val="0"/>
          <w:sz w:val="18"/>
          <w:szCs w:val="18"/>
        </w:rPr>
        <w:t xml:space="preserve">were </w:t>
      </w:r>
      <w:r w:rsidRPr="000608CC">
        <w:rPr>
          <w:rFonts w:ascii="Arial" w:eastAsia="NimbusSanL-Regu" w:hAnsi="Arial" w:cs="Arial"/>
          <w:kern w:val="0"/>
          <w:sz w:val="18"/>
          <w:szCs w:val="18"/>
        </w:rPr>
        <w:t xml:space="preserve">monitored on 1% agarose gels. (2) RNA purity was checked using the </w:t>
      </w:r>
      <w:proofErr w:type="spellStart"/>
      <w:r w:rsidRPr="000608CC">
        <w:rPr>
          <w:rFonts w:ascii="Arial" w:eastAsia="NimbusSanL-Regu" w:hAnsi="Arial" w:cs="Arial"/>
          <w:kern w:val="0"/>
          <w:sz w:val="18"/>
          <w:szCs w:val="18"/>
        </w:rPr>
        <w:t>NanoPhotometer</w:t>
      </w:r>
      <w:proofErr w:type="spellEnd"/>
      <w:r w:rsidRPr="000608CC">
        <w:rPr>
          <w:rFonts w:ascii="Arial" w:eastAsia="NimbusSanL-Regu" w:hAnsi="Arial" w:cs="Arial"/>
          <w:kern w:val="0"/>
          <w:sz w:val="18"/>
          <w:szCs w:val="18"/>
        </w:rPr>
        <w:t>® spectrophotometer (IMPLEN, CA, USA). (3) RNA integrity was assessed using the RNA Nano 6000 Assay Kit of the Bioanalyzer 2100 system (Agilent Technologies, CA, USA).</w:t>
      </w:r>
    </w:p>
    <w:p w14:paraId="6906AA91" w14:textId="1F57AB4D"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2. Library preparation for Transcriptome sequencing</w:t>
      </w:r>
    </w:p>
    <w:p w14:paraId="3FCA6859"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A total amount of 1 </w:t>
      </w:r>
      <w:proofErr w:type="spellStart"/>
      <w:r w:rsidRPr="000608CC">
        <w:rPr>
          <w:rFonts w:ascii="Arial" w:eastAsia="NimbusSanL-Regu" w:hAnsi="Arial" w:cs="Arial"/>
          <w:kern w:val="0"/>
          <w:sz w:val="18"/>
          <w:szCs w:val="18"/>
        </w:rPr>
        <w:t>μg</w:t>
      </w:r>
      <w:proofErr w:type="spellEnd"/>
      <w:r w:rsidRPr="000608CC">
        <w:rPr>
          <w:rFonts w:ascii="Arial" w:eastAsia="NimbusSanL-Regu" w:hAnsi="Arial" w:cs="Arial"/>
          <w:kern w:val="0"/>
          <w:sz w:val="18"/>
          <w:szCs w:val="18"/>
        </w:rPr>
        <w:t xml:space="preserve"> RNA per sample was used as input material for the RNA sample preparations. Sequencing libraries were generated using </w:t>
      </w:r>
      <w:proofErr w:type="spellStart"/>
      <w:r w:rsidRPr="000608CC">
        <w:rPr>
          <w:rFonts w:ascii="Arial" w:eastAsia="NimbusSanL-Regu" w:hAnsi="Arial" w:cs="Arial"/>
          <w:kern w:val="0"/>
          <w:sz w:val="18"/>
          <w:szCs w:val="18"/>
        </w:rPr>
        <w:t>NEBNext</w:t>
      </w:r>
      <w:proofErr w:type="spellEnd"/>
      <w:r w:rsidRPr="000608CC">
        <w:rPr>
          <w:rFonts w:ascii="Arial" w:eastAsia="NimbusSanL-Regu" w:hAnsi="Arial" w:cs="Arial"/>
          <w:kern w:val="0"/>
          <w:sz w:val="18"/>
          <w:szCs w:val="18"/>
        </w:rPr>
        <w:t xml:space="preserve">® </w:t>
      </w:r>
      <w:proofErr w:type="spellStart"/>
      <w:r w:rsidRPr="000608CC">
        <w:rPr>
          <w:rFonts w:ascii="Arial" w:eastAsia="NimbusSanL-Regu" w:hAnsi="Arial" w:cs="Arial"/>
          <w:kern w:val="0"/>
          <w:sz w:val="18"/>
          <w:szCs w:val="18"/>
        </w:rPr>
        <w:t>UltraTM</w:t>
      </w:r>
      <w:proofErr w:type="spellEnd"/>
      <w:r w:rsidRPr="000608CC">
        <w:rPr>
          <w:rFonts w:ascii="Arial" w:eastAsia="NimbusSanL-Regu" w:hAnsi="Arial" w:cs="Arial"/>
          <w:kern w:val="0"/>
          <w:sz w:val="18"/>
          <w:szCs w:val="18"/>
        </w:rPr>
        <w:t xml:space="preserve"> RNA Library Prep Kit for Illumina® (NEB, USA) following manufacturer’s recommendations and index codes were added to attribute sequences to each sample. Briefly, mRNA was purified from total RNA using poly-T oligo-attached magnetic beads. Fragmentation was carried out using divalent cations under elevated temperature in </w:t>
      </w:r>
      <w:proofErr w:type="spellStart"/>
      <w:r w:rsidRPr="000608CC">
        <w:rPr>
          <w:rFonts w:ascii="Arial" w:eastAsia="NimbusSanL-Regu" w:hAnsi="Arial" w:cs="Arial"/>
          <w:kern w:val="0"/>
          <w:sz w:val="18"/>
          <w:szCs w:val="18"/>
        </w:rPr>
        <w:t>NEBNext</w:t>
      </w:r>
      <w:proofErr w:type="spellEnd"/>
      <w:r w:rsidRPr="000608CC">
        <w:rPr>
          <w:rFonts w:ascii="Arial" w:eastAsia="NimbusSanL-Regu" w:hAnsi="Arial" w:cs="Arial"/>
          <w:kern w:val="0"/>
          <w:sz w:val="18"/>
          <w:szCs w:val="18"/>
        </w:rPr>
        <w:t xml:space="preserve"> First Strand </w:t>
      </w:r>
      <w:r w:rsidRPr="000608CC">
        <w:rPr>
          <w:rFonts w:ascii="Arial" w:eastAsia="NimbusSanL-Regu" w:hAnsi="Arial" w:cs="Arial"/>
          <w:kern w:val="0"/>
          <w:sz w:val="18"/>
          <w:szCs w:val="18"/>
        </w:rPr>
        <w:lastRenderedPageBreak/>
        <w:t>Synthesis Reaction Buffer(5X). First strand cDNA was synthesized using random hexamer primer and M-</w:t>
      </w:r>
      <w:proofErr w:type="spellStart"/>
      <w:r w:rsidRPr="000608CC">
        <w:rPr>
          <w:rFonts w:ascii="Arial" w:eastAsia="NimbusSanL-Regu" w:hAnsi="Arial" w:cs="Arial"/>
          <w:kern w:val="0"/>
          <w:sz w:val="18"/>
          <w:szCs w:val="18"/>
        </w:rPr>
        <w:t>MuLV</w:t>
      </w:r>
      <w:proofErr w:type="spellEnd"/>
      <w:r w:rsidRPr="000608CC">
        <w:rPr>
          <w:rFonts w:ascii="Arial" w:eastAsia="NimbusSanL-Regu" w:hAnsi="Arial" w:cs="Arial"/>
          <w:kern w:val="0"/>
          <w:sz w:val="18"/>
          <w:szCs w:val="18"/>
        </w:rPr>
        <w:t xml:space="preserve"> Reverse Transcriptase (RNase H-). Second strand cDNA synthesis was subsequently performed using DNA Polymerase I and RNase H. Remaining overhangs were converted into blunt ends via exonuclease/polymerase activities. After adenylation of 3’ ends of DNA fragments, </w:t>
      </w:r>
      <w:proofErr w:type="spellStart"/>
      <w:r w:rsidRPr="000608CC">
        <w:rPr>
          <w:rFonts w:ascii="Arial" w:eastAsia="NimbusSanL-Regu" w:hAnsi="Arial" w:cs="Arial"/>
          <w:kern w:val="0"/>
          <w:sz w:val="18"/>
          <w:szCs w:val="18"/>
        </w:rPr>
        <w:t>NEBNext</w:t>
      </w:r>
      <w:proofErr w:type="spellEnd"/>
      <w:r w:rsidRPr="000608CC">
        <w:rPr>
          <w:rFonts w:ascii="Arial" w:eastAsia="NimbusSanL-Regu" w:hAnsi="Arial" w:cs="Arial"/>
          <w:kern w:val="0"/>
          <w:sz w:val="18"/>
          <w:szCs w:val="18"/>
        </w:rPr>
        <w:t xml:space="preserve"> Adaptor with hairpin loop structure were ligated to prepare for hybridization. In order to select cDNA fragments of preferentially 250~300 bp in length, the library fragments were purified with </w:t>
      </w:r>
      <w:proofErr w:type="spellStart"/>
      <w:r w:rsidRPr="000608CC">
        <w:rPr>
          <w:rFonts w:ascii="Arial" w:eastAsia="NimbusSanL-Regu" w:hAnsi="Arial" w:cs="Arial"/>
          <w:kern w:val="0"/>
          <w:sz w:val="18"/>
          <w:szCs w:val="18"/>
        </w:rPr>
        <w:t>AMPure</w:t>
      </w:r>
      <w:proofErr w:type="spellEnd"/>
      <w:r w:rsidRPr="000608CC">
        <w:rPr>
          <w:rFonts w:ascii="Arial" w:eastAsia="NimbusSanL-Regu" w:hAnsi="Arial" w:cs="Arial"/>
          <w:kern w:val="0"/>
          <w:sz w:val="18"/>
          <w:szCs w:val="18"/>
        </w:rPr>
        <w:t xml:space="preserve"> XP system (Beckman Coulter, Beverly, USA). Then 3 </w:t>
      </w:r>
      <w:proofErr w:type="spellStart"/>
      <w:r w:rsidRPr="000608CC">
        <w:rPr>
          <w:rFonts w:ascii="Arial" w:eastAsia="NimbusSanL-Regu" w:hAnsi="Arial" w:cs="Arial"/>
          <w:kern w:val="0"/>
          <w:sz w:val="18"/>
          <w:szCs w:val="18"/>
        </w:rPr>
        <w:t>μl</w:t>
      </w:r>
      <w:proofErr w:type="spellEnd"/>
      <w:r w:rsidRPr="000608CC">
        <w:rPr>
          <w:rFonts w:ascii="Arial" w:eastAsia="NimbusSanL-Regu" w:hAnsi="Arial" w:cs="Arial"/>
          <w:kern w:val="0"/>
          <w:sz w:val="18"/>
          <w:szCs w:val="18"/>
        </w:rPr>
        <w:t xml:space="preserve"> USER Enzyme (NEB, USA) was used with size-selected, adaptor-ligated cDNA at 37°C for 15 m in followed by 5 min at 95 °</w:t>
      </w:r>
      <w:proofErr w:type="spellStart"/>
      <w:r w:rsidRPr="000608CC">
        <w:rPr>
          <w:rFonts w:ascii="Arial" w:eastAsia="NimbusSanL-Regu" w:hAnsi="Arial" w:cs="Arial"/>
          <w:kern w:val="0"/>
          <w:sz w:val="18"/>
          <w:szCs w:val="18"/>
        </w:rPr>
        <w:t>Cbefore</w:t>
      </w:r>
      <w:proofErr w:type="spellEnd"/>
      <w:r w:rsidRPr="000608CC">
        <w:rPr>
          <w:rFonts w:ascii="Arial" w:eastAsia="NimbusSanL-Regu" w:hAnsi="Arial" w:cs="Arial"/>
          <w:kern w:val="0"/>
          <w:sz w:val="18"/>
          <w:szCs w:val="18"/>
        </w:rPr>
        <w:t xml:space="preserve"> PCR. Then PCR was performed with Phusion High -Fidelity DNA polymerase, Universal PCR primers and Index (X) Primer. At last, PCR products were purified (</w:t>
      </w:r>
      <w:proofErr w:type="spellStart"/>
      <w:r w:rsidRPr="000608CC">
        <w:rPr>
          <w:rFonts w:ascii="Arial" w:eastAsia="NimbusSanL-Regu" w:hAnsi="Arial" w:cs="Arial"/>
          <w:kern w:val="0"/>
          <w:sz w:val="18"/>
          <w:szCs w:val="18"/>
        </w:rPr>
        <w:t>AMPure</w:t>
      </w:r>
      <w:proofErr w:type="spellEnd"/>
      <w:r w:rsidRPr="000608CC">
        <w:rPr>
          <w:rFonts w:ascii="Arial" w:eastAsia="NimbusSanL-Regu" w:hAnsi="Arial" w:cs="Arial"/>
          <w:kern w:val="0"/>
          <w:sz w:val="18"/>
          <w:szCs w:val="18"/>
        </w:rPr>
        <w:t xml:space="preserve"> XP system) and library quality was assessed on the Agilent Bioanalyzer 2100 system. </w:t>
      </w:r>
    </w:p>
    <w:p w14:paraId="5311F8D8" w14:textId="3E10C830"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3. Clustering and sequencing (</w:t>
      </w:r>
      <w:proofErr w:type="spellStart"/>
      <w:r w:rsidRPr="000608CC">
        <w:rPr>
          <w:rFonts w:ascii="Arial" w:eastAsia="NimbusSanL-Regu" w:hAnsi="Arial" w:cs="Arial"/>
          <w:kern w:val="0"/>
          <w:sz w:val="18"/>
          <w:szCs w:val="18"/>
        </w:rPr>
        <w:t>Genechem</w:t>
      </w:r>
      <w:proofErr w:type="spellEnd"/>
      <w:r w:rsidR="00080C8F" w:rsidRPr="000608CC">
        <w:rPr>
          <w:rFonts w:ascii="Arial" w:eastAsia="NimbusSanL-Regu" w:hAnsi="Arial" w:cs="Arial"/>
          <w:kern w:val="0"/>
          <w:sz w:val="18"/>
          <w:szCs w:val="18"/>
        </w:rPr>
        <w:t xml:space="preserve"> </w:t>
      </w:r>
      <w:r w:rsidRPr="000608CC">
        <w:rPr>
          <w:rFonts w:ascii="Arial" w:eastAsia="NimbusSanL-Regu" w:hAnsi="Arial" w:cs="Arial"/>
          <w:kern w:val="0"/>
          <w:sz w:val="18"/>
          <w:szCs w:val="18"/>
        </w:rPr>
        <w:t>Experimental Department)</w:t>
      </w:r>
    </w:p>
    <w:p w14:paraId="7384607D"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r w:rsidRPr="000608CC">
        <w:rPr>
          <w:rFonts w:ascii="Arial" w:eastAsia="NimbusSanL-Regu" w:hAnsi="Arial" w:cs="Arial"/>
          <w:kern w:val="0"/>
          <w:sz w:val="18"/>
          <w:szCs w:val="18"/>
        </w:rPr>
        <w:t xml:space="preserve">The clustering of the index-coded samples was performed on a </w:t>
      </w:r>
      <w:proofErr w:type="spellStart"/>
      <w:r w:rsidRPr="000608CC">
        <w:rPr>
          <w:rFonts w:ascii="Arial" w:eastAsia="NimbusSanL-Regu" w:hAnsi="Arial" w:cs="Arial"/>
          <w:kern w:val="0"/>
          <w:sz w:val="18"/>
          <w:szCs w:val="18"/>
        </w:rPr>
        <w:t>cBot</w:t>
      </w:r>
      <w:proofErr w:type="spellEnd"/>
      <w:r w:rsidRPr="000608CC">
        <w:rPr>
          <w:rFonts w:ascii="Arial" w:eastAsia="NimbusSanL-Regu" w:hAnsi="Arial" w:cs="Arial"/>
          <w:kern w:val="0"/>
          <w:sz w:val="18"/>
          <w:szCs w:val="18"/>
        </w:rPr>
        <w:t xml:space="preserve"> Cluster Generation System using </w:t>
      </w:r>
      <w:proofErr w:type="spellStart"/>
      <w:r w:rsidRPr="000608CC">
        <w:rPr>
          <w:rFonts w:ascii="Arial" w:eastAsia="NimbusSanL-Regu" w:hAnsi="Arial" w:cs="Arial"/>
          <w:kern w:val="0"/>
          <w:sz w:val="18"/>
          <w:szCs w:val="18"/>
        </w:rPr>
        <w:t>TruSeq</w:t>
      </w:r>
      <w:proofErr w:type="spellEnd"/>
      <w:r w:rsidRPr="000608CC">
        <w:rPr>
          <w:rFonts w:ascii="Arial" w:eastAsia="NimbusSanL-Regu" w:hAnsi="Arial" w:cs="Arial"/>
          <w:kern w:val="0"/>
          <w:sz w:val="18"/>
          <w:szCs w:val="18"/>
        </w:rPr>
        <w:t xml:space="preserve"> PE Cluster Kit v3-cBot-HS (</w:t>
      </w:r>
      <w:proofErr w:type="spellStart"/>
      <w:r w:rsidRPr="000608CC">
        <w:rPr>
          <w:rFonts w:ascii="Arial" w:eastAsia="NimbusSanL-Regu" w:hAnsi="Arial" w:cs="Arial"/>
          <w:kern w:val="0"/>
          <w:sz w:val="18"/>
          <w:szCs w:val="18"/>
        </w:rPr>
        <w:t>Illumia</w:t>
      </w:r>
      <w:proofErr w:type="spellEnd"/>
      <w:r w:rsidRPr="000608CC">
        <w:rPr>
          <w:rFonts w:ascii="Arial" w:eastAsia="NimbusSanL-Regu" w:hAnsi="Arial" w:cs="Arial"/>
          <w:kern w:val="0"/>
          <w:sz w:val="18"/>
          <w:szCs w:val="18"/>
        </w:rPr>
        <w:t xml:space="preserve">) according to the manufacturer’s instructions. After cluster generation, the library preparations were sequenced on an Illumina </w:t>
      </w:r>
      <w:proofErr w:type="spellStart"/>
      <w:r w:rsidRPr="000608CC">
        <w:rPr>
          <w:rFonts w:ascii="Arial" w:eastAsia="NimbusSanL-Regu" w:hAnsi="Arial" w:cs="Arial"/>
          <w:kern w:val="0"/>
          <w:sz w:val="18"/>
          <w:szCs w:val="18"/>
        </w:rPr>
        <w:t>Novaseq</w:t>
      </w:r>
      <w:proofErr w:type="spellEnd"/>
      <w:r w:rsidRPr="000608CC">
        <w:rPr>
          <w:rFonts w:ascii="Arial" w:eastAsia="NimbusSanL-Regu" w:hAnsi="Arial" w:cs="Arial"/>
          <w:kern w:val="0"/>
          <w:sz w:val="18"/>
          <w:szCs w:val="18"/>
        </w:rPr>
        <w:t xml:space="preserve"> platform and 150 bp paired-end reads were generated.</w:t>
      </w:r>
    </w:p>
    <w:p w14:paraId="65AE93FA" w14:textId="77777777" w:rsidR="00264329" w:rsidRPr="000608CC" w:rsidRDefault="00264329" w:rsidP="007A2660">
      <w:pPr>
        <w:autoSpaceDE w:val="0"/>
        <w:autoSpaceDN w:val="0"/>
        <w:adjustRightInd w:val="0"/>
        <w:spacing w:line="480" w:lineRule="auto"/>
        <w:rPr>
          <w:rFonts w:ascii="Arial" w:eastAsia="NimbusSanL-Regu" w:hAnsi="Arial" w:cs="Arial"/>
          <w:kern w:val="0"/>
          <w:sz w:val="18"/>
          <w:szCs w:val="18"/>
        </w:rPr>
      </w:pPr>
    </w:p>
    <w:p w14:paraId="7EBF82F9" w14:textId="141083D8" w:rsidR="00002A95" w:rsidRPr="000608CC" w:rsidRDefault="00002A95" w:rsidP="007A2660">
      <w:pPr>
        <w:autoSpaceDE w:val="0"/>
        <w:autoSpaceDN w:val="0"/>
        <w:adjustRightInd w:val="0"/>
        <w:spacing w:line="480" w:lineRule="auto"/>
        <w:jc w:val="left"/>
        <w:rPr>
          <w:rFonts w:ascii="Arial" w:eastAsia="NimbusSanL-Regu" w:hAnsi="Arial" w:cs="Arial"/>
          <w:kern w:val="0"/>
          <w:sz w:val="18"/>
          <w:szCs w:val="18"/>
        </w:rPr>
      </w:pPr>
    </w:p>
    <w:p w14:paraId="05AFE205" w14:textId="3EDA68AF" w:rsidR="001728B4" w:rsidRPr="00E72F51" w:rsidRDefault="00002A95" w:rsidP="007A2660">
      <w:pPr>
        <w:autoSpaceDE w:val="0"/>
        <w:autoSpaceDN w:val="0"/>
        <w:adjustRightInd w:val="0"/>
        <w:spacing w:line="480" w:lineRule="auto"/>
        <w:jc w:val="left"/>
        <w:rPr>
          <w:rFonts w:ascii="Arial" w:eastAsia="NimbusSanL-Regu" w:hAnsi="Arial" w:cs="Arial"/>
          <w:b/>
          <w:bCs/>
          <w:kern w:val="0"/>
          <w:szCs w:val="21"/>
        </w:rPr>
      </w:pPr>
      <w:r w:rsidRPr="00E72F51">
        <w:rPr>
          <w:rFonts w:ascii="Arial" w:eastAsia="NimbusSanL-Regu" w:hAnsi="Arial" w:cs="Arial"/>
          <w:b/>
          <w:bCs/>
          <w:kern w:val="0"/>
          <w:szCs w:val="21"/>
        </w:rPr>
        <w:t xml:space="preserve">Supplementary </w:t>
      </w:r>
      <w:r w:rsidR="001728B4" w:rsidRPr="00E72F51">
        <w:rPr>
          <w:rFonts w:ascii="Arial" w:eastAsia="NimbusSanL-Regu" w:hAnsi="Arial" w:cs="Arial"/>
          <w:b/>
          <w:bCs/>
          <w:kern w:val="0"/>
          <w:szCs w:val="21"/>
        </w:rPr>
        <w:t>figure legend</w:t>
      </w:r>
    </w:p>
    <w:p w14:paraId="5D108724" w14:textId="77777777" w:rsidR="001728B4" w:rsidRPr="000608CC" w:rsidRDefault="001728B4" w:rsidP="007A2660">
      <w:pPr>
        <w:autoSpaceDE w:val="0"/>
        <w:autoSpaceDN w:val="0"/>
        <w:adjustRightInd w:val="0"/>
        <w:spacing w:line="480" w:lineRule="auto"/>
        <w:jc w:val="left"/>
        <w:rPr>
          <w:rFonts w:ascii="Arial" w:eastAsia="NimbusSanL-Regu" w:hAnsi="Arial" w:cs="Arial"/>
          <w:kern w:val="0"/>
          <w:sz w:val="18"/>
          <w:szCs w:val="18"/>
        </w:rPr>
      </w:pPr>
    </w:p>
    <w:p w14:paraId="4713FB28" w14:textId="0BD7DB2A" w:rsidR="00F55F90" w:rsidRDefault="00002A95" w:rsidP="007A2660">
      <w:pPr>
        <w:autoSpaceDE w:val="0"/>
        <w:autoSpaceDN w:val="0"/>
        <w:adjustRightInd w:val="0"/>
        <w:spacing w:line="480" w:lineRule="auto"/>
        <w:jc w:val="left"/>
        <w:rPr>
          <w:rFonts w:ascii="Arial" w:eastAsia="NimbusSanL-Regu" w:hAnsi="Arial" w:cs="Arial"/>
          <w:kern w:val="0"/>
          <w:sz w:val="18"/>
          <w:szCs w:val="18"/>
        </w:rPr>
      </w:pPr>
      <w:r w:rsidRPr="000608CC">
        <w:rPr>
          <w:rFonts w:ascii="Arial" w:eastAsia="NimbusSanL-Regu" w:hAnsi="Arial" w:cs="Arial"/>
          <w:kern w:val="0"/>
          <w:sz w:val="18"/>
          <w:szCs w:val="18"/>
        </w:rPr>
        <w:t xml:space="preserve">Figure </w:t>
      </w:r>
      <w:r w:rsidR="001728B4" w:rsidRPr="000608CC">
        <w:rPr>
          <w:rFonts w:ascii="Arial" w:eastAsia="NimbusSanL-Regu" w:hAnsi="Arial" w:cs="Arial"/>
          <w:kern w:val="0"/>
          <w:sz w:val="18"/>
          <w:szCs w:val="18"/>
        </w:rPr>
        <w:t>S</w:t>
      </w:r>
      <w:r w:rsidRPr="000608CC">
        <w:rPr>
          <w:rFonts w:ascii="Arial" w:eastAsia="NimbusSanL-Regu" w:hAnsi="Arial" w:cs="Arial"/>
          <w:kern w:val="0"/>
          <w:sz w:val="18"/>
          <w:szCs w:val="18"/>
        </w:rPr>
        <w:t>1</w:t>
      </w:r>
      <w:r w:rsidR="001728B4" w:rsidRPr="000608CC">
        <w:rPr>
          <w:rFonts w:ascii="Arial" w:eastAsia="NimbusSanL-Regu" w:hAnsi="Arial" w:cs="Arial"/>
          <w:kern w:val="0"/>
          <w:sz w:val="18"/>
          <w:szCs w:val="18"/>
        </w:rPr>
        <w:t>Analysis of all the identified proteins in GC tissues and</w:t>
      </w:r>
      <w:r w:rsidR="00F670E6">
        <w:rPr>
          <w:rFonts w:ascii="Arial" w:eastAsia="NimbusSanL-Regu" w:hAnsi="Arial" w:cs="Arial"/>
          <w:kern w:val="0"/>
          <w:sz w:val="18"/>
          <w:szCs w:val="18"/>
        </w:rPr>
        <w:t xml:space="preserve"> </w:t>
      </w:r>
      <w:r w:rsidR="001728B4" w:rsidRPr="000608CC">
        <w:rPr>
          <w:rFonts w:ascii="Arial" w:eastAsia="NimbusSanL-Regu" w:hAnsi="Arial" w:cs="Arial"/>
          <w:kern w:val="0"/>
          <w:sz w:val="18"/>
          <w:szCs w:val="18"/>
        </w:rPr>
        <w:t xml:space="preserve">PM tissues based on TMT-labeled quantitative proteomics. </w:t>
      </w:r>
    </w:p>
    <w:p w14:paraId="2FF59312" w14:textId="72FF81D1" w:rsidR="00002A95" w:rsidRPr="000608CC" w:rsidRDefault="00002A95" w:rsidP="007A2660">
      <w:pPr>
        <w:autoSpaceDE w:val="0"/>
        <w:autoSpaceDN w:val="0"/>
        <w:adjustRightInd w:val="0"/>
        <w:spacing w:line="480" w:lineRule="auto"/>
        <w:jc w:val="left"/>
        <w:rPr>
          <w:rFonts w:ascii="Arial" w:eastAsia="NimbusSanL-Regu" w:hAnsi="Arial" w:cs="Arial"/>
          <w:kern w:val="0"/>
          <w:sz w:val="18"/>
          <w:szCs w:val="18"/>
        </w:rPr>
      </w:pPr>
      <w:r w:rsidRPr="000608CC">
        <w:rPr>
          <w:rFonts w:ascii="Arial" w:eastAsia="NimbusSanL-Regu" w:hAnsi="Arial" w:cs="Arial"/>
          <w:kern w:val="0"/>
          <w:sz w:val="18"/>
          <w:szCs w:val="18"/>
        </w:rPr>
        <w:lastRenderedPageBreak/>
        <w:t>(S 1A) Functional GO enrichment analysis o</w:t>
      </w:r>
      <w:bookmarkStart w:id="19" w:name="OLE_LINK255"/>
      <w:bookmarkStart w:id="20" w:name="OLE_LINK256"/>
      <w:r w:rsidRPr="000608CC">
        <w:rPr>
          <w:rFonts w:ascii="Arial" w:eastAsia="NimbusSanL-Regu" w:hAnsi="Arial" w:cs="Arial"/>
          <w:kern w:val="0"/>
          <w:sz w:val="18"/>
          <w:szCs w:val="18"/>
        </w:rPr>
        <w:t xml:space="preserve">f </w:t>
      </w:r>
      <w:bookmarkStart w:id="21" w:name="OLE_LINK121"/>
      <w:bookmarkStart w:id="22" w:name="OLE_LINK122"/>
      <w:r w:rsidRPr="000608CC">
        <w:rPr>
          <w:rFonts w:ascii="Arial" w:eastAsia="NimbusSanL-Regu" w:hAnsi="Arial" w:cs="Arial"/>
          <w:kern w:val="0"/>
          <w:sz w:val="18"/>
          <w:szCs w:val="18"/>
        </w:rPr>
        <w:t>all the identified proteins</w:t>
      </w:r>
      <w:bookmarkEnd w:id="19"/>
      <w:bookmarkEnd w:id="20"/>
      <w:bookmarkEnd w:id="21"/>
      <w:bookmarkEnd w:id="22"/>
      <w:r w:rsidRPr="000608CC">
        <w:rPr>
          <w:rFonts w:ascii="Arial" w:eastAsia="NimbusSanL-Regu" w:hAnsi="Arial" w:cs="Arial"/>
          <w:kern w:val="0"/>
          <w:sz w:val="18"/>
          <w:szCs w:val="18"/>
        </w:rPr>
        <w:t xml:space="preserve">. </w:t>
      </w:r>
      <w:r w:rsidR="00D94B2B" w:rsidRPr="000608CC">
        <w:rPr>
          <w:rFonts w:ascii="Arial" w:eastAsia="NimbusSanL-Regu" w:hAnsi="Arial" w:cs="Arial"/>
          <w:kern w:val="0"/>
          <w:sz w:val="18"/>
          <w:szCs w:val="18"/>
        </w:rPr>
        <w:t>(</w:t>
      </w:r>
      <w:r w:rsidRPr="000608CC">
        <w:rPr>
          <w:rFonts w:ascii="Arial" w:eastAsia="NimbusSanL-Regu" w:hAnsi="Arial" w:cs="Arial"/>
          <w:kern w:val="0"/>
          <w:sz w:val="18"/>
          <w:szCs w:val="18"/>
        </w:rPr>
        <w:t>S 1B) The potential functions of all the identified proteins annotated by</w:t>
      </w:r>
      <w:r w:rsidR="00F670E6">
        <w:rPr>
          <w:rFonts w:ascii="Arial" w:eastAsia="NimbusSanL-Regu" w:hAnsi="Arial" w:cs="Arial"/>
          <w:kern w:val="0"/>
          <w:sz w:val="18"/>
          <w:szCs w:val="18"/>
        </w:rPr>
        <w:t xml:space="preserve"> </w:t>
      </w:r>
      <w:r w:rsidRPr="000608CC">
        <w:rPr>
          <w:rFonts w:ascii="Arial" w:eastAsia="NimbusSanL-Regu" w:hAnsi="Arial" w:cs="Arial"/>
          <w:kern w:val="0"/>
          <w:sz w:val="18"/>
          <w:szCs w:val="18"/>
        </w:rPr>
        <w:t>KOG. (S 1C) KEGG enrichment analysis to characterize the biological functions of all the identified proteins</w:t>
      </w:r>
      <w:r w:rsidR="00F55F90">
        <w:rPr>
          <w:rFonts w:ascii="Arial" w:eastAsia="NimbusSanL-Regu" w:hAnsi="Arial" w:cs="Arial"/>
          <w:kern w:val="0"/>
          <w:sz w:val="18"/>
          <w:szCs w:val="18"/>
        </w:rPr>
        <w:t>.</w:t>
      </w:r>
    </w:p>
    <w:sectPr w:rsidR="00002A95" w:rsidRPr="000608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0A0E8E" w14:textId="77777777" w:rsidR="00981159" w:rsidRDefault="00981159" w:rsidP="00002A95">
      <w:r>
        <w:separator/>
      </w:r>
    </w:p>
  </w:endnote>
  <w:endnote w:type="continuationSeparator" w:id="0">
    <w:p w14:paraId="321D8AE1" w14:textId="77777777" w:rsidR="00981159" w:rsidRDefault="00981159" w:rsidP="00002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imbusSanL-Regu">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4DADF6" w14:textId="77777777" w:rsidR="00981159" w:rsidRDefault="00981159" w:rsidP="00002A95">
      <w:r>
        <w:separator/>
      </w:r>
    </w:p>
  </w:footnote>
  <w:footnote w:type="continuationSeparator" w:id="0">
    <w:p w14:paraId="56ADD6CE" w14:textId="77777777" w:rsidR="00981159" w:rsidRDefault="00981159" w:rsidP="00002A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595"/>
    <w:rsid w:val="00002A95"/>
    <w:rsid w:val="00052EAC"/>
    <w:rsid w:val="000608CC"/>
    <w:rsid w:val="00071870"/>
    <w:rsid w:val="00080C8F"/>
    <w:rsid w:val="001103CE"/>
    <w:rsid w:val="00112595"/>
    <w:rsid w:val="001728B4"/>
    <w:rsid w:val="001B69BE"/>
    <w:rsid w:val="00264329"/>
    <w:rsid w:val="002A35DE"/>
    <w:rsid w:val="00346469"/>
    <w:rsid w:val="003F0AE4"/>
    <w:rsid w:val="00447E06"/>
    <w:rsid w:val="005309E1"/>
    <w:rsid w:val="00580431"/>
    <w:rsid w:val="00656D9B"/>
    <w:rsid w:val="007160F8"/>
    <w:rsid w:val="007A2660"/>
    <w:rsid w:val="008223F2"/>
    <w:rsid w:val="009720BD"/>
    <w:rsid w:val="00981159"/>
    <w:rsid w:val="00AA4B80"/>
    <w:rsid w:val="00B1311B"/>
    <w:rsid w:val="00B21D8A"/>
    <w:rsid w:val="00B3060D"/>
    <w:rsid w:val="00B91C25"/>
    <w:rsid w:val="00BE6DA8"/>
    <w:rsid w:val="00C21D93"/>
    <w:rsid w:val="00D1437D"/>
    <w:rsid w:val="00D94B2B"/>
    <w:rsid w:val="00E72F51"/>
    <w:rsid w:val="00F04F53"/>
    <w:rsid w:val="00F55F90"/>
    <w:rsid w:val="00F639A4"/>
    <w:rsid w:val="00F670E6"/>
    <w:rsid w:val="00F72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C43725"/>
  <w15:chartTrackingRefBased/>
  <w15:docId w15:val="{2B35052B-BE44-49E9-A8F8-3E7B1468D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2A9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02A95"/>
    <w:rPr>
      <w:sz w:val="18"/>
      <w:szCs w:val="18"/>
    </w:rPr>
  </w:style>
  <w:style w:type="paragraph" w:styleId="a5">
    <w:name w:val="footer"/>
    <w:basedOn w:val="a"/>
    <w:link w:val="a6"/>
    <w:uiPriority w:val="99"/>
    <w:unhideWhenUsed/>
    <w:rsid w:val="00002A95"/>
    <w:pPr>
      <w:tabs>
        <w:tab w:val="center" w:pos="4153"/>
        <w:tab w:val="right" w:pos="8306"/>
      </w:tabs>
      <w:snapToGrid w:val="0"/>
      <w:jc w:val="left"/>
    </w:pPr>
    <w:rPr>
      <w:sz w:val="18"/>
      <w:szCs w:val="18"/>
    </w:rPr>
  </w:style>
  <w:style w:type="character" w:customStyle="1" w:styleId="a6">
    <w:name w:val="页脚 字符"/>
    <w:basedOn w:val="a0"/>
    <w:link w:val="a5"/>
    <w:uiPriority w:val="99"/>
    <w:rsid w:val="00002A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414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7</Pages>
  <Words>1548</Words>
  <Characters>8828</Characters>
  <Application>Microsoft Office Word</Application>
  <DocSecurity>0</DocSecurity>
  <Lines>73</Lines>
  <Paragraphs>20</Paragraphs>
  <ScaleCrop>false</ScaleCrop>
  <Company/>
  <LinksUpToDate>false</LinksUpToDate>
  <CharactersWithSpaces>10356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超</dc:creator>
  <cp:keywords/>
  <dc:description/>
  <cp:lastModifiedBy>王 超</cp:lastModifiedBy>
  <cp:revision>18</cp:revision>
  <dcterms:created xsi:type="dcterms:W3CDTF">2021-01-17T01:52:00Z</dcterms:created>
  <dcterms:modified xsi:type="dcterms:W3CDTF">2021-02-03T07:54:00Z</dcterms:modified>
</cp:coreProperties>
</file>