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DBA" w:rsidRPr="00C34DBA" w:rsidRDefault="00C34DBA" w:rsidP="00C34DBA">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b/>
          <w:sz w:val="24"/>
          <w:szCs w:val="24"/>
        </w:rPr>
        <w:t>Materials and methods</w:t>
      </w:r>
    </w:p>
    <w:p w:rsidR="00C34DBA" w:rsidRPr="00C34DBA" w:rsidRDefault="00C34DBA" w:rsidP="00C34DBA">
      <w:pPr>
        <w:spacing w:after="0" w:line="480" w:lineRule="auto"/>
        <w:rPr>
          <w:rFonts w:ascii="Times New Roman" w:eastAsia="Calibri" w:hAnsi="Times New Roman" w:cs="Times New Roman"/>
          <w:b/>
          <w:sz w:val="24"/>
          <w:szCs w:val="24"/>
        </w:rPr>
      </w:pPr>
      <w:r w:rsidRPr="00C34DBA">
        <w:rPr>
          <w:rFonts w:ascii="Times New Roman" w:eastAsia="Calibri" w:hAnsi="Times New Roman" w:cs="Times New Roman"/>
          <w:b/>
          <w:sz w:val="24"/>
          <w:szCs w:val="24"/>
        </w:rPr>
        <w:t>Animals and diets</w:t>
      </w:r>
    </w:p>
    <w:p w:rsidR="00C34DBA" w:rsidRPr="00C34DBA" w:rsidRDefault="00C34DBA" w:rsidP="001D4FC5">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sz w:val="24"/>
          <w:szCs w:val="24"/>
        </w:rPr>
        <w:t xml:space="preserve">Experiments were reviewed and approved by our Institutional Animal Care and Use Committee (CICUAL of the National University of Tucuman, Argentina). All animal care and use programs were performed according to the Guide for the Care and Use of Laboratory Animals (NIH Publication 8th edition, updated 2011). 32 male hybrid rabbits were purchased from the “Modulo </w:t>
      </w:r>
      <w:proofErr w:type="spellStart"/>
      <w:r w:rsidRPr="00C34DBA">
        <w:rPr>
          <w:rFonts w:ascii="Times New Roman" w:eastAsia="Calibri" w:hAnsi="Times New Roman" w:cs="Times New Roman"/>
          <w:sz w:val="24"/>
          <w:szCs w:val="24"/>
        </w:rPr>
        <w:t>Cunicola</w:t>
      </w:r>
      <w:proofErr w:type="spellEnd"/>
      <w:r w:rsidRPr="00C34DBA">
        <w:rPr>
          <w:rFonts w:ascii="Times New Roman" w:eastAsia="Calibri" w:hAnsi="Times New Roman" w:cs="Times New Roman"/>
          <w:sz w:val="24"/>
          <w:szCs w:val="24"/>
        </w:rPr>
        <w:t xml:space="preserve">” (Agronomy and </w:t>
      </w:r>
      <w:proofErr w:type="spellStart"/>
      <w:r w:rsidRPr="00C34DBA">
        <w:rPr>
          <w:rFonts w:ascii="Times New Roman" w:eastAsia="Calibri" w:hAnsi="Times New Roman" w:cs="Times New Roman"/>
          <w:sz w:val="24"/>
          <w:szCs w:val="24"/>
        </w:rPr>
        <w:t>Zootechnics</w:t>
      </w:r>
      <w:proofErr w:type="spellEnd"/>
      <w:r w:rsidRPr="00C34DBA">
        <w:rPr>
          <w:rFonts w:ascii="Times New Roman" w:eastAsia="Calibri" w:hAnsi="Times New Roman" w:cs="Times New Roman"/>
          <w:sz w:val="24"/>
          <w:szCs w:val="24"/>
        </w:rPr>
        <w:t xml:space="preserve"> Faculty of UNT). Animals weighing 800-900 g on arrival were individually housed in metal cages in a room with controlled temperature, humidity, and a 12-h light cycle. They were randomly assigned to four groups of eight animals. The four diets included a control diet (CD) of regular rabbit chow (</w:t>
      </w:r>
      <w:proofErr w:type="spellStart"/>
      <w:r w:rsidRPr="00C34DBA">
        <w:rPr>
          <w:rFonts w:ascii="Times New Roman" w:eastAsia="Calibri" w:hAnsi="Times New Roman" w:cs="Times New Roman"/>
          <w:sz w:val="24"/>
          <w:szCs w:val="24"/>
        </w:rPr>
        <w:t>Ganave</w:t>
      </w:r>
      <w:proofErr w:type="spellEnd"/>
      <w:r w:rsidRPr="00C34DBA">
        <w:rPr>
          <w:rFonts w:ascii="Times New Roman" w:eastAsia="Calibri" w:hAnsi="Times New Roman" w:cs="Times New Roman"/>
          <w:sz w:val="24"/>
          <w:szCs w:val="24"/>
        </w:rPr>
        <w:t xml:space="preserve">, </w:t>
      </w:r>
      <w:proofErr w:type="spellStart"/>
      <w:r w:rsidRPr="00C34DBA">
        <w:rPr>
          <w:rFonts w:ascii="Times New Roman" w:eastAsia="Calibri" w:hAnsi="Times New Roman" w:cs="Times New Roman"/>
          <w:sz w:val="24"/>
          <w:szCs w:val="24"/>
        </w:rPr>
        <w:t>Pilar</w:t>
      </w:r>
      <w:proofErr w:type="spellEnd"/>
      <w:r w:rsidRPr="00C34DBA">
        <w:rPr>
          <w:rFonts w:ascii="Times New Roman" w:eastAsia="Calibri" w:hAnsi="Times New Roman" w:cs="Times New Roman"/>
          <w:sz w:val="24"/>
          <w:szCs w:val="24"/>
        </w:rPr>
        <w:t xml:space="preserve">, Argentina), a CD 10% chia oil-supplemented (CD- </w:t>
      </w:r>
      <w:proofErr w:type="spellStart"/>
      <w:r w:rsidRPr="00C34DBA">
        <w:rPr>
          <w:rFonts w:ascii="Times New Roman" w:eastAsia="Calibri" w:hAnsi="Times New Roman" w:cs="Times New Roman"/>
          <w:sz w:val="24"/>
          <w:szCs w:val="24"/>
        </w:rPr>
        <w:t>Ch</w:t>
      </w:r>
      <w:proofErr w:type="spellEnd"/>
      <w:r w:rsidRPr="00C34DBA">
        <w:rPr>
          <w:rFonts w:ascii="Times New Roman" w:eastAsia="Calibri" w:hAnsi="Times New Roman" w:cs="Times New Roman"/>
          <w:sz w:val="24"/>
          <w:szCs w:val="24"/>
        </w:rPr>
        <w:t>), a 1% cholesterol-supplemented chow (HD), and a diet supplemented with 1% cholesterol and 10% chia oil (HD-</w:t>
      </w:r>
      <w:proofErr w:type="spellStart"/>
      <w:r w:rsidRPr="00C34DBA">
        <w:rPr>
          <w:rFonts w:ascii="Times New Roman" w:eastAsia="Calibri" w:hAnsi="Times New Roman" w:cs="Times New Roman"/>
          <w:sz w:val="24"/>
          <w:szCs w:val="24"/>
        </w:rPr>
        <w:t>Ch</w:t>
      </w:r>
      <w:proofErr w:type="spellEnd"/>
      <w:r w:rsidRPr="00C34DBA">
        <w:rPr>
          <w:rFonts w:ascii="Times New Roman" w:eastAsia="Calibri" w:hAnsi="Times New Roman" w:cs="Times New Roman"/>
          <w:sz w:val="24"/>
          <w:szCs w:val="24"/>
        </w:rPr>
        <w:t xml:space="preserve">). All diets were dry mixed and </w:t>
      </w:r>
      <w:proofErr w:type="spellStart"/>
      <w:r w:rsidRPr="00C34DBA">
        <w:rPr>
          <w:rFonts w:ascii="Times New Roman" w:eastAsia="Calibri" w:hAnsi="Times New Roman" w:cs="Times New Roman"/>
          <w:sz w:val="24"/>
          <w:szCs w:val="24"/>
        </w:rPr>
        <w:t>repelleted</w:t>
      </w:r>
      <w:proofErr w:type="spellEnd"/>
      <w:r w:rsidRPr="00C34DBA">
        <w:rPr>
          <w:rFonts w:ascii="Times New Roman" w:eastAsia="Calibri" w:hAnsi="Times New Roman" w:cs="Times New Roman"/>
          <w:sz w:val="24"/>
          <w:szCs w:val="24"/>
        </w:rPr>
        <w:t xml:space="preserve"> to incorporate the added components. Rabbits were fed 200 g of the appropriate dietary treatment per day, for 5-6 week. The total intake of ALA was about 4.8 g per day according to the recommendation for humans of the American Heart Association </w:t>
      </w:r>
      <w:r w:rsidR="00634E53" w:rsidRPr="00634E53">
        <w:rPr>
          <w:rFonts w:ascii="Times New Roman" w:eastAsia="Calibri" w:hAnsi="Times New Roman" w:cs="Times New Roman"/>
          <w:sz w:val="24"/>
          <w:szCs w:val="24"/>
        </w:rPr>
        <w:t>[</w:t>
      </w:r>
      <w:r w:rsidR="00634E53">
        <w:rPr>
          <w:rFonts w:ascii="Times New Roman" w:eastAsia="Calibri" w:hAnsi="Times New Roman" w:cs="Times New Roman"/>
          <w:sz w:val="24"/>
          <w:szCs w:val="24"/>
        </w:rPr>
        <w:t>1</w:t>
      </w:r>
      <w:r w:rsidR="00634E53" w:rsidRPr="00634E53">
        <w:rPr>
          <w:rFonts w:ascii="Times New Roman" w:eastAsia="Calibri" w:hAnsi="Times New Roman" w:cs="Times New Roman"/>
          <w:sz w:val="24"/>
          <w:szCs w:val="24"/>
        </w:rPr>
        <w:t>]</w:t>
      </w:r>
      <w:r w:rsidRPr="00C34DBA">
        <w:rPr>
          <w:rFonts w:ascii="Times New Roman" w:eastAsia="Calibri" w:hAnsi="Times New Roman" w:cs="Times New Roman"/>
          <w:sz w:val="24"/>
          <w:szCs w:val="24"/>
        </w:rPr>
        <w:t xml:space="preserve">. Water was given ad libitum. The chia oil was prepared by extracting seed oil craft under cold pressed systems without the use of chemical additives to give a natural, high quality product. </w:t>
      </w:r>
      <w:r w:rsidR="001D4FC5" w:rsidRPr="001D4FC5">
        <w:rPr>
          <w:rFonts w:ascii="Times New Roman" w:eastAsia="Calibri" w:hAnsi="Times New Roman" w:cs="Times New Roman"/>
          <w:sz w:val="24"/>
          <w:szCs w:val="24"/>
        </w:rPr>
        <w:t xml:space="preserve">Oil fatty acid composition (%) was: </w:t>
      </w:r>
      <w:proofErr w:type="spellStart"/>
      <w:r w:rsidR="001D4FC5" w:rsidRPr="001D4FC5">
        <w:rPr>
          <w:rFonts w:ascii="Times New Roman" w:eastAsia="Calibri" w:hAnsi="Times New Roman" w:cs="Times New Roman"/>
          <w:sz w:val="24"/>
          <w:szCs w:val="24"/>
        </w:rPr>
        <w:t>myristic</w:t>
      </w:r>
      <w:proofErr w:type="spellEnd"/>
      <w:r w:rsidR="001D4FC5" w:rsidRPr="001D4FC5">
        <w:rPr>
          <w:rFonts w:ascii="Times New Roman" w:eastAsia="Calibri" w:hAnsi="Times New Roman" w:cs="Times New Roman"/>
          <w:sz w:val="24"/>
          <w:szCs w:val="24"/>
        </w:rPr>
        <w:t xml:space="preserve"> 0.04, palmitic 6.6,</w:t>
      </w:r>
      <w:r w:rsidR="001D4FC5">
        <w:rPr>
          <w:rFonts w:ascii="Times New Roman" w:eastAsia="Calibri" w:hAnsi="Times New Roman" w:cs="Times New Roman"/>
          <w:sz w:val="24"/>
          <w:szCs w:val="24"/>
        </w:rPr>
        <w:t xml:space="preserve"> </w:t>
      </w:r>
      <w:r w:rsidR="001D4FC5" w:rsidRPr="001D4FC5">
        <w:rPr>
          <w:rFonts w:ascii="Times New Roman" w:eastAsia="Calibri" w:hAnsi="Times New Roman" w:cs="Times New Roman"/>
          <w:sz w:val="24"/>
          <w:szCs w:val="24"/>
        </w:rPr>
        <w:t xml:space="preserve">stearic 2.3, </w:t>
      </w:r>
      <w:proofErr w:type="spellStart"/>
      <w:r w:rsidR="001D4FC5" w:rsidRPr="001D4FC5">
        <w:rPr>
          <w:rFonts w:ascii="Times New Roman" w:eastAsia="Calibri" w:hAnsi="Times New Roman" w:cs="Times New Roman"/>
          <w:sz w:val="24"/>
          <w:szCs w:val="24"/>
        </w:rPr>
        <w:t>palmitoleic</w:t>
      </w:r>
      <w:proofErr w:type="spellEnd"/>
      <w:r w:rsidR="001D4FC5" w:rsidRPr="001D4FC5">
        <w:rPr>
          <w:rFonts w:ascii="Times New Roman" w:eastAsia="Calibri" w:hAnsi="Times New Roman" w:cs="Times New Roman"/>
          <w:sz w:val="24"/>
          <w:szCs w:val="24"/>
        </w:rPr>
        <w:t xml:space="preserve"> 0.1, oleic 6.7, linoleic 20.4, and </w:t>
      </w:r>
      <w:proofErr w:type="spellStart"/>
      <w:r w:rsidR="001D4FC5" w:rsidRPr="001D4FC5">
        <w:rPr>
          <w:rFonts w:ascii="Times New Roman" w:eastAsia="Calibri" w:hAnsi="Times New Roman" w:cs="Times New Roman"/>
          <w:sz w:val="24"/>
          <w:szCs w:val="24"/>
        </w:rPr>
        <w:t>linolenic</w:t>
      </w:r>
      <w:proofErr w:type="spellEnd"/>
      <w:r w:rsidR="001D4FC5" w:rsidRPr="001D4FC5">
        <w:rPr>
          <w:rFonts w:ascii="Times New Roman" w:eastAsia="Calibri" w:hAnsi="Times New Roman" w:cs="Times New Roman"/>
          <w:sz w:val="24"/>
          <w:szCs w:val="24"/>
        </w:rPr>
        <w:t xml:space="preserve"> 63.0.</w:t>
      </w:r>
      <w:r w:rsidRPr="00C34DBA">
        <w:rPr>
          <w:rFonts w:ascii="Times New Roman" w:eastAsia="Calibri" w:hAnsi="Times New Roman" w:cs="Times New Roman"/>
          <w:sz w:val="24"/>
          <w:szCs w:val="24"/>
        </w:rPr>
        <w:t xml:space="preserve"> </w:t>
      </w:r>
      <w:r w:rsidR="001D4FC5" w:rsidRPr="00C34DBA">
        <w:rPr>
          <w:rFonts w:ascii="Times New Roman" w:eastAsia="Calibri" w:hAnsi="Times New Roman" w:cs="Times New Roman"/>
          <w:sz w:val="24"/>
          <w:szCs w:val="24"/>
        </w:rPr>
        <w:t xml:space="preserve">Fatty acid composition of the diets was previously reported </w:t>
      </w:r>
      <w:r w:rsidR="00634E53" w:rsidRPr="00634E53">
        <w:rPr>
          <w:rFonts w:ascii="Times New Roman" w:eastAsia="Calibri" w:hAnsi="Times New Roman" w:cs="Times New Roman"/>
          <w:sz w:val="24"/>
          <w:szCs w:val="24"/>
        </w:rPr>
        <w:t>[</w:t>
      </w:r>
      <w:r w:rsidR="00634E53">
        <w:rPr>
          <w:rFonts w:ascii="Times New Roman" w:eastAsia="Calibri" w:hAnsi="Times New Roman" w:cs="Times New Roman"/>
          <w:sz w:val="24"/>
          <w:szCs w:val="24"/>
        </w:rPr>
        <w:t>2</w:t>
      </w:r>
      <w:r w:rsidR="00634E53" w:rsidRPr="00634E53">
        <w:rPr>
          <w:rFonts w:ascii="Times New Roman" w:eastAsia="Calibri" w:hAnsi="Times New Roman" w:cs="Times New Roman"/>
          <w:sz w:val="24"/>
          <w:szCs w:val="24"/>
        </w:rPr>
        <w:t>].</w:t>
      </w:r>
      <w:r w:rsidR="001D4FC5">
        <w:rPr>
          <w:rFonts w:ascii="Times New Roman" w:eastAsia="Calibri" w:hAnsi="Times New Roman" w:cs="Times New Roman"/>
          <w:sz w:val="24"/>
          <w:szCs w:val="24"/>
        </w:rPr>
        <w:t xml:space="preserve"> The excess of calories by chia oil addition into CD and HD was about 30 %. </w:t>
      </w:r>
      <w:r w:rsidRPr="00C34DBA">
        <w:rPr>
          <w:rFonts w:ascii="Times New Roman" w:eastAsia="Calibri" w:hAnsi="Times New Roman" w:cs="Times New Roman"/>
          <w:sz w:val="24"/>
          <w:szCs w:val="24"/>
        </w:rPr>
        <w:t>The animals were weighed before dietary manipulation and every two days throughout the period of the experiment.</w:t>
      </w:r>
    </w:p>
    <w:p w:rsidR="00C34DBA" w:rsidRPr="00C34DBA" w:rsidRDefault="00C34DBA" w:rsidP="00C34DBA">
      <w:pPr>
        <w:spacing w:after="0" w:line="480" w:lineRule="auto"/>
        <w:rPr>
          <w:rFonts w:ascii="Times New Roman" w:eastAsia="Calibri" w:hAnsi="Times New Roman" w:cs="Times New Roman"/>
          <w:b/>
          <w:sz w:val="24"/>
          <w:szCs w:val="24"/>
        </w:rPr>
      </w:pPr>
      <w:r w:rsidRPr="00C34DBA">
        <w:rPr>
          <w:rFonts w:ascii="Times New Roman" w:eastAsia="Calibri" w:hAnsi="Times New Roman" w:cs="Times New Roman"/>
          <w:b/>
          <w:sz w:val="24"/>
          <w:szCs w:val="24"/>
        </w:rPr>
        <w:t>Clinical and Biochemical Parameters</w:t>
      </w:r>
    </w:p>
    <w:p w:rsidR="00C34DBA" w:rsidRPr="00C34DBA" w:rsidRDefault="00C34DBA" w:rsidP="00C34DBA">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sz w:val="24"/>
          <w:szCs w:val="24"/>
        </w:rPr>
        <w:lastRenderedPageBreak/>
        <w:t>At the end of the dietary intervention, food was withdrawn for 12 hours and animals were anesthetized with intramuscular administration of ketamine (20 mg/kg) and diazepam (0.5 mg/kg). Mean arterial blood pressure and heart rate were measure directly in the carotid artery through a catheter connected to a pressure transducer (Gould, Germany) and recorded using a data acquisition system (</w:t>
      </w:r>
      <w:proofErr w:type="spellStart"/>
      <w:r w:rsidRPr="00C34DBA">
        <w:rPr>
          <w:rFonts w:ascii="Times New Roman" w:eastAsia="Calibri" w:hAnsi="Times New Roman" w:cs="Times New Roman"/>
          <w:sz w:val="24"/>
          <w:szCs w:val="24"/>
        </w:rPr>
        <w:t>Biopac</w:t>
      </w:r>
      <w:proofErr w:type="spellEnd"/>
      <w:r w:rsidRPr="00C34DBA">
        <w:rPr>
          <w:rFonts w:ascii="Times New Roman" w:eastAsia="Calibri" w:hAnsi="Times New Roman" w:cs="Times New Roman"/>
          <w:sz w:val="24"/>
          <w:szCs w:val="24"/>
        </w:rPr>
        <w:t xml:space="preserve"> MP100, USA). After blood pressure measurement, blood samples were collected through the catheter inserted in the carotid artery in glass tubes containing EDTA. Serum was separated by allowing the blood to clot at 37°C and centrifuge at 3000 rpm for 10 min. Animals were sacrificed by withdrawing blood under anesthesia. Then, by using surgical techniques, a midline incision was made in the rabbit and adipose tissues from the abdominal areas were collected and weighted. The visceral abdominal fat (VAF) was calculated as the sum of retroperitoneal and visceral fats and was expressed as a percentage of the total body weight: (fat weight/animal weight) x 100. </w:t>
      </w:r>
    </w:p>
    <w:p w:rsidR="00C34DBA" w:rsidRPr="00C34DBA" w:rsidRDefault="00C34DBA" w:rsidP="00C34DBA">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sz w:val="24"/>
          <w:szCs w:val="24"/>
        </w:rPr>
        <w:t>Plasma total cholesterol (TC), high density lipoprotein (HDL-C), low density lipoprotein (LDL-C), triglycerides and fasting glucose were measured using colorimetric reactions with commercial kits (Wiener, Rosario, Argentina).</w:t>
      </w:r>
    </w:p>
    <w:p w:rsidR="00C34DBA" w:rsidRPr="00C34DBA" w:rsidRDefault="00C34DBA" w:rsidP="00C34DBA">
      <w:pPr>
        <w:spacing w:after="0" w:line="480" w:lineRule="auto"/>
        <w:rPr>
          <w:rFonts w:ascii="Times New Roman" w:eastAsia="Calibri" w:hAnsi="Times New Roman" w:cs="Times New Roman"/>
          <w:b/>
          <w:sz w:val="24"/>
          <w:szCs w:val="24"/>
        </w:rPr>
      </w:pPr>
      <w:r w:rsidRPr="00C34DBA">
        <w:rPr>
          <w:rFonts w:ascii="Times New Roman" w:eastAsia="Calibri" w:hAnsi="Times New Roman" w:cs="Times New Roman"/>
          <w:b/>
          <w:sz w:val="24"/>
          <w:szCs w:val="24"/>
        </w:rPr>
        <w:t xml:space="preserve">Determination of Hematological Parameters  </w:t>
      </w:r>
    </w:p>
    <w:p w:rsidR="00C34DBA" w:rsidRPr="00C34DBA" w:rsidRDefault="00C34DBA" w:rsidP="00C34DBA">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sz w:val="24"/>
          <w:szCs w:val="24"/>
        </w:rPr>
        <w:t xml:space="preserve">Total red blood cells (RBC), total white blood cells (WBC), numbers of platelets were examined by using automated cells counter through standard methods. Packed cell volume (PCV) was determinate by the standard </w:t>
      </w:r>
      <w:proofErr w:type="spellStart"/>
      <w:r w:rsidRPr="00C34DBA">
        <w:rPr>
          <w:rFonts w:ascii="Times New Roman" w:eastAsia="Calibri" w:hAnsi="Times New Roman" w:cs="Times New Roman"/>
          <w:sz w:val="24"/>
          <w:szCs w:val="24"/>
        </w:rPr>
        <w:t>microhematocrit</w:t>
      </w:r>
      <w:proofErr w:type="spellEnd"/>
      <w:r w:rsidRPr="00C34DBA">
        <w:rPr>
          <w:rFonts w:ascii="Times New Roman" w:eastAsia="Calibri" w:hAnsi="Times New Roman" w:cs="Times New Roman"/>
          <w:sz w:val="24"/>
          <w:szCs w:val="24"/>
        </w:rPr>
        <w:t xml:space="preserve"> method, and expressed in percentage. In addition WBC and RBC were determinate by using a </w:t>
      </w:r>
      <w:proofErr w:type="spellStart"/>
      <w:r w:rsidRPr="00C34DBA">
        <w:rPr>
          <w:rFonts w:ascii="Times New Roman" w:eastAsia="Calibri" w:hAnsi="Times New Roman" w:cs="Times New Roman"/>
          <w:sz w:val="24"/>
          <w:szCs w:val="24"/>
        </w:rPr>
        <w:t>Neubauer</w:t>
      </w:r>
      <w:proofErr w:type="spellEnd"/>
      <w:r w:rsidRPr="00C34DBA">
        <w:rPr>
          <w:rFonts w:ascii="Times New Roman" w:eastAsia="Calibri" w:hAnsi="Times New Roman" w:cs="Times New Roman"/>
          <w:sz w:val="24"/>
          <w:szCs w:val="24"/>
        </w:rPr>
        <w:t xml:space="preserve"> </w:t>
      </w:r>
      <w:proofErr w:type="spellStart"/>
      <w:r w:rsidRPr="00C34DBA">
        <w:rPr>
          <w:rFonts w:ascii="Times New Roman" w:eastAsia="Calibri" w:hAnsi="Times New Roman" w:cs="Times New Roman"/>
          <w:sz w:val="24"/>
          <w:szCs w:val="24"/>
        </w:rPr>
        <w:t>hematocymeter</w:t>
      </w:r>
      <w:proofErr w:type="spellEnd"/>
      <w:r w:rsidRPr="00C34DBA">
        <w:rPr>
          <w:rFonts w:ascii="Times New Roman" w:eastAsia="Calibri" w:hAnsi="Times New Roman" w:cs="Times New Roman"/>
          <w:sz w:val="24"/>
          <w:szCs w:val="24"/>
        </w:rPr>
        <w:t xml:space="preserve"> to compare results obtained from the automated cells count.                                                                                                                                                                                                                                                                                                                                                                                                                                 Blood smear was performed with a drop of fresh blood. The monolayer obtained was fixed with methanol and stained with Giemsa. Blood cells were analyzed under microscope at </w:t>
      </w:r>
      <w:r w:rsidRPr="00C34DBA">
        <w:rPr>
          <w:rFonts w:ascii="Times New Roman" w:eastAsia="Calibri" w:hAnsi="Times New Roman" w:cs="Times New Roman"/>
          <w:sz w:val="24"/>
          <w:szCs w:val="24"/>
        </w:rPr>
        <w:lastRenderedPageBreak/>
        <w:t>10x, 40x and 100x. Individual cells were examined and their morphology was characterized and recorded to obtain the differential WBC (leucocyte formula). Photographs were taken with digital camera incorporated to the microscope.</w:t>
      </w:r>
    </w:p>
    <w:p w:rsidR="00C34DBA" w:rsidRPr="00C34DBA" w:rsidRDefault="00C34DBA" w:rsidP="00C34DBA">
      <w:pPr>
        <w:spacing w:after="0" w:line="480" w:lineRule="auto"/>
        <w:rPr>
          <w:rFonts w:ascii="Times New Roman" w:eastAsia="Calibri" w:hAnsi="Times New Roman" w:cs="Times New Roman"/>
          <w:b/>
          <w:sz w:val="24"/>
          <w:szCs w:val="24"/>
        </w:rPr>
      </w:pPr>
      <w:r w:rsidRPr="00C34DBA">
        <w:rPr>
          <w:rFonts w:ascii="Times New Roman" w:eastAsia="Calibri" w:hAnsi="Times New Roman" w:cs="Times New Roman"/>
          <w:b/>
          <w:sz w:val="24"/>
          <w:szCs w:val="24"/>
        </w:rPr>
        <w:t>Suspension of erythrocyte membranes</w:t>
      </w:r>
    </w:p>
    <w:p w:rsidR="00C34DBA" w:rsidRPr="00C34DBA" w:rsidRDefault="00C34DBA" w:rsidP="00C34DBA">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sz w:val="24"/>
          <w:szCs w:val="24"/>
        </w:rPr>
        <w:t xml:space="preserve">Rabbit anticoagulated (EDTA 2%) whole blood was processed at 0-4ºC for obtaining the suspension of erythrocytes membranes. After 15 minutes of centrifugation at 2500 </w:t>
      </w:r>
      <w:proofErr w:type="spellStart"/>
      <w:r w:rsidRPr="00C34DBA">
        <w:rPr>
          <w:rFonts w:ascii="Times New Roman" w:eastAsia="Calibri" w:hAnsi="Times New Roman" w:cs="Times New Roman"/>
          <w:sz w:val="24"/>
          <w:szCs w:val="24"/>
        </w:rPr>
        <w:t>r.p.m</w:t>
      </w:r>
      <w:proofErr w:type="spellEnd"/>
      <w:r w:rsidRPr="00C34DBA">
        <w:rPr>
          <w:rFonts w:ascii="Times New Roman" w:eastAsia="Calibri" w:hAnsi="Times New Roman" w:cs="Times New Roman"/>
          <w:sz w:val="24"/>
          <w:szCs w:val="24"/>
        </w:rPr>
        <w:t xml:space="preserve">., plasma and the buffy coat were discarded. Lysis was induced by adding a cold hypotonic buffer (phosphate buffer 20 </w:t>
      </w:r>
      <w:proofErr w:type="spellStart"/>
      <w:r w:rsidRPr="00C34DBA">
        <w:rPr>
          <w:rFonts w:ascii="Times New Roman" w:eastAsia="Calibri" w:hAnsi="Times New Roman" w:cs="Times New Roman"/>
          <w:sz w:val="24"/>
          <w:szCs w:val="24"/>
        </w:rPr>
        <w:t>mOsm</w:t>
      </w:r>
      <w:proofErr w:type="spellEnd"/>
      <w:r w:rsidRPr="00C34DBA">
        <w:rPr>
          <w:rFonts w:ascii="Times New Roman" w:eastAsia="Calibri" w:hAnsi="Times New Roman" w:cs="Times New Roman"/>
          <w:sz w:val="24"/>
          <w:szCs w:val="24"/>
        </w:rPr>
        <w:t xml:space="preserve">; pH 7.4 with EDTA Na2 1 </w:t>
      </w:r>
      <w:proofErr w:type="spellStart"/>
      <w:r w:rsidRPr="00C34DBA">
        <w:rPr>
          <w:rFonts w:ascii="Times New Roman" w:eastAsia="Calibri" w:hAnsi="Times New Roman" w:cs="Times New Roman"/>
          <w:sz w:val="24"/>
          <w:szCs w:val="24"/>
        </w:rPr>
        <w:t>mM</w:t>
      </w:r>
      <w:proofErr w:type="spellEnd"/>
      <w:r w:rsidRPr="00C34DBA">
        <w:rPr>
          <w:rFonts w:ascii="Times New Roman" w:eastAsia="Calibri" w:hAnsi="Times New Roman" w:cs="Times New Roman"/>
          <w:sz w:val="24"/>
          <w:szCs w:val="24"/>
        </w:rPr>
        <w:t xml:space="preserve">) at a 1:20 volume ratio. After mixing the erythrocytes and de hemolysis buffer, the suspension was left 20 minutes in the cold and the </w:t>
      </w:r>
      <w:proofErr w:type="spellStart"/>
      <w:r w:rsidRPr="00C34DBA">
        <w:rPr>
          <w:rFonts w:ascii="Times New Roman" w:eastAsia="Calibri" w:hAnsi="Times New Roman" w:cs="Times New Roman"/>
          <w:sz w:val="24"/>
          <w:szCs w:val="24"/>
        </w:rPr>
        <w:t>hemolysate</w:t>
      </w:r>
      <w:proofErr w:type="spellEnd"/>
      <w:r w:rsidRPr="00C34DBA">
        <w:rPr>
          <w:rFonts w:ascii="Times New Roman" w:eastAsia="Calibri" w:hAnsi="Times New Roman" w:cs="Times New Roman"/>
          <w:sz w:val="24"/>
          <w:szCs w:val="24"/>
        </w:rPr>
        <w:t xml:space="preserve"> was centrifuged 15 minutes at 35.000 x g. </w:t>
      </w:r>
      <w:proofErr w:type="spellStart"/>
      <w:r w:rsidRPr="00C34DBA">
        <w:rPr>
          <w:rFonts w:ascii="Times New Roman" w:eastAsia="Calibri" w:hAnsi="Times New Roman" w:cs="Times New Roman"/>
          <w:sz w:val="24"/>
          <w:szCs w:val="24"/>
        </w:rPr>
        <w:t>Haemoglobin</w:t>
      </w:r>
      <w:proofErr w:type="spellEnd"/>
      <w:r w:rsidRPr="00C34DBA">
        <w:rPr>
          <w:rFonts w:ascii="Times New Roman" w:eastAsia="Calibri" w:hAnsi="Times New Roman" w:cs="Times New Roman"/>
          <w:sz w:val="24"/>
          <w:szCs w:val="24"/>
        </w:rPr>
        <w:t xml:space="preserve"> was removed by 3-4 washing steps in the same buffer. The suspension was kept in the same buffer at 4ºC. Membrane protein concentrations were determined by Lowry`s method. </w:t>
      </w:r>
    </w:p>
    <w:p w:rsidR="00C34DBA" w:rsidRPr="00C34DBA" w:rsidRDefault="00C34DBA" w:rsidP="00C34DBA">
      <w:pPr>
        <w:spacing w:after="0" w:line="480" w:lineRule="auto"/>
        <w:rPr>
          <w:rFonts w:ascii="Times New Roman" w:eastAsia="Calibri" w:hAnsi="Times New Roman" w:cs="Times New Roman"/>
          <w:b/>
          <w:sz w:val="24"/>
          <w:szCs w:val="24"/>
        </w:rPr>
      </w:pPr>
      <w:r w:rsidRPr="00C34DBA">
        <w:rPr>
          <w:rFonts w:ascii="Times New Roman" w:eastAsia="Calibri" w:hAnsi="Times New Roman" w:cs="Times New Roman"/>
          <w:b/>
          <w:sz w:val="24"/>
          <w:szCs w:val="24"/>
        </w:rPr>
        <w:t>Measurement of erythrocyte membrane fluidity</w:t>
      </w:r>
    </w:p>
    <w:p w:rsidR="00C34DBA" w:rsidRPr="00C34DBA" w:rsidRDefault="00C34DBA" w:rsidP="00C34DBA">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sz w:val="24"/>
          <w:szCs w:val="24"/>
        </w:rPr>
        <w:t xml:space="preserve">Membrane fluidity was assessed by steady-state fluorescence anisotropy analyses using the lipid soluble fluorescent probe 1,6-diphenyl-1,3,5-hexatriene (DPH). Probe was used at 500 </w:t>
      </w:r>
      <w:proofErr w:type="spellStart"/>
      <w:proofErr w:type="gramStart"/>
      <w:r w:rsidRPr="00C34DBA">
        <w:rPr>
          <w:rFonts w:ascii="Times New Roman" w:eastAsia="Calibri" w:hAnsi="Times New Roman" w:cs="Times New Roman"/>
          <w:sz w:val="24"/>
          <w:szCs w:val="24"/>
        </w:rPr>
        <w:t>uM</w:t>
      </w:r>
      <w:proofErr w:type="spellEnd"/>
      <w:proofErr w:type="gramEnd"/>
      <w:r w:rsidRPr="00C34DBA">
        <w:rPr>
          <w:rFonts w:ascii="Times New Roman" w:eastAsia="Calibri" w:hAnsi="Times New Roman" w:cs="Times New Roman"/>
          <w:sz w:val="24"/>
          <w:szCs w:val="24"/>
        </w:rPr>
        <w:t xml:space="preserve"> in </w:t>
      </w:r>
      <w:proofErr w:type="spellStart"/>
      <w:r w:rsidRPr="00C34DBA">
        <w:rPr>
          <w:rFonts w:ascii="Times New Roman" w:eastAsia="Calibri" w:hAnsi="Times New Roman" w:cs="Times New Roman"/>
          <w:sz w:val="24"/>
          <w:szCs w:val="24"/>
        </w:rPr>
        <w:t>MeCN</w:t>
      </w:r>
      <w:proofErr w:type="spellEnd"/>
      <w:r w:rsidRPr="00C34DBA">
        <w:rPr>
          <w:rFonts w:ascii="Times New Roman" w:eastAsia="Calibri" w:hAnsi="Times New Roman" w:cs="Times New Roman"/>
          <w:sz w:val="24"/>
          <w:szCs w:val="24"/>
        </w:rPr>
        <w:t xml:space="preserve"> prepared daily and stored protected from light until used. Erythrocyte suspensions were homogenized and incubated 30 minutes at 25±5 ºC in PBS labeled solutions under agitation. Fluorescence anisotropy values were determined by using 350 nm excitation filter and 450 nm emission filter, all equipped with polarizers. Controls containing the fluorophores alone were concurrently examined to correct for light scatterings and intrinsic fluorescence.  Fluorescence anisotropy for DPH was determined as follows:</w:t>
      </w:r>
    </w:p>
    <w:p w:rsidR="00C34DBA" w:rsidRPr="00C34DBA" w:rsidRDefault="00C34DBA" w:rsidP="00C34DBA">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sz w:val="24"/>
          <w:szCs w:val="24"/>
        </w:rPr>
        <w:t xml:space="preserve">R= </w:t>
      </w:r>
      <w:proofErr w:type="spellStart"/>
      <w:r w:rsidRPr="00C34DBA">
        <w:rPr>
          <w:rFonts w:ascii="Times New Roman" w:eastAsia="Calibri" w:hAnsi="Times New Roman" w:cs="Times New Roman"/>
          <w:sz w:val="24"/>
          <w:szCs w:val="24"/>
        </w:rPr>
        <w:t>Ivv-GIvh</w:t>
      </w:r>
      <w:proofErr w:type="spellEnd"/>
      <w:r w:rsidRPr="00C34DBA">
        <w:rPr>
          <w:rFonts w:ascii="Times New Roman" w:eastAsia="Calibri" w:hAnsi="Times New Roman" w:cs="Times New Roman"/>
          <w:sz w:val="24"/>
          <w:szCs w:val="24"/>
        </w:rPr>
        <w:t>/Ivv+2GIvh</w:t>
      </w:r>
    </w:p>
    <w:p w:rsidR="00C34DBA" w:rsidRPr="00C34DBA" w:rsidRDefault="00C34DBA" w:rsidP="00C34DBA">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sz w:val="24"/>
          <w:szCs w:val="24"/>
        </w:rPr>
        <w:lastRenderedPageBreak/>
        <w:t xml:space="preserve">Where </w:t>
      </w:r>
      <w:proofErr w:type="spellStart"/>
      <w:r w:rsidRPr="00C34DBA">
        <w:rPr>
          <w:rFonts w:ascii="Times New Roman" w:eastAsia="Calibri" w:hAnsi="Times New Roman" w:cs="Times New Roman"/>
          <w:sz w:val="24"/>
          <w:szCs w:val="24"/>
        </w:rPr>
        <w:t>Ivv</w:t>
      </w:r>
      <w:proofErr w:type="spellEnd"/>
      <w:r w:rsidRPr="00C34DBA">
        <w:rPr>
          <w:rFonts w:ascii="Times New Roman" w:eastAsia="Calibri" w:hAnsi="Times New Roman" w:cs="Times New Roman"/>
          <w:sz w:val="24"/>
          <w:szCs w:val="24"/>
        </w:rPr>
        <w:t xml:space="preserve"> and </w:t>
      </w:r>
      <w:proofErr w:type="spellStart"/>
      <w:r w:rsidRPr="00C34DBA">
        <w:rPr>
          <w:rFonts w:ascii="Times New Roman" w:eastAsia="Calibri" w:hAnsi="Times New Roman" w:cs="Times New Roman"/>
          <w:sz w:val="24"/>
          <w:szCs w:val="24"/>
        </w:rPr>
        <w:t>Ivh</w:t>
      </w:r>
      <w:proofErr w:type="spellEnd"/>
      <w:r w:rsidRPr="00C34DBA">
        <w:rPr>
          <w:rFonts w:ascii="Times New Roman" w:eastAsia="Calibri" w:hAnsi="Times New Roman" w:cs="Times New Roman"/>
          <w:sz w:val="24"/>
          <w:szCs w:val="24"/>
        </w:rPr>
        <w:t xml:space="preserve"> indicates the emitted </w:t>
      </w:r>
      <w:proofErr w:type="spellStart"/>
      <w:r w:rsidRPr="00C34DBA">
        <w:rPr>
          <w:rFonts w:ascii="Times New Roman" w:eastAsia="Calibri" w:hAnsi="Times New Roman" w:cs="Times New Roman"/>
          <w:sz w:val="24"/>
          <w:szCs w:val="24"/>
        </w:rPr>
        <w:t>fluorencence</w:t>
      </w:r>
      <w:proofErr w:type="spellEnd"/>
      <w:r w:rsidRPr="00C34DBA">
        <w:rPr>
          <w:rFonts w:ascii="Times New Roman" w:eastAsia="Calibri" w:hAnsi="Times New Roman" w:cs="Times New Roman"/>
          <w:sz w:val="24"/>
          <w:szCs w:val="24"/>
        </w:rPr>
        <w:t xml:space="preserve"> intensities in the vertical and horizontal planes respectively, when excitation radiation is polarized vertically. G denotes the grating factor, a parameter determined for the instruments.</w:t>
      </w:r>
    </w:p>
    <w:p w:rsidR="00C34DBA" w:rsidRPr="00C34DBA" w:rsidRDefault="00C34DBA" w:rsidP="00C34DBA">
      <w:pPr>
        <w:spacing w:after="0" w:line="480" w:lineRule="auto"/>
        <w:rPr>
          <w:rFonts w:ascii="Times New Roman" w:eastAsia="Calibri" w:hAnsi="Times New Roman" w:cs="Times New Roman"/>
          <w:b/>
          <w:sz w:val="24"/>
          <w:szCs w:val="24"/>
        </w:rPr>
      </w:pPr>
      <w:r w:rsidRPr="00C34DBA">
        <w:rPr>
          <w:rFonts w:ascii="Times New Roman" w:eastAsia="Calibri" w:hAnsi="Times New Roman" w:cs="Times New Roman"/>
          <w:b/>
          <w:sz w:val="24"/>
          <w:szCs w:val="24"/>
        </w:rPr>
        <w:t>Fatty acids measurement</w:t>
      </w:r>
    </w:p>
    <w:p w:rsidR="00C34DBA" w:rsidRPr="00C34DBA" w:rsidRDefault="00C34DBA" w:rsidP="00C34DBA">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sz w:val="24"/>
          <w:szCs w:val="24"/>
        </w:rPr>
        <w:t xml:space="preserve">Erythrocyte membranes and retroperitoneal fat total lipids were extracted by using chloroform/methanol solution (2:1, v/v). They were derived from a </w:t>
      </w:r>
      <w:proofErr w:type="spellStart"/>
      <w:r w:rsidRPr="00C34DBA">
        <w:rPr>
          <w:rFonts w:ascii="Times New Roman" w:eastAsia="Calibri" w:hAnsi="Times New Roman" w:cs="Times New Roman"/>
          <w:sz w:val="24"/>
          <w:szCs w:val="24"/>
        </w:rPr>
        <w:t>HCl</w:t>
      </w:r>
      <w:proofErr w:type="spellEnd"/>
      <w:r w:rsidRPr="00C34DBA">
        <w:rPr>
          <w:rFonts w:ascii="Times New Roman" w:eastAsia="Calibri" w:hAnsi="Times New Roman" w:cs="Times New Roman"/>
          <w:sz w:val="24"/>
          <w:szCs w:val="24"/>
        </w:rPr>
        <w:t>/methanol solution according to previous work [</w:t>
      </w:r>
      <w:r w:rsidR="00634E53">
        <w:rPr>
          <w:rFonts w:ascii="Times New Roman" w:eastAsia="Calibri" w:hAnsi="Times New Roman" w:cs="Times New Roman"/>
          <w:sz w:val="24"/>
          <w:szCs w:val="24"/>
        </w:rPr>
        <w:t>3</w:t>
      </w:r>
      <w:r w:rsidRPr="00C34DBA">
        <w:rPr>
          <w:rFonts w:ascii="Times New Roman" w:eastAsia="Calibri" w:hAnsi="Times New Roman" w:cs="Times New Roman"/>
          <w:sz w:val="24"/>
          <w:szCs w:val="24"/>
        </w:rPr>
        <w:t>]. One microliter of fatty acid methyl esters was dissolved in hexane and was injected into a gas chromatograph (GC, Model 6890 N, Agilent Technologies, Wilmington, DE). GC was equipped with a flame ionization detector (Agilent Technologies, Wilmington, DE) and an automatic injector (Model 7683, Agilent Technologies Shanghai, China) into an HP-88 capillary column (Agilent Technologies, Wilmington, DE). GC conditions involved an injector at 255 °C. The initial oven temperature of 75 °C was increased to 165 °C at 8 °C/min and was held there for 35 min. It was then increased to 210 °C and maintained for 2 min, and afterwards to 240 °C and held for 3 min. The detector temperature was 280 °C. Nitrogen was used as a carrier gas at a flow rate of 18 ml/min at 38 psi. C17:0 was used as the internal standard. Fatty acid methyl esters were identified and quantified by comparison with the retention times and peak areas of standards (Sigma, St Louis, USA). Results were expressed as g/100 g of fatty acid methyl esters.</w:t>
      </w:r>
    </w:p>
    <w:p w:rsidR="00C34DBA" w:rsidRPr="00C34DBA" w:rsidRDefault="00C34DBA" w:rsidP="00C34DBA">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b/>
          <w:sz w:val="24"/>
          <w:szCs w:val="24"/>
        </w:rPr>
        <w:t>Estimation of n-6/n-3 fatty acids ratio</w:t>
      </w:r>
    </w:p>
    <w:p w:rsidR="00C34DBA" w:rsidRPr="00C34DBA" w:rsidRDefault="00C34DBA" w:rsidP="00C34DBA">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sz w:val="24"/>
          <w:szCs w:val="24"/>
        </w:rPr>
        <w:t>The n-6/n-3 FA ratio was calculated as linoleic acid (LA, 18:2 n-6) plus arachidonic acid (ARA, 20:4 n-6) acids/</w:t>
      </w:r>
      <w:proofErr w:type="spellStart"/>
      <w:r w:rsidRPr="00C34DBA">
        <w:rPr>
          <w:rFonts w:ascii="Times New Roman" w:eastAsia="Calibri" w:hAnsi="Times New Roman" w:cs="Times New Roman"/>
          <w:sz w:val="24"/>
          <w:szCs w:val="24"/>
        </w:rPr>
        <w:t>linolenic</w:t>
      </w:r>
      <w:proofErr w:type="spellEnd"/>
      <w:r w:rsidRPr="00C34DBA">
        <w:rPr>
          <w:rFonts w:ascii="Times New Roman" w:eastAsia="Calibri" w:hAnsi="Times New Roman" w:cs="Times New Roman"/>
          <w:sz w:val="24"/>
          <w:szCs w:val="24"/>
        </w:rPr>
        <w:t xml:space="preserve"> acid (ALA, 18:3 n-3).</w:t>
      </w:r>
    </w:p>
    <w:p w:rsidR="00C34DBA" w:rsidRPr="00C34DBA" w:rsidRDefault="00C34DBA" w:rsidP="00C34DBA">
      <w:pPr>
        <w:spacing w:after="0" w:line="480" w:lineRule="auto"/>
        <w:rPr>
          <w:rFonts w:ascii="Times New Roman" w:eastAsia="Calibri" w:hAnsi="Times New Roman" w:cs="Times New Roman"/>
          <w:b/>
          <w:sz w:val="24"/>
          <w:szCs w:val="24"/>
        </w:rPr>
      </w:pPr>
      <w:r w:rsidRPr="00C34DBA">
        <w:rPr>
          <w:rFonts w:ascii="Times New Roman" w:eastAsia="Calibri" w:hAnsi="Times New Roman" w:cs="Times New Roman"/>
          <w:sz w:val="24"/>
          <w:szCs w:val="24"/>
        </w:rPr>
        <w:t xml:space="preserve"> </w:t>
      </w:r>
      <w:r w:rsidRPr="00C34DBA">
        <w:rPr>
          <w:rFonts w:ascii="Times New Roman" w:eastAsia="Calibri" w:hAnsi="Times New Roman" w:cs="Times New Roman"/>
          <w:b/>
          <w:sz w:val="24"/>
          <w:szCs w:val="24"/>
        </w:rPr>
        <w:t>Statistical Analysis</w:t>
      </w:r>
    </w:p>
    <w:p w:rsidR="00C34DBA" w:rsidRDefault="00C34DBA" w:rsidP="00C34DBA">
      <w:pPr>
        <w:spacing w:after="0" w:line="480" w:lineRule="auto"/>
        <w:rPr>
          <w:rFonts w:ascii="Times New Roman" w:eastAsia="Calibri" w:hAnsi="Times New Roman" w:cs="Times New Roman"/>
          <w:sz w:val="24"/>
          <w:szCs w:val="24"/>
        </w:rPr>
      </w:pPr>
      <w:r w:rsidRPr="00C34DBA">
        <w:rPr>
          <w:rFonts w:ascii="Times New Roman" w:eastAsia="Calibri" w:hAnsi="Times New Roman" w:cs="Times New Roman"/>
          <w:sz w:val="24"/>
          <w:szCs w:val="24"/>
        </w:rPr>
        <w:lastRenderedPageBreak/>
        <w:t>Results are reported as mean ± standard error of the mean (SEM). Shapiro and Wilks goodness-of-fit test was used to test for normal distribution. Statistically significant differences were calculated by one- way analysis of variance (followed by Newman post-test); P &lt; 0.05 was considered statistically significant. Pearson’s correlation coefficients were carried out to assess relationships between ALA and PAM. Results were considered significant when p&lt;0.05.</w:t>
      </w:r>
    </w:p>
    <w:p w:rsidR="00634E53" w:rsidRPr="00634E53" w:rsidRDefault="00634E53" w:rsidP="00C34DBA">
      <w:pPr>
        <w:spacing w:after="0" w:line="480" w:lineRule="auto"/>
        <w:rPr>
          <w:rFonts w:ascii="Times New Roman" w:eastAsia="Calibri" w:hAnsi="Times New Roman" w:cs="Times New Roman"/>
          <w:b/>
          <w:sz w:val="24"/>
          <w:szCs w:val="24"/>
        </w:rPr>
      </w:pPr>
      <w:r w:rsidRPr="00634E53">
        <w:rPr>
          <w:rFonts w:ascii="Times New Roman" w:eastAsia="Calibri" w:hAnsi="Times New Roman" w:cs="Times New Roman"/>
          <w:b/>
          <w:sz w:val="24"/>
          <w:szCs w:val="24"/>
        </w:rPr>
        <w:t>References</w:t>
      </w:r>
    </w:p>
    <w:p w:rsidR="00C34DBA" w:rsidRDefault="00634E53" w:rsidP="00634E53">
      <w:pPr>
        <w:spacing w:after="0" w:line="480" w:lineRule="auto"/>
        <w:ind w:hanging="340"/>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634E53">
        <w:rPr>
          <w:rFonts w:ascii="Times New Roman" w:eastAsia="Calibri" w:hAnsi="Times New Roman" w:cs="Times New Roman"/>
          <w:sz w:val="24"/>
          <w:szCs w:val="24"/>
        </w:rPr>
        <w:t>Kris-</w:t>
      </w:r>
      <w:proofErr w:type="spellStart"/>
      <w:r w:rsidRPr="00634E53">
        <w:rPr>
          <w:rFonts w:ascii="Times New Roman" w:eastAsia="Calibri" w:hAnsi="Times New Roman" w:cs="Times New Roman"/>
          <w:sz w:val="24"/>
          <w:szCs w:val="24"/>
        </w:rPr>
        <w:t>Etherton</w:t>
      </w:r>
      <w:proofErr w:type="spellEnd"/>
      <w:r w:rsidRPr="00634E53">
        <w:rPr>
          <w:rFonts w:ascii="Times New Roman" w:eastAsia="Calibri" w:hAnsi="Times New Roman" w:cs="Times New Roman"/>
          <w:sz w:val="24"/>
          <w:szCs w:val="24"/>
        </w:rPr>
        <w:t xml:space="preserve"> PM, Harris WS, Appel LJ for the AHA Nutrition Committee (2003) Omega-3 Fatty Acids and Cardiovascular Disease: New Recommendations </w:t>
      </w:r>
      <w:proofErr w:type="gramStart"/>
      <w:r w:rsidRPr="00634E53">
        <w:rPr>
          <w:rFonts w:ascii="Times New Roman" w:eastAsia="Calibri" w:hAnsi="Times New Roman" w:cs="Times New Roman"/>
          <w:sz w:val="24"/>
          <w:szCs w:val="24"/>
        </w:rPr>
        <w:t>From</w:t>
      </w:r>
      <w:proofErr w:type="gramEnd"/>
      <w:r w:rsidRPr="00634E53">
        <w:rPr>
          <w:rFonts w:ascii="Times New Roman" w:eastAsia="Calibri" w:hAnsi="Times New Roman" w:cs="Times New Roman"/>
          <w:sz w:val="24"/>
          <w:szCs w:val="24"/>
        </w:rPr>
        <w:t xml:space="preserve"> the American Heart Association. </w:t>
      </w:r>
      <w:proofErr w:type="spellStart"/>
      <w:r w:rsidRPr="00634E53">
        <w:rPr>
          <w:rFonts w:ascii="Times New Roman" w:eastAsia="Calibri" w:hAnsi="Times New Roman" w:cs="Times New Roman"/>
          <w:sz w:val="24"/>
          <w:szCs w:val="24"/>
        </w:rPr>
        <w:t>Arterioscler</w:t>
      </w:r>
      <w:proofErr w:type="spellEnd"/>
      <w:r w:rsidRPr="00634E53">
        <w:rPr>
          <w:rFonts w:ascii="Times New Roman" w:eastAsia="Calibri" w:hAnsi="Times New Roman" w:cs="Times New Roman"/>
          <w:sz w:val="24"/>
          <w:szCs w:val="24"/>
        </w:rPr>
        <w:t xml:space="preserve"> </w:t>
      </w:r>
      <w:proofErr w:type="spellStart"/>
      <w:r w:rsidRPr="00634E53">
        <w:rPr>
          <w:rFonts w:ascii="Times New Roman" w:eastAsia="Calibri" w:hAnsi="Times New Roman" w:cs="Times New Roman"/>
          <w:sz w:val="24"/>
          <w:szCs w:val="24"/>
        </w:rPr>
        <w:t>Thromb</w:t>
      </w:r>
      <w:proofErr w:type="spellEnd"/>
      <w:r w:rsidRPr="00634E53">
        <w:rPr>
          <w:rFonts w:ascii="Times New Roman" w:eastAsia="Calibri" w:hAnsi="Times New Roman" w:cs="Times New Roman"/>
          <w:sz w:val="24"/>
          <w:szCs w:val="24"/>
        </w:rPr>
        <w:t xml:space="preserve"> </w:t>
      </w:r>
      <w:proofErr w:type="spellStart"/>
      <w:r w:rsidRPr="00634E53">
        <w:rPr>
          <w:rFonts w:ascii="Times New Roman" w:eastAsia="Calibri" w:hAnsi="Times New Roman" w:cs="Times New Roman"/>
          <w:sz w:val="24"/>
          <w:szCs w:val="24"/>
        </w:rPr>
        <w:t>Vasc</w:t>
      </w:r>
      <w:proofErr w:type="spellEnd"/>
      <w:r w:rsidRPr="00634E53">
        <w:rPr>
          <w:rFonts w:ascii="Times New Roman" w:eastAsia="Calibri" w:hAnsi="Times New Roman" w:cs="Times New Roman"/>
          <w:sz w:val="24"/>
          <w:szCs w:val="24"/>
        </w:rPr>
        <w:t xml:space="preserve"> </w:t>
      </w:r>
      <w:proofErr w:type="spellStart"/>
      <w:r w:rsidRPr="00634E53">
        <w:rPr>
          <w:rFonts w:ascii="Times New Roman" w:eastAsia="Calibri" w:hAnsi="Times New Roman" w:cs="Times New Roman"/>
          <w:sz w:val="24"/>
          <w:szCs w:val="24"/>
        </w:rPr>
        <w:t>Biol</w:t>
      </w:r>
      <w:proofErr w:type="spellEnd"/>
      <w:r w:rsidRPr="00634E53">
        <w:rPr>
          <w:rFonts w:ascii="Times New Roman" w:eastAsia="Calibri" w:hAnsi="Times New Roman" w:cs="Times New Roman"/>
          <w:sz w:val="24"/>
          <w:szCs w:val="24"/>
        </w:rPr>
        <w:t>, 23, 151-152</w:t>
      </w:r>
      <w:r>
        <w:rPr>
          <w:rFonts w:ascii="Times New Roman" w:eastAsia="Calibri" w:hAnsi="Times New Roman" w:cs="Times New Roman"/>
          <w:sz w:val="24"/>
          <w:szCs w:val="24"/>
        </w:rPr>
        <w:t>.</w:t>
      </w:r>
    </w:p>
    <w:p w:rsidR="00634E53" w:rsidRDefault="00634E53" w:rsidP="00634E53">
      <w:pPr>
        <w:spacing w:after="0" w:line="480" w:lineRule="auto"/>
        <w:ind w:hanging="340"/>
        <w:rPr>
          <w:rFonts w:ascii="Times New Roman" w:eastAsia="Calibri" w:hAnsi="Times New Roman" w:cs="Times New Roman"/>
          <w:sz w:val="24"/>
          <w:szCs w:val="24"/>
        </w:rPr>
      </w:pPr>
      <w:r>
        <w:rPr>
          <w:rFonts w:ascii="Times New Roman" w:eastAsia="Calibri" w:hAnsi="Times New Roman" w:cs="Times New Roman"/>
          <w:sz w:val="24"/>
          <w:szCs w:val="24"/>
        </w:rPr>
        <w:t>2-</w:t>
      </w:r>
      <w:r w:rsidRPr="00634E53">
        <w:rPr>
          <w:rFonts w:ascii="Times New Roman" w:eastAsia="Calibri" w:hAnsi="Times New Roman" w:cs="Times New Roman"/>
          <w:sz w:val="24"/>
          <w:szCs w:val="24"/>
        </w:rPr>
        <w:t xml:space="preserve"> Sierra L, </w:t>
      </w:r>
      <w:proofErr w:type="spellStart"/>
      <w:r w:rsidRPr="00634E53">
        <w:rPr>
          <w:rFonts w:ascii="Times New Roman" w:eastAsia="Calibri" w:hAnsi="Times New Roman" w:cs="Times New Roman"/>
          <w:sz w:val="24"/>
          <w:szCs w:val="24"/>
        </w:rPr>
        <w:t>Roco</w:t>
      </w:r>
      <w:proofErr w:type="spellEnd"/>
      <w:r w:rsidRPr="00634E53">
        <w:rPr>
          <w:rFonts w:ascii="Times New Roman" w:eastAsia="Calibri" w:hAnsi="Times New Roman" w:cs="Times New Roman"/>
          <w:sz w:val="24"/>
          <w:szCs w:val="24"/>
        </w:rPr>
        <w:t xml:space="preserve"> J, </w:t>
      </w:r>
      <w:proofErr w:type="spellStart"/>
      <w:r w:rsidRPr="00634E53">
        <w:rPr>
          <w:rFonts w:ascii="Times New Roman" w:eastAsia="Calibri" w:hAnsi="Times New Roman" w:cs="Times New Roman"/>
          <w:sz w:val="24"/>
          <w:szCs w:val="24"/>
        </w:rPr>
        <w:t>Alarcón</w:t>
      </w:r>
      <w:proofErr w:type="spellEnd"/>
      <w:r w:rsidRPr="00634E53">
        <w:rPr>
          <w:rFonts w:ascii="Times New Roman" w:eastAsia="Calibri" w:hAnsi="Times New Roman" w:cs="Times New Roman"/>
          <w:sz w:val="24"/>
          <w:szCs w:val="24"/>
        </w:rPr>
        <w:t xml:space="preserve"> G, Medina M, Van </w:t>
      </w:r>
      <w:proofErr w:type="spellStart"/>
      <w:r w:rsidRPr="00634E53">
        <w:rPr>
          <w:rFonts w:ascii="Times New Roman" w:eastAsia="Calibri" w:hAnsi="Times New Roman" w:cs="Times New Roman"/>
          <w:sz w:val="24"/>
          <w:szCs w:val="24"/>
        </w:rPr>
        <w:t>Nieuwenhove</w:t>
      </w:r>
      <w:proofErr w:type="spellEnd"/>
      <w:r w:rsidRPr="00634E53">
        <w:rPr>
          <w:rFonts w:ascii="Times New Roman" w:eastAsia="Calibri" w:hAnsi="Times New Roman" w:cs="Times New Roman"/>
          <w:sz w:val="24"/>
          <w:szCs w:val="24"/>
        </w:rPr>
        <w:t xml:space="preserve"> C, </w:t>
      </w:r>
      <w:proofErr w:type="spellStart"/>
      <w:r w:rsidRPr="00634E53">
        <w:rPr>
          <w:rFonts w:ascii="Times New Roman" w:eastAsia="Calibri" w:hAnsi="Times New Roman" w:cs="Times New Roman"/>
          <w:sz w:val="24"/>
          <w:szCs w:val="24"/>
        </w:rPr>
        <w:t>Peral</w:t>
      </w:r>
      <w:proofErr w:type="spellEnd"/>
      <w:r w:rsidRPr="00634E53">
        <w:rPr>
          <w:rFonts w:ascii="Times New Roman" w:eastAsia="Calibri" w:hAnsi="Times New Roman" w:cs="Times New Roman"/>
          <w:sz w:val="24"/>
          <w:szCs w:val="24"/>
        </w:rPr>
        <w:t xml:space="preserve"> M, Jerez S (2015) Dietary intervention with Salvia </w:t>
      </w:r>
      <w:proofErr w:type="spellStart"/>
      <w:r w:rsidRPr="00634E53">
        <w:rPr>
          <w:rFonts w:ascii="Times New Roman" w:eastAsia="Calibri" w:hAnsi="Times New Roman" w:cs="Times New Roman"/>
          <w:sz w:val="24"/>
          <w:szCs w:val="24"/>
        </w:rPr>
        <w:t>hispanica</w:t>
      </w:r>
      <w:proofErr w:type="spellEnd"/>
      <w:r w:rsidRPr="00634E53">
        <w:rPr>
          <w:rFonts w:ascii="Times New Roman" w:eastAsia="Calibri" w:hAnsi="Times New Roman" w:cs="Times New Roman"/>
          <w:sz w:val="24"/>
          <w:szCs w:val="24"/>
        </w:rPr>
        <w:t xml:space="preserve"> (Chia) oil improves vascular function in rabbits under </w:t>
      </w:r>
      <w:proofErr w:type="spellStart"/>
      <w:r w:rsidRPr="00634E53">
        <w:rPr>
          <w:rFonts w:ascii="Times New Roman" w:eastAsia="Calibri" w:hAnsi="Times New Roman" w:cs="Times New Roman"/>
          <w:sz w:val="24"/>
          <w:szCs w:val="24"/>
        </w:rPr>
        <w:t>hypercholesterolaemic</w:t>
      </w:r>
      <w:proofErr w:type="spellEnd"/>
      <w:r w:rsidRPr="00634E53">
        <w:rPr>
          <w:rFonts w:ascii="Times New Roman" w:eastAsia="Calibri" w:hAnsi="Times New Roman" w:cs="Times New Roman"/>
          <w:sz w:val="24"/>
          <w:szCs w:val="24"/>
        </w:rPr>
        <w:t xml:space="preserve"> conditions. J </w:t>
      </w:r>
      <w:proofErr w:type="spellStart"/>
      <w:r w:rsidRPr="00634E53">
        <w:rPr>
          <w:rFonts w:ascii="Times New Roman" w:eastAsia="Calibri" w:hAnsi="Times New Roman" w:cs="Times New Roman"/>
          <w:sz w:val="24"/>
          <w:szCs w:val="24"/>
        </w:rPr>
        <w:t>Func</w:t>
      </w:r>
      <w:proofErr w:type="spellEnd"/>
      <w:r w:rsidRPr="00634E53">
        <w:rPr>
          <w:rFonts w:ascii="Times New Roman" w:eastAsia="Calibri" w:hAnsi="Times New Roman" w:cs="Times New Roman"/>
          <w:sz w:val="24"/>
          <w:szCs w:val="24"/>
        </w:rPr>
        <w:t xml:space="preserve"> Foods 14: 641–649.</w:t>
      </w:r>
    </w:p>
    <w:p w:rsidR="00634E53" w:rsidRPr="00C34DBA" w:rsidRDefault="00634E53" w:rsidP="00634E53">
      <w:pPr>
        <w:spacing w:after="0" w:line="480" w:lineRule="auto"/>
        <w:ind w:hanging="340"/>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634E53">
        <w:rPr>
          <w:rFonts w:ascii="Times New Roman" w:eastAsia="Calibri" w:hAnsi="Times New Roman" w:cs="Times New Roman"/>
          <w:sz w:val="24"/>
          <w:szCs w:val="24"/>
        </w:rPr>
        <w:t xml:space="preserve">Alarcon G, </w:t>
      </w:r>
      <w:proofErr w:type="spellStart"/>
      <w:r w:rsidRPr="00634E53">
        <w:rPr>
          <w:rFonts w:ascii="Times New Roman" w:eastAsia="Calibri" w:hAnsi="Times New Roman" w:cs="Times New Roman"/>
          <w:sz w:val="24"/>
          <w:szCs w:val="24"/>
        </w:rPr>
        <w:t>Roco</w:t>
      </w:r>
      <w:proofErr w:type="spellEnd"/>
      <w:r w:rsidRPr="00634E53">
        <w:rPr>
          <w:rFonts w:ascii="Times New Roman" w:eastAsia="Calibri" w:hAnsi="Times New Roman" w:cs="Times New Roman"/>
          <w:sz w:val="24"/>
          <w:szCs w:val="24"/>
        </w:rPr>
        <w:t xml:space="preserve"> J, Medina A, Van </w:t>
      </w:r>
      <w:proofErr w:type="spellStart"/>
      <w:r w:rsidRPr="00634E53">
        <w:rPr>
          <w:rFonts w:ascii="Times New Roman" w:eastAsia="Calibri" w:hAnsi="Times New Roman" w:cs="Times New Roman"/>
          <w:sz w:val="24"/>
          <w:szCs w:val="24"/>
        </w:rPr>
        <w:t>Nieuwenhoven</w:t>
      </w:r>
      <w:proofErr w:type="spellEnd"/>
      <w:r w:rsidRPr="00634E53">
        <w:rPr>
          <w:rFonts w:ascii="Times New Roman" w:eastAsia="Calibri" w:hAnsi="Times New Roman" w:cs="Times New Roman"/>
          <w:sz w:val="24"/>
          <w:szCs w:val="24"/>
        </w:rPr>
        <w:t xml:space="preserve"> C, Medina M, Jerez S (2016) </w:t>
      </w:r>
      <w:proofErr w:type="spellStart"/>
      <w:r w:rsidRPr="00634E53">
        <w:rPr>
          <w:rFonts w:ascii="Times New Roman" w:eastAsia="Calibri" w:hAnsi="Times New Roman" w:cs="Times New Roman"/>
          <w:sz w:val="24"/>
          <w:szCs w:val="24"/>
        </w:rPr>
        <w:t>Stearoyl</w:t>
      </w:r>
      <w:proofErr w:type="spellEnd"/>
      <w:r w:rsidRPr="00634E53">
        <w:rPr>
          <w:rFonts w:ascii="Times New Roman" w:eastAsia="Calibri" w:hAnsi="Times New Roman" w:cs="Times New Roman"/>
          <w:sz w:val="24"/>
          <w:szCs w:val="24"/>
        </w:rPr>
        <w:t xml:space="preserve">-CoA desaturase indexes and n-6/n-3 fatty acids ratio as biomarkers of </w:t>
      </w:r>
      <w:proofErr w:type="spellStart"/>
      <w:r w:rsidRPr="00634E53">
        <w:rPr>
          <w:rFonts w:ascii="Times New Roman" w:eastAsia="Calibri" w:hAnsi="Times New Roman" w:cs="Times New Roman"/>
          <w:sz w:val="24"/>
          <w:szCs w:val="24"/>
        </w:rPr>
        <w:t>cardiometabolic</w:t>
      </w:r>
      <w:proofErr w:type="spellEnd"/>
      <w:r w:rsidRPr="00634E53">
        <w:rPr>
          <w:rFonts w:ascii="Times New Roman" w:eastAsia="Calibri" w:hAnsi="Times New Roman" w:cs="Times New Roman"/>
          <w:sz w:val="24"/>
          <w:szCs w:val="24"/>
        </w:rPr>
        <w:t xml:space="preserve"> risk factors in normal-weight rabbits fed high fat diets. J </w:t>
      </w:r>
      <w:proofErr w:type="spellStart"/>
      <w:r w:rsidRPr="00634E53">
        <w:rPr>
          <w:rFonts w:ascii="Times New Roman" w:eastAsia="Calibri" w:hAnsi="Times New Roman" w:cs="Times New Roman"/>
          <w:sz w:val="24"/>
          <w:szCs w:val="24"/>
        </w:rPr>
        <w:t>Biom</w:t>
      </w:r>
      <w:proofErr w:type="spellEnd"/>
      <w:r w:rsidRPr="00634E53">
        <w:rPr>
          <w:rFonts w:ascii="Times New Roman" w:eastAsia="Calibri" w:hAnsi="Times New Roman" w:cs="Times New Roman"/>
          <w:sz w:val="24"/>
          <w:szCs w:val="24"/>
        </w:rPr>
        <w:t xml:space="preserve"> </w:t>
      </w:r>
      <w:proofErr w:type="spellStart"/>
      <w:r w:rsidRPr="00634E53">
        <w:rPr>
          <w:rFonts w:ascii="Times New Roman" w:eastAsia="Calibri" w:hAnsi="Times New Roman" w:cs="Times New Roman"/>
          <w:sz w:val="24"/>
          <w:szCs w:val="24"/>
        </w:rPr>
        <w:t>Sci</w:t>
      </w:r>
      <w:proofErr w:type="spellEnd"/>
      <w:r w:rsidRPr="00634E53">
        <w:rPr>
          <w:rFonts w:ascii="Times New Roman" w:eastAsia="Calibri" w:hAnsi="Times New Roman" w:cs="Times New Roman"/>
          <w:sz w:val="24"/>
          <w:szCs w:val="24"/>
        </w:rPr>
        <w:t xml:space="preserve"> 23:13</w:t>
      </w:r>
    </w:p>
    <w:p w:rsidR="001070A4" w:rsidRDefault="001070A4">
      <w:bookmarkStart w:id="0" w:name="_GoBack"/>
      <w:bookmarkEnd w:id="0"/>
    </w:p>
    <w:sectPr w:rsidR="001070A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BA"/>
    <w:rsid w:val="001070A4"/>
    <w:rsid w:val="001D4FC5"/>
    <w:rsid w:val="00634E53"/>
    <w:rsid w:val="006A1DAE"/>
    <w:rsid w:val="00B51BEB"/>
    <w:rsid w:val="00C34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D2082"/>
  <w15:chartTrackingRefBased/>
  <w15:docId w15:val="{680C384D-E91D-48DB-8D4C-0F95FF1FE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1306</Words>
  <Characters>7447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Jerez</dc:creator>
  <cp:keywords/>
  <dc:description/>
  <cp:lastModifiedBy>Jerez</cp:lastModifiedBy>
  <cp:revision>5</cp:revision>
  <dcterms:created xsi:type="dcterms:W3CDTF">2022-08-18T16:28:00Z</dcterms:created>
  <dcterms:modified xsi:type="dcterms:W3CDTF">2022-09-02T16:51:00Z</dcterms:modified>
</cp:coreProperties>
</file>