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DCCF3" w14:textId="0BB198A5" w:rsidR="00EB6B72" w:rsidRDefault="0040191F">
      <w:r>
        <w:rPr>
          <w:noProof/>
          <w:lang w:eastAsia="en-CA"/>
        </w:rPr>
        <mc:AlternateContent>
          <mc:Choice Requires="wps">
            <w:drawing>
              <wp:anchor distT="0" distB="0" distL="635" distR="0" simplePos="0" relativeHeight="251659264" behindDoc="0" locked="0" layoutInCell="0" allowOverlap="1" wp14:anchorId="096E7667" wp14:editId="5A47F23A">
                <wp:simplePos x="0" y="0"/>
                <wp:positionH relativeFrom="column">
                  <wp:posOffset>4320540</wp:posOffset>
                </wp:positionH>
                <wp:positionV relativeFrom="paragraph">
                  <wp:posOffset>-242570</wp:posOffset>
                </wp:positionV>
                <wp:extent cx="262255" cy="242570"/>
                <wp:effectExtent l="635" t="0" r="0" b="0"/>
                <wp:wrapNone/>
                <wp:docPr id="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42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DBB209" w14:textId="243E9F77" w:rsidR="0040191F" w:rsidRDefault="0040191F" w:rsidP="0040191F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6E7667" id="Text Box 7" o:spid="_x0000_s1026" style="position:absolute;margin-left:340.2pt;margin-top:-19.1pt;width:20.65pt;height:19.1pt;z-index:25165926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" o:allowincell="f" fillcolor="white [3201]" stroked="f" strokeweight=".5pt">
                <v:textbox>
                  <w:txbxContent>
                    <w:p w14:paraId="65DBB209" w14:textId="243E9F77" w:rsidR="0040191F" w:rsidRDefault="0040191F" w:rsidP="0040191F"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911231">
        <w:rPr>
          <w:noProof/>
          <w:lang w:eastAsia="en-CA"/>
        </w:rPr>
        <mc:AlternateContent>
          <mc:Choice Requires="wps">
            <w:drawing>
              <wp:anchor distT="0" distB="0" distL="635" distR="0" simplePos="0" relativeHeight="4" behindDoc="0" locked="0" layoutInCell="0" allowOverlap="1" wp14:anchorId="043DCCF5" wp14:editId="043DCCF6">
                <wp:simplePos x="0" y="0"/>
                <wp:positionH relativeFrom="column">
                  <wp:posOffset>91440</wp:posOffset>
                </wp:positionH>
                <wp:positionV relativeFrom="paragraph">
                  <wp:posOffset>-210185</wp:posOffset>
                </wp:positionV>
                <wp:extent cx="262255" cy="242570"/>
                <wp:effectExtent l="635" t="0" r="0" b="0"/>
                <wp:wrapNone/>
                <wp:docPr id="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080" cy="242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43DCD01" w14:textId="77777777" w:rsidR="00EB6B72" w:rsidRDefault="00911231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3DCCF5" id="_x0000_s1027" style="position:absolute;margin-left:7.2pt;margin-top:-16.55pt;width:20.65pt;height:19.1pt;z-index: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" o:allowincell="f" fillcolor="white [3201]" stroked="f" strokeweight=".5pt">
                <v:textbox>
                  <w:txbxContent>
                    <w:p w14:paraId="043DCD01" w14:textId="77777777" w:rsidR="00EB6B72" w:rsidRDefault="00911231"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911231">
        <w:softHyphen/>
      </w:r>
      <w:r w:rsidR="00FB448B">
        <w:rPr>
          <w:noProof/>
          <w:lang w:eastAsia="en-CA"/>
        </w:rPr>
        <w:drawing>
          <wp:inline distT="0" distB="0" distL="0" distR="0" wp14:anchorId="4CFE9538" wp14:editId="0C9F86D0">
            <wp:extent cx="3682365" cy="68281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682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448B">
        <w:rPr>
          <w:noProof/>
          <w:lang w:eastAsia="en-CA"/>
        </w:rPr>
        <w:t xml:space="preserve">                  </w:t>
      </w:r>
      <w:r w:rsidR="00FB448B">
        <w:rPr>
          <w:noProof/>
          <w:lang w:eastAsia="en-CA"/>
        </w:rPr>
        <w:drawing>
          <wp:inline distT="0" distB="0" distL="0" distR="0" wp14:anchorId="11773300" wp14:editId="1187C50A">
            <wp:extent cx="3030649" cy="68999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129" cy="6951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3DCCF4" w14:textId="14C68656" w:rsidR="00EB6B72" w:rsidRPr="000D1A6D" w:rsidRDefault="00911231" w:rsidP="0075173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D1A6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Figure S1. </w:t>
      </w:r>
      <w:r w:rsidRPr="000D1A6D">
        <w:rPr>
          <w:rFonts w:ascii="Times New Roman" w:hAnsi="Times New Roman" w:cs="Times New Roman"/>
          <w:sz w:val="20"/>
          <w:szCs w:val="20"/>
        </w:rPr>
        <w:t xml:space="preserve">The presence and extent of similarity of genes involved </w:t>
      </w:r>
      <w:r w:rsidR="00A643A1" w:rsidRPr="000D1A6D">
        <w:rPr>
          <w:rFonts w:ascii="Times New Roman" w:hAnsi="Times New Roman" w:cs="Times New Roman"/>
          <w:sz w:val="20"/>
          <w:szCs w:val="20"/>
        </w:rPr>
        <w:t>in cellulose</w:t>
      </w:r>
      <w:r w:rsidR="007D1ACE">
        <w:rPr>
          <w:rFonts w:ascii="Times New Roman" w:hAnsi="Times New Roman" w:cs="Times New Roman"/>
          <w:sz w:val="20"/>
          <w:szCs w:val="20"/>
        </w:rPr>
        <w:t xml:space="preserve"> and</w:t>
      </w:r>
      <w:r w:rsidR="00A643A1" w:rsidRPr="000D1A6D">
        <w:rPr>
          <w:rFonts w:ascii="Times New Roman" w:hAnsi="Times New Roman" w:cs="Times New Roman"/>
          <w:sz w:val="20"/>
          <w:szCs w:val="20"/>
        </w:rPr>
        <w:t xml:space="preserve"> </w:t>
      </w:r>
      <w:r w:rsidRPr="000D1A6D">
        <w:rPr>
          <w:rFonts w:ascii="Times New Roman" w:hAnsi="Times New Roman" w:cs="Times New Roman"/>
          <w:sz w:val="20"/>
          <w:szCs w:val="20"/>
        </w:rPr>
        <w:t xml:space="preserve">curli production in </w:t>
      </w:r>
      <w:r w:rsidRPr="000D1A6D">
        <w:rPr>
          <w:rFonts w:ascii="Times New Roman" w:hAnsi="Times New Roman" w:cs="Times New Roman"/>
          <w:i/>
          <w:sz w:val="20"/>
          <w:szCs w:val="20"/>
        </w:rPr>
        <w:t>E. coli</w:t>
      </w:r>
      <w:r w:rsidRPr="000D1A6D">
        <w:rPr>
          <w:rFonts w:ascii="Times New Roman" w:hAnsi="Times New Roman" w:cs="Times New Roman"/>
          <w:sz w:val="20"/>
          <w:szCs w:val="20"/>
        </w:rPr>
        <w:t xml:space="preserve"> genomes (n=114). The data in Figure 6 were replotted</w:t>
      </w:r>
      <w:r w:rsidR="0076544D" w:rsidRPr="000D1A6D">
        <w:rPr>
          <w:rFonts w:ascii="Times New Roman" w:hAnsi="Times New Roman" w:cs="Times New Roman"/>
          <w:sz w:val="20"/>
          <w:szCs w:val="20"/>
        </w:rPr>
        <w:t xml:space="preserve"> </w:t>
      </w:r>
      <w:r w:rsidRPr="000D1A6D">
        <w:rPr>
          <w:rFonts w:ascii="Times New Roman" w:hAnsi="Times New Roman" w:cs="Times New Roman"/>
          <w:sz w:val="20"/>
          <w:szCs w:val="20"/>
        </w:rPr>
        <w:t xml:space="preserve">for a better visualization of the relationship of </w:t>
      </w:r>
      <w:r w:rsidR="00A643A1" w:rsidRPr="000D1A6D">
        <w:rPr>
          <w:rFonts w:ascii="Times New Roman" w:hAnsi="Times New Roman" w:cs="Times New Roman"/>
          <w:sz w:val="20"/>
          <w:szCs w:val="20"/>
        </w:rPr>
        <w:t>cellulose and curli</w:t>
      </w:r>
      <w:r w:rsidRPr="000D1A6D">
        <w:rPr>
          <w:rFonts w:ascii="Times New Roman" w:hAnsi="Times New Roman" w:cs="Times New Roman"/>
          <w:sz w:val="20"/>
          <w:szCs w:val="20"/>
        </w:rPr>
        <w:t xml:space="preserve"> genes</w:t>
      </w:r>
      <w:r w:rsidR="00751730" w:rsidRPr="000D1A6D">
        <w:rPr>
          <w:rFonts w:ascii="Times New Roman" w:hAnsi="Times New Roman" w:cs="Times New Roman"/>
          <w:sz w:val="20"/>
          <w:szCs w:val="20"/>
        </w:rPr>
        <w:t xml:space="preserve"> and their respective</w:t>
      </w:r>
      <w:r w:rsidRPr="000D1A6D">
        <w:rPr>
          <w:rFonts w:ascii="Times New Roman" w:hAnsi="Times New Roman" w:cs="Times New Roman"/>
          <w:sz w:val="20"/>
          <w:szCs w:val="20"/>
        </w:rPr>
        <w:t xml:space="preserve"> phenotype. </w:t>
      </w:r>
      <w:r w:rsidR="001B37A4">
        <w:rPr>
          <w:rFonts w:ascii="Times New Roman" w:hAnsi="Times New Roman" w:cs="Times New Roman"/>
          <w:sz w:val="20"/>
          <w:szCs w:val="20"/>
        </w:rPr>
        <w:t>The vertical line</w:t>
      </w:r>
      <w:r w:rsidR="00D96F1F" w:rsidRPr="000D1A6D">
        <w:rPr>
          <w:rFonts w:ascii="Times New Roman" w:hAnsi="Times New Roman" w:cs="Times New Roman"/>
          <w:sz w:val="20"/>
          <w:szCs w:val="20"/>
        </w:rPr>
        <w:t xml:space="preserve"> separate</w:t>
      </w:r>
      <w:r w:rsidR="001B37A4">
        <w:rPr>
          <w:rFonts w:ascii="Times New Roman" w:hAnsi="Times New Roman" w:cs="Times New Roman"/>
          <w:sz w:val="20"/>
          <w:szCs w:val="20"/>
        </w:rPr>
        <w:t>s</w:t>
      </w:r>
      <w:r w:rsidR="00D96F1F" w:rsidRPr="000D1A6D">
        <w:rPr>
          <w:rFonts w:ascii="Times New Roman" w:hAnsi="Times New Roman" w:cs="Times New Roman"/>
          <w:sz w:val="20"/>
          <w:szCs w:val="20"/>
        </w:rPr>
        <w:t xml:space="preserve"> the genes involved in cellulos</w:t>
      </w:r>
      <w:r w:rsidR="007E3A3F" w:rsidRPr="000D1A6D">
        <w:rPr>
          <w:rFonts w:ascii="Times New Roman" w:hAnsi="Times New Roman" w:cs="Times New Roman"/>
          <w:sz w:val="20"/>
          <w:szCs w:val="20"/>
        </w:rPr>
        <w:t>e (left</w:t>
      </w:r>
      <w:r w:rsidR="001B37A4">
        <w:rPr>
          <w:rFonts w:ascii="Times New Roman" w:hAnsi="Times New Roman" w:cs="Times New Roman"/>
          <w:sz w:val="20"/>
          <w:szCs w:val="20"/>
        </w:rPr>
        <w:t xml:space="preserve">) and </w:t>
      </w:r>
      <w:r w:rsidR="00E933E9" w:rsidRPr="000D1A6D">
        <w:rPr>
          <w:rFonts w:ascii="Times New Roman" w:hAnsi="Times New Roman" w:cs="Times New Roman"/>
          <w:sz w:val="20"/>
          <w:szCs w:val="20"/>
        </w:rPr>
        <w:t xml:space="preserve">curli </w:t>
      </w:r>
      <w:r w:rsidR="00D96F1F" w:rsidRPr="000D1A6D">
        <w:rPr>
          <w:rFonts w:ascii="Times New Roman" w:hAnsi="Times New Roman" w:cs="Times New Roman"/>
          <w:sz w:val="20"/>
          <w:szCs w:val="20"/>
        </w:rPr>
        <w:t>(</w:t>
      </w:r>
      <w:r w:rsidR="007E3A3F" w:rsidRPr="000D1A6D">
        <w:rPr>
          <w:rFonts w:ascii="Times New Roman" w:hAnsi="Times New Roman" w:cs="Times New Roman"/>
          <w:sz w:val="20"/>
          <w:szCs w:val="20"/>
        </w:rPr>
        <w:t>right</w:t>
      </w:r>
      <w:r w:rsidR="00D96F1F" w:rsidRPr="000D1A6D">
        <w:rPr>
          <w:rFonts w:ascii="Times New Roman" w:hAnsi="Times New Roman" w:cs="Times New Roman"/>
          <w:sz w:val="20"/>
          <w:szCs w:val="20"/>
        </w:rPr>
        <w:t xml:space="preserve">). </w:t>
      </w:r>
      <w:r w:rsidRPr="000D1A6D">
        <w:rPr>
          <w:rFonts w:ascii="Times New Roman" w:hAnsi="Times New Roman" w:cs="Times New Roman"/>
          <w:sz w:val="20"/>
          <w:szCs w:val="20"/>
        </w:rPr>
        <w:t xml:space="preserve">A </w:t>
      </w:r>
      <w:r w:rsidR="007E3A3F" w:rsidRPr="000D1A6D">
        <w:rPr>
          <w:rFonts w:ascii="Times New Roman" w:hAnsi="Times New Roman" w:cs="Times New Roman"/>
          <w:sz w:val="20"/>
          <w:szCs w:val="20"/>
        </w:rPr>
        <w:t>horizontal</w:t>
      </w:r>
      <w:r w:rsidR="00D96F1F" w:rsidRPr="000D1A6D">
        <w:rPr>
          <w:rFonts w:ascii="Times New Roman" w:hAnsi="Times New Roman" w:cs="Times New Roman"/>
          <w:sz w:val="20"/>
          <w:szCs w:val="20"/>
        </w:rPr>
        <w:t xml:space="preserve"> </w:t>
      </w:r>
      <w:r w:rsidRPr="000D1A6D">
        <w:rPr>
          <w:rFonts w:ascii="Times New Roman" w:hAnsi="Times New Roman" w:cs="Times New Roman"/>
          <w:sz w:val="20"/>
          <w:szCs w:val="20"/>
        </w:rPr>
        <w:t xml:space="preserve">dotted line separates the </w:t>
      </w:r>
      <w:r w:rsidR="007E3A3F" w:rsidRPr="000D1A6D">
        <w:rPr>
          <w:rFonts w:ascii="Times New Roman" w:hAnsi="Times New Roman" w:cs="Times New Roman"/>
          <w:sz w:val="20"/>
          <w:szCs w:val="20"/>
        </w:rPr>
        <w:t>negative</w:t>
      </w:r>
      <w:r w:rsidRPr="000D1A6D">
        <w:rPr>
          <w:rFonts w:ascii="Times New Roman" w:hAnsi="Times New Roman" w:cs="Times New Roman"/>
          <w:sz w:val="20"/>
          <w:szCs w:val="20"/>
        </w:rPr>
        <w:t xml:space="preserve"> (</w:t>
      </w:r>
      <w:r w:rsidR="007E3A3F" w:rsidRPr="000D1A6D">
        <w:rPr>
          <w:rFonts w:ascii="Times New Roman" w:hAnsi="Times New Roman" w:cs="Times New Roman"/>
          <w:sz w:val="20"/>
          <w:szCs w:val="20"/>
        </w:rPr>
        <w:t>top</w:t>
      </w:r>
      <w:r w:rsidRPr="000D1A6D">
        <w:rPr>
          <w:rFonts w:ascii="Times New Roman" w:hAnsi="Times New Roman" w:cs="Times New Roman"/>
          <w:sz w:val="20"/>
          <w:szCs w:val="20"/>
        </w:rPr>
        <w:t xml:space="preserve">) and </w:t>
      </w:r>
      <w:r w:rsidR="007E3A3F" w:rsidRPr="000D1A6D">
        <w:rPr>
          <w:rFonts w:ascii="Times New Roman" w:hAnsi="Times New Roman" w:cs="Times New Roman"/>
          <w:sz w:val="20"/>
          <w:szCs w:val="20"/>
        </w:rPr>
        <w:t>positive (bottom</w:t>
      </w:r>
      <w:r w:rsidRPr="000D1A6D">
        <w:rPr>
          <w:rFonts w:ascii="Times New Roman" w:hAnsi="Times New Roman" w:cs="Times New Roman"/>
          <w:sz w:val="20"/>
          <w:szCs w:val="20"/>
        </w:rPr>
        <w:t>) phenotypic trait for cellulose (A) and curli (B).</w:t>
      </w:r>
      <w:r w:rsidR="00D96F1F" w:rsidRPr="000D1A6D">
        <w:rPr>
          <w:rFonts w:ascii="Times New Roman" w:hAnsi="Times New Roman" w:cs="Times New Roman"/>
          <w:sz w:val="20"/>
          <w:szCs w:val="20"/>
        </w:rPr>
        <w:t xml:space="preserve"> The identit</w:t>
      </w:r>
      <w:r w:rsidRPr="000D1A6D">
        <w:rPr>
          <w:rFonts w:ascii="Times New Roman" w:hAnsi="Times New Roman" w:cs="Times New Roman"/>
          <w:sz w:val="20"/>
          <w:szCs w:val="20"/>
        </w:rPr>
        <w:t>ies</w:t>
      </w:r>
      <w:r w:rsidR="00D96F1F" w:rsidRPr="000D1A6D">
        <w:rPr>
          <w:rFonts w:ascii="Times New Roman" w:hAnsi="Times New Roman" w:cs="Times New Roman"/>
          <w:sz w:val="20"/>
          <w:szCs w:val="20"/>
        </w:rPr>
        <w:t xml:space="preserve"> between relevant genes in</w:t>
      </w:r>
      <w:r w:rsidRPr="000D1A6D">
        <w:rPr>
          <w:rFonts w:ascii="Times New Roman" w:hAnsi="Times New Roman" w:cs="Times New Roman"/>
          <w:sz w:val="20"/>
          <w:szCs w:val="20"/>
        </w:rPr>
        <w:t xml:space="preserve"> e</w:t>
      </w:r>
      <w:r w:rsidR="00751730" w:rsidRPr="000D1A6D">
        <w:rPr>
          <w:rFonts w:ascii="Times New Roman" w:hAnsi="Times New Roman" w:cs="Times New Roman"/>
          <w:sz w:val="20"/>
          <w:szCs w:val="20"/>
        </w:rPr>
        <w:t>ach isolate and in strain 136 are</w:t>
      </w:r>
      <w:r w:rsidRPr="000D1A6D">
        <w:rPr>
          <w:rFonts w:ascii="Times New Roman" w:hAnsi="Times New Roman" w:cs="Times New Roman"/>
          <w:sz w:val="20"/>
          <w:szCs w:val="20"/>
        </w:rPr>
        <w:t xml:space="preserve"> shown in color from red to blue. </w:t>
      </w:r>
      <w:r w:rsidR="00D96F1F" w:rsidRPr="000D1A6D">
        <w:rPr>
          <w:rFonts w:ascii="Times New Roman" w:hAnsi="Times New Roman" w:cs="Times New Roman"/>
          <w:sz w:val="20"/>
          <w:szCs w:val="20"/>
        </w:rPr>
        <w:t>The grids filled with gr</w:t>
      </w:r>
      <w:r w:rsidR="00A4447B">
        <w:rPr>
          <w:rFonts w:ascii="Times New Roman" w:hAnsi="Times New Roman" w:cs="Times New Roman"/>
          <w:sz w:val="20"/>
          <w:szCs w:val="20"/>
        </w:rPr>
        <w:t>ay</w:t>
      </w:r>
      <w:r w:rsidR="00D96F1F" w:rsidRPr="000D1A6D">
        <w:rPr>
          <w:rFonts w:ascii="Times New Roman" w:hAnsi="Times New Roman" w:cs="Times New Roman"/>
          <w:sz w:val="20"/>
          <w:szCs w:val="20"/>
        </w:rPr>
        <w:t xml:space="preserve"> indicate the isolate has 0 or more than one cop</w:t>
      </w:r>
      <w:r w:rsidR="00C05942" w:rsidRPr="000D1A6D">
        <w:rPr>
          <w:rFonts w:ascii="Times New Roman" w:hAnsi="Times New Roman" w:cs="Times New Roman"/>
          <w:sz w:val="20"/>
          <w:szCs w:val="20"/>
        </w:rPr>
        <w:t>y</w:t>
      </w:r>
      <w:r w:rsidR="00D96F1F" w:rsidRPr="000D1A6D">
        <w:rPr>
          <w:rFonts w:ascii="Times New Roman" w:hAnsi="Times New Roman" w:cs="Times New Roman"/>
          <w:sz w:val="20"/>
          <w:szCs w:val="20"/>
        </w:rPr>
        <w:t xml:space="preserve"> of </w:t>
      </w:r>
      <w:r w:rsidR="00C05942" w:rsidRPr="000D1A6D">
        <w:rPr>
          <w:rFonts w:ascii="Times New Roman" w:hAnsi="Times New Roman" w:cs="Times New Roman"/>
          <w:sz w:val="20"/>
          <w:szCs w:val="20"/>
        </w:rPr>
        <w:t xml:space="preserve">the </w:t>
      </w:r>
      <w:r w:rsidR="00C24005" w:rsidRPr="000D1A6D">
        <w:rPr>
          <w:rFonts w:ascii="Times New Roman" w:hAnsi="Times New Roman" w:cs="Times New Roman"/>
          <w:sz w:val="20"/>
          <w:szCs w:val="20"/>
        </w:rPr>
        <w:t>corresponding gene</w:t>
      </w:r>
      <w:r w:rsidR="00D96F1F" w:rsidRPr="000D1A6D">
        <w:rPr>
          <w:rFonts w:ascii="Times New Roman" w:hAnsi="Times New Roman" w:cs="Times New Roman"/>
          <w:sz w:val="20"/>
          <w:szCs w:val="20"/>
        </w:rPr>
        <w:t xml:space="preserve"> and hence identity level is not shown.</w:t>
      </w:r>
      <w:bookmarkStart w:id="0" w:name="_GoBack"/>
      <w:bookmarkEnd w:id="0"/>
    </w:p>
    <w:sectPr w:rsidR="00EB6B72" w:rsidRPr="000D1A6D" w:rsidSect="00BC019F">
      <w:pgSz w:w="15840" w:h="12240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72"/>
    <w:rsid w:val="000B2C0D"/>
    <w:rsid w:val="000D1A6D"/>
    <w:rsid w:val="001B37A4"/>
    <w:rsid w:val="001F345A"/>
    <w:rsid w:val="0040191F"/>
    <w:rsid w:val="006912B7"/>
    <w:rsid w:val="00751730"/>
    <w:rsid w:val="0076544D"/>
    <w:rsid w:val="007B10B5"/>
    <w:rsid w:val="007D1ACE"/>
    <w:rsid w:val="007E3A3F"/>
    <w:rsid w:val="00911231"/>
    <w:rsid w:val="00A4447B"/>
    <w:rsid w:val="00A643A1"/>
    <w:rsid w:val="00BC019F"/>
    <w:rsid w:val="00C05942"/>
    <w:rsid w:val="00C24005"/>
    <w:rsid w:val="00D96F1F"/>
    <w:rsid w:val="00E933E9"/>
    <w:rsid w:val="00EB6B72"/>
    <w:rsid w:val="00F9689E"/>
    <w:rsid w:val="00FB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43DCCF3"/>
  <w15:docId w15:val="{14CE6CD0-F094-407A-AC85-C60AB7CA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FrameContents">
    <w:name w:val="Frame Contents"/>
    <w:basedOn w:val="Normal"/>
    <w:qFormat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Xianqin</dc:creator>
  <dc:description/>
  <cp:lastModifiedBy>Yang, Xianqin (AAFC/AAC)</cp:lastModifiedBy>
  <cp:revision>31</cp:revision>
  <dcterms:created xsi:type="dcterms:W3CDTF">2022-05-19T16:11:00Z</dcterms:created>
  <dcterms:modified xsi:type="dcterms:W3CDTF">2022-08-22T19:28:00Z</dcterms:modified>
  <dc:language>en-CA</dc:language>
</cp:coreProperties>
</file>