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b/>
          <w:sz w:val="32"/>
          <w:szCs w:val="32"/>
          <w:u w:val="single"/>
        </w:rPr>
      </w:pPr>
      <w:r w:rsidRPr="00DA2C55">
        <w:rPr>
          <w:rFonts w:ascii="Times New Roman" w:eastAsia="Malgun Gothic" w:hAnsi="Times New Roman" w:cs="Times New Roman"/>
          <w:b/>
          <w:sz w:val="32"/>
          <w:szCs w:val="32"/>
        </w:rPr>
        <w:t xml:space="preserve">                                     </w:t>
      </w:r>
      <w:r w:rsidRPr="00DA2C55">
        <w:rPr>
          <w:rFonts w:ascii="Times New Roman" w:eastAsia="Malgun Gothic" w:hAnsi="Times New Roman" w:cs="Times New Roman"/>
          <w:b/>
          <w:sz w:val="32"/>
          <w:szCs w:val="32"/>
          <w:u w:val="single"/>
        </w:rPr>
        <w:t>Supplementary Information</w: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right="-603"/>
        <w:jc w:val="center"/>
        <w:rPr>
          <w:rFonts w:ascii="Times New Roman" w:eastAsia="Malgun Gothic" w:hAnsi="Times New Roman" w:cs="Times New Roman"/>
          <w:b/>
          <w:sz w:val="28"/>
          <w:szCs w:val="28"/>
        </w:rPr>
      </w:pPr>
      <w:r w:rsidRPr="00DA2C55">
        <w:rPr>
          <w:rFonts w:ascii="Times New Roman" w:eastAsia="Malgun Gothic" w:hAnsi="Times New Roman" w:cs="Times New Roman"/>
          <w:b/>
          <w:sz w:val="28"/>
          <w:szCs w:val="28"/>
        </w:rPr>
        <w:t>Schiff base-functionalized Metal-Organic Frameworks for Selective Sensing of Chromate and Dichromate in Water</w:t>
      </w:r>
    </w:p>
    <w:p w:rsidR="00DA2C55" w:rsidRPr="00DA2C55" w:rsidRDefault="00DA2C55" w:rsidP="00DA2C55">
      <w:pPr>
        <w:spacing w:after="0" w:line="480" w:lineRule="auto"/>
        <w:ind w:rightChars="-320" w:right="-704"/>
        <w:jc w:val="center"/>
        <w:rPr>
          <w:rFonts w:ascii="Times New Roman" w:eastAsia="Malgun Gothic" w:hAnsi="Times New Roman" w:cs="Times New Roman"/>
          <w:bCs/>
          <w:sz w:val="24"/>
          <w:szCs w:val="24"/>
          <w:lang w:eastAsia="ko-KR"/>
        </w:rPr>
      </w:pPr>
      <w:r w:rsidRPr="00DA2C55">
        <w:rPr>
          <w:rFonts w:ascii="Times New Roman" w:eastAsia="Malgun Gothic" w:hAnsi="Times New Roman" w:cs="Times New Roman"/>
          <w:bCs/>
          <w:sz w:val="24"/>
          <w:szCs w:val="24"/>
        </w:rPr>
        <w:t>Manpreet Kaur</w:t>
      </w:r>
      <w:r w:rsidRPr="00DA2C55">
        <w:rPr>
          <w:rFonts w:ascii="Times New Roman" w:eastAsia="Malgun Gothic" w:hAnsi="Times New Roman" w:cs="Times New Roman"/>
          <w:bCs/>
          <w:sz w:val="24"/>
          <w:szCs w:val="24"/>
          <w:vertAlign w:val="superscript"/>
        </w:rPr>
        <w:t xml:space="preserve"> a</w:t>
      </w:r>
      <w:r w:rsidRPr="00DA2C55">
        <w:rPr>
          <w:rFonts w:ascii="Times New Roman" w:eastAsia="Malgun Gothic" w:hAnsi="Times New Roman" w:cs="Times New Roman"/>
          <w:bCs/>
          <w:sz w:val="24"/>
          <w:szCs w:val="24"/>
        </w:rPr>
        <w:t>, Mohamad Yusuf</w:t>
      </w:r>
      <w:r w:rsidRPr="00DA2C55">
        <w:rPr>
          <w:rFonts w:ascii="Times New Roman" w:eastAsia="Malgun Gothic" w:hAnsi="Times New Roman" w:cs="Times New Roman"/>
          <w:bCs/>
          <w:sz w:val="24"/>
          <w:szCs w:val="24"/>
          <w:vertAlign w:val="superscript"/>
        </w:rPr>
        <w:t xml:space="preserve"> a</w:t>
      </w:r>
      <w:r w:rsidRPr="00DA2C55">
        <w:rPr>
          <w:rFonts w:ascii="Times New Roman" w:eastAsia="Malgun Gothic" w:hAnsi="Times New Roman" w:cs="Times New Roman"/>
          <w:bCs/>
          <w:sz w:val="24"/>
          <w:szCs w:val="24"/>
        </w:rPr>
        <w:t>, Ashok Kumar Malik</w:t>
      </w:r>
      <w:r w:rsidRPr="00DA2C55">
        <w:rPr>
          <w:rFonts w:ascii="Times New Roman" w:eastAsia="Malgun Gothic" w:hAnsi="Times New Roman" w:cs="Times New Roman"/>
          <w:bCs/>
          <w:sz w:val="24"/>
          <w:szCs w:val="24"/>
          <w:vertAlign w:val="superscript"/>
        </w:rPr>
        <w:t xml:space="preserve"> a,*</w:t>
      </w:r>
    </w:p>
    <w:p w:rsidR="00DA2C55" w:rsidRPr="00DA2C55" w:rsidRDefault="00DA2C55" w:rsidP="00DA2C55">
      <w:pPr>
        <w:spacing w:after="0" w:line="480" w:lineRule="auto"/>
        <w:ind w:rightChars="-320" w:right="-704"/>
        <w:jc w:val="center"/>
        <w:rPr>
          <w:rFonts w:ascii="Times New Roman" w:eastAsia="Malgun Gothic" w:hAnsi="Times New Roman" w:cs="Times New Roman"/>
          <w:bCs/>
          <w:i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Cs/>
          <w:sz w:val="24"/>
          <w:szCs w:val="24"/>
          <w:vertAlign w:val="superscript"/>
        </w:rPr>
        <w:t xml:space="preserve">a </w:t>
      </w:r>
      <w:r w:rsidRPr="00DA2C55">
        <w:rPr>
          <w:rFonts w:ascii="Times New Roman" w:eastAsia="Malgun Gothic" w:hAnsi="Times New Roman" w:cs="Times New Roman"/>
          <w:bCs/>
          <w:i/>
          <w:sz w:val="24"/>
          <w:szCs w:val="24"/>
        </w:rPr>
        <w:t>Department of Chemistry, Punjabi University, Patiala-147002, Punjab, India</w: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</w:pPr>
      <w:r w:rsidRPr="00DA2C55">
        <w:rPr>
          <w:rFonts w:ascii="Times New Roman" w:eastAsia="Malgun Gothic" w:hAnsi="Times New Roman" w:cs="Times New Roman"/>
          <w:bCs/>
          <w:sz w:val="24"/>
          <w:szCs w:val="24"/>
        </w:rPr>
        <w:t xml:space="preserve">                               </w:t>
      </w:r>
      <w:r w:rsidRPr="00DA2C55">
        <w:rPr>
          <w:rFonts w:ascii="Times New Roman" w:eastAsia="Malgun Gothic" w:hAnsi="Times New Roman" w:cs="Times New Roman"/>
          <w:sz w:val="24"/>
          <w:szCs w:val="24"/>
          <w:shd w:val="clear" w:color="auto" w:fill="FFFFFF"/>
          <w:vertAlign w:val="superscript"/>
        </w:rPr>
        <w:t>*</w:t>
      </w:r>
      <w:r w:rsidRPr="00DA2C55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Corresponding author: malik_chem2002@yahoo.co.uk (A.K.M.)</w: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b/>
          <w:sz w:val="28"/>
          <w:szCs w:val="28"/>
        </w:rPr>
      </w:pPr>
      <w:r w:rsidRPr="00DA2C55">
        <w:rPr>
          <w:rFonts w:ascii="Calibri" w:eastAsia="Malgun Gothic" w:hAnsi="Calibri" w:cs="Raavi"/>
        </w:rPr>
        <w:object w:dxaOrig="8225" w:dyaOrig="61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pt;height:307.5pt" o:ole="">
            <v:imagedata r:id="rId4" o:title="" croptop="5473f" cropbottom="4491f" cropleft="6467f" cropright="7545f"/>
          </v:shape>
          <o:OLEObject Type="Embed" ProgID="Origin50.Graph" ShapeID="_x0000_i1025" DrawAspect="Content" ObjectID="_1724175355" r:id="rId5"/>
        </w:objec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Figure S1.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FTIR spectrum of Schiff base ligand L.</w: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right="-351"/>
        <w:jc w:val="both"/>
        <w:rPr>
          <w:rFonts w:ascii="Calibri" w:eastAsia="Malgun Gothic" w:hAnsi="Calibri" w:cs="Raavi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lastRenderedPageBreak/>
        <w:t xml:space="preserve">                 </w:t>
      </w:r>
      <w:r w:rsidRPr="00DA2C55">
        <w:rPr>
          <w:rFonts w:ascii="Calibri" w:eastAsia="Malgun Gothic" w:hAnsi="Calibri" w:cs="Raavi"/>
        </w:rPr>
        <w:t xml:space="preserve">       </w:t>
      </w:r>
      <w:r w:rsidRPr="00DA2C55">
        <w:rPr>
          <w:rFonts w:ascii="Calibri" w:eastAsia="Malgun Gothic" w:hAnsi="Calibri" w:cs="Raavi"/>
        </w:rPr>
        <w:object w:dxaOrig="6286" w:dyaOrig="5354">
          <v:shape id="_x0000_i1026" type="#_x0000_t75" style="width:314.25pt;height:267.75pt" o:ole="">
            <v:imagedata r:id="rId6" o:title="" croptop="5617f" cropbottom="3745f" cropleft="5030f" cropright="7833f"/>
          </v:shape>
          <o:OLEObject Type="Embed" ProgID="Origin50.Graph" ShapeID="_x0000_i1026" DrawAspect="Content" ObjectID="_1724175356" r:id="rId7"/>
        </w:object>
      </w:r>
    </w:p>
    <w:p w:rsidR="00DA2C55" w:rsidRPr="00DA2C55" w:rsidRDefault="00DA2C55" w:rsidP="00DA2C55">
      <w:pPr>
        <w:tabs>
          <w:tab w:val="left" w:pos="270"/>
          <w:tab w:val="left" w:pos="8422"/>
        </w:tabs>
        <w:ind w:left="-180" w:right="-351"/>
        <w:jc w:val="both"/>
        <w:rPr>
          <w:rFonts w:ascii="Calibri" w:eastAsia="Malgun Gothic" w:hAnsi="Calibri" w:cs="Raavi"/>
        </w:rPr>
      </w:pPr>
      <w:r w:rsidRPr="00DA2C55">
        <w:rPr>
          <w:rFonts w:ascii="Calibri" w:eastAsia="Malgun Gothic" w:hAnsi="Calibri" w:cs="Raavi"/>
        </w:rPr>
        <w:t xml:space="preserve">                              </w:t>
      </w:r>
      <w:r w:rsidRPr="00DA2C55">
        <w:rPr>
          <w:rFonts w:ascii="Calibri" w:eastAsia="Malgun Gothic" w:hAnsi="Calibri" w:cs="Raavi"/>
        </w:rPr>
        <w:object w:dxaOrig="6378" w:dyaOrig="5354">
          <v:shape id="_x0000_i1027" type="#_x0000_t75" style="width:318.75pt;height:267.75pt" o:ole="">
            <v:imagedata r:id="rId8" o:title="" croptop="5333f" cropbottom="3789f" cropleft="4527f" cropright="7761f"/>
          </v:shape>
          <o:OLEObject Type="Embed" ProgID="Origin50.Graph" ShapeID="_x0000_i1027" DrawAspect="Content" ObjectID="_1724175357" r:id="rId9"/>
        </w:object>
      </w:r>
      <w:r w:rsidRPr="00DA2C55">
        <w:rPr>
          <w:rFonts w:ascii="Calibri" w:eastAsia="Malgun Gothic" w:hAnsi="Calibri" w:cs="Raavi"/>
        </w:rPr>
        <w:tab/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  <w:sectPr w:rsidR="00DA2C55" w:rsidRPr="00DA2C55">
          <w:pgSz w:w="11907" w:h="16839"/>
          <w:pgMar w:top="1440" w:right="1440" w:bottom="1440" w:left="1080" w:header="720" w:footer="720" w:gutter="0"/>
          <w:lnNumType w:countBy="1" w:restart="continuous"/>
          <w:cols w:space="720"/>
          <w:docGrid w:linePitch="360"/>
        </w:sect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Figure S2.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PL Spectra of ZnMOF-1 and CdMOF-1 (3 mg) dispersed in aqueous solution of different anions (3 mL; 10 mM).</w: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Calibri" w:eastAsia="Malgun Gothic" w:hAnsi="Calibri" w:cs="Raavi"/>
        </w:rPr>
      </w:pPr>
      <w:r w:rsidRPr="00DA2C55">
        <w:rPr>
          <w:rFonts w:ascii="Calibri" w:eastAsia="Malgun Gothic" w:hAnsi="Calibri" w:cs="Raavi"/>
          <w:noProof/>
        </w:rPr>
        <w:lastRenderedPageBreak/>
        <w:drawing>
          <wp:inline distT="0" distB="0" distL="0" distR="0" wp14:anchorId="0734B94B" wp14:editId="0CB53529">
            <wp:extent cx="6095365" cy="5810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013" b="13055"/>
                    <a:stretch>
                      <a:fillRect/>
                    </a:stretch>
                  </pic:blipFill>
                  <pic:spPr>
                    <a:xfrm>
                      <a:off x="0" y="0"/>
                      <a:ext cx="6102898" cy="581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Calibri" w:eastAsia="Malgun Gothic" w:hAnsi="Calibri" w:cs="Raavi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Figure S3.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Stern–Volmer (SV) plots for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2−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/Cr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2−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(0-2.0 mM) in presence of water suspension of ZnMOF-1 &amp; CdMOF-1 (3.0 mg/ 3 mL); Quenching of fluorescence intensity of ZnMOF-1 &amp; CdMOF-1 (3.0 mg/ 3 mL) in water suspension upon addition of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2−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/Cr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2−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solution (0-2.0 mM).</w: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right="-351"/>
        <w:jc w:val="both"/>
        <w:rPr>
          <w:rFonts w:ascii="Calibri" w:eastAsia="Malgun Gothic" w:hAnsi="Calibri" w:cs="Raavi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DA2C55">
        <w:rPr>
          <w:rFonts w:ascii="Calibri" w:eastAsia="Malgun Gothic" w:hAnsi="Calibri" w:cs="Raavi"/>
        </w:rPr>
        <w:lastRenderedPageBreak/>
        <w:t xml:space="preserve">                           </w:t>
      </w:r>
      <w:r w:rsidRPr="00DA2C55">
        <w:rPr>
          <w:rFonts w:ascii="Calibri" w:eastAsia="Malgun Gothic" w:hAnsi="Calibri" w:cs="Raavi"/>
        </w:rPr>
        <w:object w:dxaOrig="5880" w:dyaOrig="4800">
          <v:shape id="_x0000_i1028" type="#_x0000_t75" style="width:294pt;height:240pt" o:ole="">
            <v:imagedata r:id="rId11" o:title="" croptop="5798f" cropbottom="3865f" cropleft="5124f" cropright="7417f"/>
          </v:shape>
          <o:OLEObject Type="Embed" ProgID="Origin50.Graph" ShapeID="_x0000_i1028" DrawAspect="Content" ObjectID="_1724175358" r:id="rId12"/>
        </w:objec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Figure S4.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The fluorescence quenching percentage of water suspension of ZnMOF-1 &amp; CdMOF-1 (3.0 mg/ 3 mL) for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2−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/Cr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2−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.</w: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b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lastRenderedPageBreak/>
        <w:t>Section S1: Calculation of Detection Limit for CrO</w:t>
      </w:r>
      <w:r w:rsidRPr="00DA2C55">
        <w:rPr>
          <w:rFonts w:ascii="Times New Roman" w:eastAsia="Malgun Gothic" w:hAnsi="Times New Roman" w:cs="Times New Roman"/>
          <w:b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b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/Cr</w:t>
      </w:r>
      <w:r w:rsidRPr="00DA2C55">
        <w:rPr>
          <w:rFonts w:ascii="Times New Roman" w:eastAsia="Malgun Gothic" w:hAnsi="Times New Roman" w:cs="Times New Roman"/>
          <w:b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b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b/>
          <w:sz w:val="24"/>
          <w:szCs w:val="24"/>
          <w:vertAlign w:val="superscript"/>
        </w:rPr>
        <w:t xml:space="preserve">2-  </w:t>
      </w: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 xml:space="preserve"> </w: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           To prepare 50 ml of 10 mM aqueous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/Cr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solution, 97.1 mg K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/147.1 K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was dissolved in distilled water. The fluorescence quenching experiments was carried out by using above prepared solution. To achieve a concentration of 100 μM, i.e., 0.97 mg K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/1.47 mg K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in 50 ml solution, 0.5 ml of 10 mM aqueous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/Cr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solution was diluted with water. Another set of fluorescence quenching titration experiment for the determination of limit of detection was performed by using above prepared diluted 100 μM aqueous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/Cr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solution.</w: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DA2C55">
        <w:rPr>
          <w:rFonts w:ascii="Calibri" w:eastAsia="Malgun Gothic" w:hAnsi="Calibri" w:cs="Raavi"/>
          <w:noProof/>
        </w:rPr>
        <w:drawing>
          <wp:inline distT="0" distB="0" distL="0" distR="0" wp14:anchorId="1EC5213D" wp14:editId="0B98F59C">
            <wp:extent cx="6259830" cy="50603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1786" cy="506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Figure S5.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Linear region of fluorescence intensity (λex = 282 nm and λem = 427 (ZnMOF-1); 418 nm (CdMOF-1)) for ZnMOF-1 and CdMOF-1 suspensions in water upon incremental addition of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and 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solutions.</w: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sz w:val="24"/>
          <w:szCs w:val="24"/>
        </w:rPr>
        <w:lastRenderedPageBreak/>
        <w:t xml:space="preserve">          To the water suspension (3 mg LMOF dispersed in 3 ml water) of ZnMOF-1 and CdMOF-1, incremental amount of 100 μM aqueous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/Cr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solution in the volume ranging 0.0 μL to 200 μL was added to determine the limit of detection. For each incremental addition of aqueous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/Cr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solution, the fluorescence intensity thus observed was plotted against the respective increasing concentration of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/Cr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. Slop of the curve thus drawn was found to be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= 5.5571 (R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= 0.9958); 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= 4.9714 (R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= 0.9981) for ZnMOF-1 and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= 5.6143 (R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= 0.9998); 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2-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= 10.186 (R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= 0.9972) for CdMOF-1. Standard deviation (σ) in the LOD determination for ZnMOF-1 and CdMOF-1 were calculated from five blank measurements for each LMOF. Detection limit (LOD = 3σ/m) is calculated according to earlier report S1, S2, while 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br/>
        <w:t>the findings are tabulated ahead:</w:t>
      </w:r>
    </w:p>
    <w:tbl>
      <w:tblPr>
        <w:tblW w:w="954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2520"/>
        <w:gridCol w:w="1620"/>
        <w:gridCol w:w="1620"/>
        <w:gridCol w:w="1620"/>
        <w:gridCol w:w="1530"/>
      </w:tblGrid>
      <w:tr w:rsidR="00DA2C55" w:rsidRPr="00DA2C55" w:rsidTr="005A0032">
        <w:trPr>
          <w:trHeight w:val="135"/>
        </w:trPr>
        <w:tc>
          <w:tcPr>
            <w:tcW w:w="3150" w:type="dxa"/>
            <w:gridSpan w:val="2"/>
            <w:vMerge w:val="restart"/>
            <w:shd w:val="clear" w:color="auto" w:fill="28F85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Blank Readings</w:t>
            </w:r>
          </w:p>
        </w:tc>
        <w:tc>
          <w:tcPr>
            <w:tcW w:w="3240" w:type="dxa"/>
            <w:gridSpan w:val="2"/>
            <w:shd w:val="clear" w:color="auto" w:fill="28F85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b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ZnMOF-1</w:t>
            </w:r>
          </w:p>
        </w:tc>
        <w:tc>
          <w:tcPr>
            <w:tcW w:w="3150" w:type="dxa"/>
            <w:gridSpan w:val="2"/>
            <w:shd w:val="clear" w:color="auto" w:fill="28F85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b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CdMOF-1</w:t>
            </w:r>
          </w:p>
        </w:tc>
      </w:tr>
      <w:tr w:rsidR="00DA2C55" w:rsidRPr="00DA2C55" w:rsidTr="005A0032">
        <w:trPr>
          <w:trHeight w:val="135"/>
        </w:trPr>
        <w:tc>
          <w:tcPr>
            <w:tcW w:w="3150" w:type="dxa"/>
            <w:gridSpan w:val="2"/>
            <w:vMerge/>
            <w:shd w:val="clear" w:color="auto" w:fill="28F85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28F85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</w:rPr>
              <w:t>CrO</w:t>
            </w: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  <w:vertAlign w:val="subscript"/>
              </w:rPr>
              <w:t>4</w:t>
            </w: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1620" w:type="dxa"/>
            <w:shd w:val="clear" w:color="auto" w:fill="28F850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</w:rPr>
              <w:t>Cr</w:t>
            </w: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</w:rPr>
              <w:t>O</w:t>
            </w: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  <w:vertAlign w:val="subscript"/>
              </w:rPr>
              <w:t>7</w:t>
            </w: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1620" w:type="dxa"/>
            <w:shd w:val="clear" w:color="auto" w:fill="28F85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</w:rPr>
              <w:t>CrO</w:t>
            </w: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  <w:vertAlign w:val="subscript"/>
              </w:rPr>
              <w:t>4</w:t>
            </w: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1530" w:type="dxa"/>
            <w:shd w:val="clear" w:color="auto" w:fill="28F850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</w:rPr>
              <w:t>Cr</w:t>
            </w: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</w:rPr>
              <w:t>O</w:t>
            </w: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  <w:vertAlign w:val="subscript"/>
              </w:rPr>
              <w:t>7</w:t>
            </w:r>
            <w:r w:rsidRPr="00DA2C55">
              <w:rPr>
                <w:rFonts w:ascii="Times New Roman" w:eastAsia="Malgun Gothic" w:hAnsi="Times New Roman" w:cs="Times New Roman"/>
                <w:b/>
                <w:sz w:val="20"/>
                <w:szCs w:val="20"/>
                <w:vertAlign w:val="superscript"/>
              </w:rPr>
              <w:t>2-</w:t>
            </w:r>
          </w:p>
        </w:tc>
      </w:tr>
      <w:tr w:rsidR="00DA2C55" w:rsidRPr="00DA2C55" w:rsidTr="005A0032">
        <w:trPr>
          <w:trHeight w:val="326"/>
        </w:trPr>
        <w:tc>
          <w:tcPr>
            <w:tcW w:w="63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#1</w:t>
            </w:r>
          </w:p>
        </w:tc>
        <w:tc>
          <w:tcPr>
            <w:tcW w:w="25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Fluorescence Intensity (a.u.)</w:t>
            </w:r>
          </w:p>
        </w:tc>
        <w:tc>
          <w:tcPr>
            <w:tcW w:w="16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1620" w:type="dxa"/>
            <w:shd w:val="clear" w:color="auto" w:fill="66FFFF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16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856</w:t>
            </w:r>
          </w:p>
        </w:tc>
        <w:tc>
          <w:tcPr>
            <w:tcW w:w="1530" w:type="dxa"/>
            <w:shd w:val="clear" w:color="auto" w:fill="66FFFF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856</w:t>
            </w:r>
          </w:p>
        </w:tc>
      </w:tr>
      <w:tr w:rsidR="00DA2C55" w:rsidRPr="00DA2C55" w:rsidTr="005A0032">
        <w:trPr>
          <w:trHeight w:val="218"/>
        </w:trPr>
        <w:tc>
          <w:tcPr>
            <w:tcW w:w="63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#2</w:t>
            </w:r>
          </w:p>
        </w:tc>
        <w:tc>
          <w:tcPr>
            <w:tcW w:w="25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Fluorescence Intensity (a.u.)</w:t>
            </w:r>
          </w:p>
        </w:tc>
        <w:tc>
          <w:tcPr>
            <w:tcW w:w="16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1620" w:type="dxa"/>
            <w:shd w:val="clear" w:color="auto" w:fill="66FFFF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16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1530" w:type="dxa"/>
            <w:shd w:val="clear" w:color="auto" w:fill="66FFFF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837</w:t>
            </w:r>
          </w:p>
        </w:tc>
      </w:tr>
      <w:tr w:rsidR="00DA2C55" w:rsidRPr="00DA2C55" w:rsidTr="005A0032">
        <w:trPr>
          <w:trHeight w:val="218"/>
        </w:trPr>
        <w:tc>
          <w:tcPr>
            <w:tcW w:w="63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#3</w:t>
            </w:r>
          </w:p>
        </w:tc>
        <w:tc>
          <w:tcPr>
            <w:tcW w:w="25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Fluorescence Intensity (a.u.)</w:t>
            </w:r>
          </w:p>
        </w:tc>
        <w:tc>
          <w:tcPr>
            <w:tcW w:w="16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1620" w:type="dxa"/>
            <w:shd w:val="clear" w:color="auto" w:fill="66FFFF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16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1530" w:type="dxa"/>
            <w:shd w:val="clear" w:color="auto" w:fill="66FFFF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835</w:t>
            </w:r>
          </w:p>
        </w:tc>
      </w:tr>
      <w:tr w:rsidR="00DA2C55" w:rsidRPr="00DA2C55" w:rsidTr="005A0032">
        <w:trPr>
          <w:trHeight w:val="290"/>
        </w:trPr>
        <w:tc>
          <w:tcPr>
            <w:tcW w:w="63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#4</w:t>
            </w:r>
          </w:p>
        </w:tc>
        <w:tc>
          <w:tcPr>
            <w:tcW w:w="25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Fluorescence Intensity (a.u.)</w:t>
            </w:r>
          </w:p>
        </w:tc>
        <w:tc>
          <w:tcPr>
            <w:tcW w:w="16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594</w:t>
            </w:r>
          </w:p>
        </w:tc>
        <w:tc>
          <w:tcPr>
            <w:tcW w:w="1620" w:type="dxa"/>
            <w:shd w:val="clear" w:color="auto" w:fill="66FFFF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594</w:t>
            </w:r>
          </w:p>
        </w:tc>
        <w:tc>
          <w:tcPr>
            <w:tcW w:w="16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849</w:t>
            </w:r>
          </w:p>
        </w:tc>
        <w:tc>
          <w:tcPr>
            <w:tcW w:w="1530" w:type="dxa"/>
            <w:shd w:val="clear" w:color="auto" w:fill="66FFFF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846</w:t>
            </w:r>
          </w:p>
        </w:tc>
      </w:tr>
      <w:tr w:rsidR="00DA2C55" w:rsidRPr="00DA2C55" w:rsidTr="005A0032">
        <w:trPr>
          <w:trHeight w:val="434"/>
        </w:trPr>
        <w:tc>
          <w:tcPr>
            <w:tcW w:w="63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#5</w:t>
            </w:r>
          </w:p>
        </w:tc>
        <w:tc>
          <w:tcPr>
            <w:tcW w:w="25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Fluorescence Intensity (a.u.)</w:t>
            </w:r>
          </w:p>
        </w:tc>
        <w:tc>
          <w:tcPr>
            <w:tcW w:w="16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1620" w:type="dxa"/>
            <w:shd w:val="clear" w:color="auto" w:fill="66FFFF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1620" w:type="dxa"/>
            <w:shd w:val="clear" w:color="auto" w:fill="66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854</w:t>
            </w:r>
          </w:p>
        </w:tc>
        <w:tc>
          <w:tcPr>
            <w:tcW w:w="1530" w:type="dxa"/>
            <w:shd w:val="clear" w:color="auto" w:fill="66FFFF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843</w:t>
            </w:r>
          </w:p>
        </w:tc>
      </w:tr>
      <w:tr w:rsidR="00DA2C55" w:rsidRPr="00DA2C55" w:rsidTr="005A0032">
        <w:trPr>
          <w:trHeight w:val="272"/>
        </w:trPr>
        <w:tc>
          <w:tcPr>
            <w:tcW w:w="3150" w:type="dxa"/>
            <w:gridSpan w:val="2"/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Standard deviation (σ)</w:t>
            </w:r>
          </w:p>
        </w:tc>
        <w:tc>
          <w:tcPr>
            <w:tcW w:w="1620" w:type="dxa"/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18.13836</w:t>
            </w:r>
          </w:p>
        </w:tc>
        <w:tc>
          <w:tcPr>
            <w:tcW w:w="1620" w:type="dxa"/>
            <w:shd w:val="clear" w:color="auto" w:fill="FFFF00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18.13836</w:t>
            </w:r>
          </w:p>
        </w:tc>
        <w:tc>
          <w:tcPr>
            <w:tcW w:w="1620" w:type="dxa"/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5.029911</w:t>
            </w:r>
          </w:p>
        </w:tc>
        <w:tc>
          <w:tcPr>
            <w:tcW w:w="1530" w:type="dxa"/>
            <w:shd w:val="clear" w:color="auto" w:fill="FFFF00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5.029911</w:t>
            </w:r>
          </w:p>
        </w:tc>
      </w:tr>
      <w:tr w:rsidR="00DA2C55" w:rsidRPr="00DA2C55" w:rsidTr="005A0032">
        <w:trPr>
          <w:trHeight w:val="344"/>
        </w:trPr>
        <w:tc>
          <w:tcPr>
            <w:tcW w:w="3150" w:type="dxa"/>
            <w:gridSpan w:val="2"/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Slope (m)</w:t>
            </w:r>
          </w:p>
        </w:tc>
        <w:tc>
          <w:tcPr>
            <w:tcW w:w="1620" w:type="dxa"/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-5.5571 µM</w:t>
            </w:r>
          </w:p>
        </w:tc>
        <w:tc>
          <w:tcPr>
            <w:tcW w:w="1620" w:type="dxa"/>
            <w:shd w:val="clear" w:color="auto" w:fill="FFFF00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-4.9714 µM</w:t>
            </w:r>
          </w:p>
        </w:tc>
        <w:tc>
          <w:tcPr>
            <w:tcW w:w="1620" w:type="dxa"/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-5.6143 µM</w:t>
            </w:r>
          </w:p>
        </w:tc>
        <w:tc>
          <w:tcPr>
            <w:tcW w:w="1530" w:type="dxa"/>
            <w:shd w:val="clear" w:color="auto" w:fill="FFFF00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-10.186 µM</w:t>
            </w:r>
          </w:p>
        </w:tc>
      </w:tr>
      <w:tr w:rsidR="00DA2C55" w:rsidRPr="00DA2C55" w:rsidTr="005A0032">
        <w:trPr>
          <w:trHeight w:val="497"/>
        </w:trPr>
        <w:tc>
          <w:tcPr>
            <w:tcW w:w="3150" w:type="dxa"/>
            <w:gridSpan w:val="2"/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Detection limit (3σ/m)</w:t>
            </w:r>
          </w:p>
        </w:tc>
        <w:tc>
          <w:tcPr>
            <w:tcW w:w="1620" w:type="dxa"/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9.792167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240" w:lineRule="auto"/>
              <w:ind w:left="-180" w:right="-351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µM or 1.90 ppm</w:t>
            </w:r>
          </w:p>
        </w:tc>
        <w:tc>
          <w:tcPr>
            <w:tcW w:w="1620" w:type="dxa"/>
            <w:shd w:val="clear" w:color="auto" w:fill="FFFF00"/>
          </w:tcPr>
          <w:p w:rsidR="00DA2C55" w:rsidRPr="00DA2C55" w:rsidRDefault="00DA2C55" w:rsidP="00DA2C55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10.94562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ind w:left="-180" w:right="-351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µM</w:t>
            </w:r>
            <w:r w:rsidRPr="00DA2C55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or 3.2 ppm</w:t>
            </w:r>
          </w:p>
        </w:tc>
        <w:tc>
          <w:tcPr>
            <w:tcW w:w="1620" w:type="dxa"/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ind w:left="-180" w:right="-351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DA2C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2.687732</w:t>
            </w: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µM or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ind w:left="-180" w:right="-351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0.52 ppm</w:t>
            </w:r>
          </w:p>
        </w:tc>
        <w:tc>
          <w:tcPr>
            <w:tcW w:w="1530" w:type="dxa"/>
            <w:shd w:val="clear" w:color="auto" w:fill="FFFF00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ind w:left="-180" w:right="-351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DA2C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1.481419</w:t>
            </w:r>
            <w:r w:rsidRPr="00DA2C55">
              <w:rPr>
                <w:rFonts w:ascii="Times New Roman" w:eastAsia="Malgun Gothic" w:hAnsi="Times New Roman" w:cs="Times New Roman"/>
                <w:sz w:val="20"/>
                <w:szCs w:val="20"/>
              </w:rPr>
              <w:t>µM or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ind w:left="-180" w:right="-351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DA2C55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0.43 ppm</w:t>
            </w:r>
          </w:p>
        </w:tc>
      </w:tr>
    </w:tbl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center"/>
        <w:rPr>
          <w:rFonts w:ascii="Times New Roman" w:eastAsia="Malgun Gothic" w:hAnsi="Times New Roman" w:cs="Times New Roman"/>
          <w:b/>
          <w:sz w:val="24"/>
          <w:szCs w:val="24"/>
        </w:rPr>
      </w:pPr>
      <w:r w:rsidRPr="00DA2C55">
        <w:rPr>
          <w:rFonts w:ascii="Calibri" w:eastAsia="Malgun Gothic" w:hAnsi="Calibri" w:cs="Raavi"/>
          <w:noProof/>
        </w:rPr>
        <w:lastRenderedPageBreak/>
        <w:drawing>
          <wp:inline distT="0" distB="0" distL="0" distR="0" wp14:anchorId="061309FD" wp14:editId="2372D7C0">
            <wp:extent cx="4749800" cy="3695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56934" cy="370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Figure S6.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UV-vis absorption spectra of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2−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and 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2−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in their aqueous solutions.</w: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Calibri" w:eastAsia="Malgun Gothic" w:hAnsi="Calibri" w:cs="Raavi"/>
        </w:rPr>
      </w:pPr>
      <w:r w:rsidRPr="00DA2C55">
        <w:rPr>
          <w:rFonts w:ascii="Calibri" w:eastAsia="Malgun Gothic" w:hAnsi="Calibri" w:cs="Raavi"/>
        </w:rPr>
        <w:object w:dxaOrig="6628" w:dyaOrig="6065">
          <v:shape id="_x0000_i1029" type="#_x0000_t75" style="width:331.5pt;height:303pt" o:ole="">
            <v:imagedata r:id="rId15" o:title="" croptop="5621f" cropbottom="3830f" cropleft="5873f" cropright="7741f"/>
          </v:shape>
          <o:OLEObject Type="Embed" ProgID="Origin50.Graph" ShapeID="_x0000_i1029" DrawAspect="Content" ObjectID="_1724175359" r:id="rId16"/>
        </w:objec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Figure S7.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UV-vis absorption spectra of ZnMOF-1, CdMOF-1, L, and H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bdc in their aqueous solutions.</w: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Calibri" w:eastAsia="Malgun Gothic" w:hAnsi="Calibri" w:cs="Raavi"/>
        </w:rPr>
      </w:pPr>
      <w:r w:rsidRPr="00DA2C55">
        <w:rPr>
          <w:rFonts w:ascii="Calibri" w:eastAsia="Malgun Gothic" w:hAnsi="Calibri" w:cs="Raavi"/>
        </w:rPr>
        <w:object w:dxaOrig="6480" w:dyaOrig="4920">
          <v:shape id="_x0000_i1030" type="#_x0000_t75" style="width:324pt;height:246pt" o:ole="">
            <v:imagedata r:id="rId17" o:title="" croptop="5617f" cropbottom="2621f" cropleft="5102f" cropright="2587f"/>
          </v:shape>
          <o:OLEObject Type="Embed" ProgID="Origin50.Graph" ShapeID="_x0000_i1030" DrawAspect="Content" ObjectID="_1724175360" r:id="rId18"/>
        </w:object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480" w:lineRule="auto"/>
        <w:ind w:left="-180" w:right="-351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Figure S8.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Spectral overlap between normalized absorbance spectra of different anion solutions and normalized emission spectra of ZnMOF-1 and CdMOF-1 in water.</w:t>
      </w:r>
    </w:p>
    <w:p w:rsid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240" w:lineRule="auto"/>
        <w:ind w:right="-351"/>
        <w:jc w:val="both"/>
        <w:rPr>
          <w:rFonts w:ascii="Times New Roman" w:eastAsia="Malgun Gothic" w:hAnsi="Times New Roman" w:cs="Times New Roman"/>
          <w:sz w:val="10"/>
          <w:szCs w:val="16"/>
        </w:rPr>
      </w:pPr>
    </w:p>
    <w:p w:rsidR="00DA2C55" w:rsidRDefault="00DA2C55">
      <w:pPr>
        <w:rPr>
          <w:rFonts w:ascii="Times New Roman" w:eastAsia="Malgun Gothic" w:hAnsi="Times New Roman" w:cs="Times New Roman"/>
          <w:sz w:val="10"/>
          <w:szCs w:val="16"/>
        </w:rPr>
      </w:pPr>
      <w:r>
        <w:rPr>
          <w:rFonts w:ascii="Times New Roman" w:eastAsia="Malgun Gothic" w:hAnsi="Times New Roman" w:cs="Times New Roman"/>
          <w:sz w:val="10"/>
          <w:szCs w:val="16"/>
        </w:rPr>
        <w:br w:type="page"/>
      </w:r>
    </w:p>
    <w:p w:rsidR="00DA2C55" w:rsidRPr="00DA2C55" w:rsidRDefault="00DA2C55" w:rsidP="00DA2C55">
      <w:pPr>
        <w:tabs>
          <w:tab w:val="left" w:pos="270"/>
          <w:tab w:val="left" w:pos="9630"/>
          <w:tab w:val="left" w:pos="10080"/>
          <w:tab w:val="left" w:pos="10170"/>
        </w:tabs>
        <w:spacing w:line="240" w:lineRule="auto"/>
        <w:ind w:right="-351"/>
        <w:jc w:val="both"/>
        <w:rPr>
          <w:rFonts w:ascii="Times New Roman" w:eastAsia="Malgun Gothic" w:hAnsi="Times New Roman" w:cs="Times New Roman"/>
          <w:sz w:val="10"/>
          <w:szCs w:val="16"/>
        </w:rPr>
        <w:sectPr w:rsidR="00DA2C55" w:rsidRPr="00DA2C55">
          <w:pgSz w:w="11907" w:h="16839"/>
          <w:pgMar w:top="1440" w:right="1440" w:bottom="1440" w:left="1080" w:header="720" w:footer="720" w:gutter="0"/>
          <w:lnNumType w:countBy="1" w:restart="continuous"/>
          <w:cols w:space="720"/>
          <w:docGrid w:linePitch="360"/>
        </w:sectPr>
      </w:pPr>
    </w:p>
    <w:tbl>
      <w:tblPr>
        <w:tblStyle w:val="TableGrid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00"/>
        <w:gridCol w:w="2746"/>
        <w:gridCol w:w="2520"/>
        <w:gridCol w:w="2924"/>
        <w:gridCol w:w="1800"/>
        <w:gridCol w:w="1170"/>
      </w:tblGrid>
      <w:tr w:rsidR="00DA2C55" w:rsidRPr="00DA2C55" w:rsidTr="005A0032">
        <w:tc>
          <w:tcPr>
            <w:tcW w:w="12060" w:type="dxa"/>
            <w:gridSpan w:val="6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right="-351"/>
              <w:jc w:val="both"/>
              <w:rPr>
                <w:rFonts w:ascii="Times New Roman" w:hAnsi="Times New Roman" w:cs="Times New Roman"/>
                <w:b/>
              </w:rPr>
            </w:pPr>
            <w:r w:rsidRPr="00DA2C55">
              <w:rPr>
                <w:rFonts w:ascii="Times New Roman" w:hAnsi="Times New Roman" w:cs="Times New Roman"/>
                <w:b/>
              </w:rPr>
              <w:lastRenderedPageBreak/>
              <w:t>Table S1. Comparison among Various LCP/LMOF Sensors for Aqueous-Phase Cr(VI) Detection.</w:t>
            </w:r>
          </w:p>
        </w:tc>
      </w:tr>
      <w:tr w:rsidR="00DA2C55" w:rsidRPr="00DA2C55" w:rsidTr="005A0032">
        <w:tc>
          <w:tcPr>
            <w:tcW w:w="9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  <w:b/>
              </w:rPr>
            </w:pPr>
            <w:r w:rsidRPr="00DA2C55">
              <w:rPr>
                <w:rFonts w:ascii="Times New Roman" w:hAnsi="Times New Roman" w:cs="Times New Roman"/>
                <w:b/>
              </w:rPr>
              <w:t>Sr. No.</w:t>
            </w:r>
          </w:p>
        </w:tc>
        <w:tc>
          <w:tcPr>
            <w:tcW w:w="2746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  <w:b/>
              </w:rPr>
            </w:pPr>
            <w:r w:rsidRPr="00DA2C55">
              <w:rPr>
                <w:rFonts w:ascii="Times New Roman" w:hAnsi="Times New Roman" w:cs="Times New Roman"/>
                <w:b/>
              </w:rPr>
              <w:t>Material (LCP/LMOF)</w:t>
            </w:r>
          </w:p>
        </w:tc>
        <w:tc>
          <w:tcPr>
            <w:tcW w:w="252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  <w:b/>
              </w:rPr>
            </w:pPr>
            <w:r w:rsidRPr="00DA2C55">
              <w:rPr>
                <w:rFonts w:ascii="Times New Roman" w:hAnsi="Times New Roman" w:cs="Times New Roman"/>
                <w:b/>
              </w:rPr>
              <w:t>Analyte (CrO</w:t>
            </w:r>
            <w:r w:rsidRPr="00DA2C55">
              <w:rPr>
                <w:rFonts w:ascii="Times New Roman" w:hAnsi="Times New Roman" w:cs="Times New Roman"/>
                <w:b/>
                <w:vertAlign w:val="subscript"/>
              </w:rPr>
              <w:t>4</w:t>
            </w:r>
            <w:r w:rsidRPr="00DA2C55">
              <w:rPr>
                <w:rFonts w:ascii="Times New Roman" w:hAnsi="Times New Roman" w:cs="Times New Roman"/>
                <w:b/>
                <w:vertAlign w:val="superscript"/>
              </w:rPr>
              <w:t>2-</w:t>
            </w:r>
            <w:r w:rsidRPr="00DA2C55">
              <w:rPr>
                <w:rFonts w:ascii="Times New Roman" w:hAnsi="Times New Roman" w:cs="Times New Roman"/>
                <w:b/>
              </w:rPr>
              <w:t>/Cr</w:t>
            </w:r>
            <w:r w:rsidRPr="00DA2C55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  <w:b/>
              </w:rPr>
              <w:t>O</w:t>
            </w:r>
            <w:r w:rsidRPr="00DA2C55">
              <w:rPr>
                <w:rFonts w:ascii="Times New Roman" w:hAnsi="Times New Roman" w:cs="Times New Roman"/>
                <w:b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b/>
                <w:vertAlign w:val="superscript"/>
              </w:rPr>
              <w:t>2-</w:t>
            </w:r>
            <w:r w:rsidRPr="00DA2C5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24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  <w:b/>
              </w:rPr>
            </w:pPr>
            <w:r w:rsidRPr="00DA2C55">
              <w:rPr>
                <w:rFonts w:ascii="Times New Roman" w:hAnsi="Times New Roman" w:cs="Times New Roman"/>
                <w:b/>
              </w:rPr>
              <w:t>Quenching constant (Ksv, M</w:t>
            </w:r>
            <w:r w:rsidRPr="00DA2C55">
              <w:rPr>
                <w:rFonts w:ascii="Times New Roman" w:hAnsi="Times New Roman" w:cs="Times New Roman"/>
                <w:b/>
                <w:vertAlign w:val="superscript"/>
              </w:rPr>
              <w:t>-1</w:t>
            </w:r>
            <w:r w:rsidRPr="00DA2C5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  <w:b/>
              </w:rPr>
            </w:pPr>
            <w:r w:rsidRPr="00DA2C55">
              <w:rPr>
                <w:rFonts w:ascii="Times New Roman" w:hAnsi="Times New Roman" w:cs="Times New Roman"/>
                <w:b/>
              </w:rPr>
              <w:t>LOD (µM)</w:t>
            </w:r>
          </w:p>
        </w:tc>
        <w:tc>
          <w:tcPr>
            <w:tcW w:w="117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  <w:b/>
              </w:rPr>
            </w:pPr>
            <w:r w:rsidRPr="00DA2C55"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DA2C55" w:rsidRPr="00DA2C55" w:rsidTr="005A0032">
        <w:tc>
          <w:tcPr>
            <w:tcW w:w="9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46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Ln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3+</w:t>
            </w:r>
            <w:r w:rsidRPr="00DA2C55">
              <w:rPr>
                <w:rFonts w:ascii="Times New Roman" w:hAnsi="Times New Roman" w:cs="Times New Roman"/>
              </w:rPr>
              <w:t>@MIL-121</w:t>
            </w:r>
          </w:p>
        </w:tc>
        <w:tc>
          <w:tcPr>
            <w:tcW w:w="252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</w:tc>
        <w:tc>
          <w:tcPr>
            <w:tcW w:w="2924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4.34×10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8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117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S3</w:t>
            </w:r>
          </w:p>
        </w:tc>
      </w:tr>
      <w:tr w:rsidR="00DA2C55" w:rsidRPr="00DA2C55" w:rsidTr="005A0032">
        <w:tc>
          <w:tcPr>
            <w:tcW w:w="9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6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{[Zn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(tpeb)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(2,3-ndc)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]·H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O}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n</w:t>
            </w:r>
          </w:p>
        </w:tc>
        <w:tc>
          <w:tcPr>
            <w:tcW w:w="252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CrO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4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  <w:r w:rsidRPr="00DA2C55">
              <w:rPr>
                <w:rFonts w:ascii="Times New Roman" w:hAnsi="Times New Roman" w:cs="Times New Roman"/>
              </w:rPr>
              <w:t>/Cr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</w:tc>
        <w:tc>
          <w:tcPr>
            <w:tcW w:w="2924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3.46×10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Pr="00DA2C55">
              <w:rPr>
                <w:rFonts w:ascii="Times New Roman" w:hAnsi="Times New Roman" w:cs="Times New Roman"/>
              </w:rPr>
              <w:t>/4.20×10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8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0.008/0.008</w:t>
            </w:r>
          </w:p>
        </w:tc>
        <w:tc>
          <w:tcPr>
            <w:tcW w:w="117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S4</w:t>
            </w:r>
          </w:p>
        </w:tc>
      </w:tr>
      <w:tr w:rsidR="00DA2C55" w:rsidRPr="00DA2C55" w:rsidTr="005A0032">
        <w:trPr>
          <w:trHeight w:val="746"/>
        </w:trPr>
        <w:tc>
          <w:tcPr>
            <w:tcW w:w="9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46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[Zn(btz)]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n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[Zn(ttz)H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O]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n</w:t>
            </w:r>
          </w:p>
        </w:tc>
        <w:tc>
          <w:tcPr>
            <w:tcW w:w="252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CrO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4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  <w:r w:rsidRPr="00DA2C55">
              <w:rPr>
                <w:rFonts w:ascii="Times New Roman" w:hAnsi="Times New Roman" w:cs="Times New Roman"/>
              </w:rPr>
              <w:t>/Cr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CrO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4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  <w:r w:rsidRPr="00DA2C55">
              <w:rPr>
                <w:rFonts w:ascii="Times New Roman" w:hAnsi="Times New Roman" w:cs="Times New Roman"/>
              </w:rPr>
              <w:t>/Cr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</w:tc>
        <w:tc>
          <w:tcPr>
            <w:tcW w:w="2924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3.19×10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  <w:r w:rsidRPr="00DA2C55">
              <w:rPr>
                <w:rFonts w:ascii="Times New Roman" w:hAnsi="Times New Roman" w:cs="Times New Roman"/>
              </w:rPr>
              <w:t>/4.23×10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2.35×10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  <w:r w:rsidRPr="00DA2C55">
              <w:rPr>
                <w:rFonts w:ascii="Times New Roman" w:hAnsi="Times New Roman" w:cs="Times New Roman"/>
              </w:rPr>
              <w:t>/2.19×10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8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10/2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20/2</w:t>
            </w:r>
          </w:p>
        </w:tc>
        <w:tc>
          <w:tcPr>
            <w:tcW w:w="117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S5</w:t>
            </w:r>
          </w:p>
        </w:tc>
      </w:tr>
      <w:tr w:rsidR="00DA2C55" w:rsidRPr="00DA2C55" w:rsidTr="005A0032">
        <w:tc>
          <w:tcPr>
            <w:tcW w:w="9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46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[Zn(IPA)(L)]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n</w:t>
            </w:r>
            <w:r w:rsidRPr="00DA2C55">
              <w:rPr>
                <w:rFonts w:ascii="Times New Roman" w:hAnsi="Times New Roman" w:cs="Times New Roman"/>
              </w:rPr>
              <w:t xml:space="preserve"> 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[Cd(IPA)(L)]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n</w:t>
            </w:r>
          </w:p>
        </w:tc>
        <w:tc>
          <w:tcPr>
            <w:tcW w:w="252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CrO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4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  <w:r w:rsidRPr="00DA2C55">
              <w:rPr>
                <w:rFonts w:ascii="Times New Roman" w:hAnsi="Times New Roman" w:cs="Times New Roman"/>
              </w:rPr>
              <w:t>/Cr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CrO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4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  <w:r w:rsidRPr="00DA2C55">
              <w:rPr>
                <w:rFonts w:ascii="Times New Roman" w:hAnsi="Times New Roman" w:cs="Times New Roman"/>
              </w:rPr>
              <w:t>/Cr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</w:tc>
        <w:tc>
          <w:tcPr>
            <w:tcW w:w="2924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1.00×10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  <w:r w:rsidRPr="00DA2C55">
              <w:rPr>
                <w:rFonts w:ascii="Times New Roman" w:hAnsi="Times New Roman" w:cs="Times New Roman"/>
              </w:rPr>
              <w:t>/1.37×10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  <w:r w:rsidRPr="00DA2C55">
              <w:rPr>
                <w:rFonts w:ascii="Times New Roman" w:hAnsi="Times New Roman" w:cs="Times New Roman"/>
              </w:rPr>
              <w:t xml:space="preserve"> 1.30×10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  <w:r w:rsidRPr="00DA2C55">
              <w:rPr>
                <w:rFonts w:ascii="Times New Roman" w:hAnsi="Times New Roman" w:cs="Times New Roman"/>
              </w:rPr>
              <w:t>/2.91×103</w:t>
            </w:r>
          </w:p>
        </w:tc>
        <w:tc>
          <w:tcPr>
            <w:tcW w:w="18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 xml:space="preserve">18.33/12.02 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2.52/2.26</w:t>
            </w:r>
          </w:p>
        </w:tc>
        <w:tc>
          <w:tcPr>
            <w:tcW w:w="117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S1</w:t>
            </w:r>
          </w:p>
        </w:tc>
      </w:tr>
      <w:tr w:rsidR="00DA2C55" w:rsidRPr="00DA2C55" w:rsidTr="005A0032">
        <w:tc>
          <w:tcPr>
            <w:tcW w:w="9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46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[Zn(2-NH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bdc)(bibp)]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n</w:t>
            </w:r>
          </w:p>
        </w:tc>
        <w:tc>
          <w:tcPr>
            <w:tcW w:w="252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</w:tc>
        <w:tc>
          <w:tcPr>
            <w:tcW w:w="2924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6555070</w:t>
            </w:r>
          </w:p>
        </w:tc>
        <w:tc>
          <w:tcPr>
            <w:tcW w:w="18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 xml:space="preserve">  -</w:t>
            </w:r>
          </w:p>
        </w:tc>
        <w:tc>
          <w:tcPr>
            <w:tcW w:w="117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S6</w:t>
            </w:r>
          </w:p>
        </w:tc>
      </w:tr>
      <w:tr w:rsidR="00DA2C55" w:rsidRPr="00DA2C55" w:rsidTr="005A0032">
        <w:tc>
          <w:tcPr>
            <w:tcW w:w="9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46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{[Cd(L)(BPDC)]·2H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O}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 xml:space="preserve">n </w:t>
            </w:r>
            <w:r w:rsidRPr="00DA2C55">
              <w:rPr>
                <w:rFonts w:ascii="Times New Roman" w:hAnsi="Times New Roman" w:cs="Times New Roman"/>
              </w:rPr>
              <w:t>{[Cd(L)(SDBA)(H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O)]·0.5H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O}n</w:t>
            </w:r>
          </w:p>
        </w:tc>
        <w:tc>
          <w:tcPr>
            <w:tcW w:w="252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A2C55">
              <w:rPr>
                <w:rFonts w:ascii="Times New Roman" w:hAnsi="Times New Roman" w:cs="Times New Roman"/>
              </w:rPr>
              <w:t>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</w:tc>
        <w:tc>
          <w:tcPr>
            <w:tcW w:w="2924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6.4×10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4.97×10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8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 xml:space="preserve">37.6 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48.6</w:t>
            </w:r>
          </w:p>
        </w:tc>
        <w:tc>
          <w:tcPr>
            <w:tcW w:w="117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S7</w:t>
            </w:r>
          </w:p>
        </w:tc>
      </w:tr>
      <w:tr w:rsidR="00DA2C55" w:rsidRPr="00DA2C55" w:rsidTr="005A0032">
        <w:tc>
          <w:tcPr>
            <w:tcW w:w="9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46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[Y(BTC)(H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O)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6</w:t>
            </w:r>
            <w:r w:rsidRPr="00DA2C55">
              <w:rPr>
                <w:rFonts w:ascii="Times New Roman" w:hAnsi="Times New Roman" w:cs="Times New Roman"/>
              </w:rPr>
              <w:t>]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n</w:t>
            </w:r>
            <w:r w:rsidRPr="00DA2C55">
              <w:rPr>
                <w:rFonts w:ascii="Times New Roman" w:hAnsi="Times New Roman" w:cs="Times New Roman"/>
              </w:rPr>
              <w:t>:0.1Eu</w:t>
            </w:r>
          </w:p>
        </w:tc>
        <w:tc>
          <w:tcPr>
            <w:tcW w:w="252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CrO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4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  <w:r w:rsidRPr="00DA2C55">
              <w:rPr>
                <w:rFonts w:ascii="Times New Roman" w:hAnsi="Times New Roman" w:cs="Times New Roman"/>
              </w:rPr>
              <w:t>/Cr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</w:tc>
        <w:tc>
          <w:tcPr>
            <w:tcW w:w="2924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1.18×10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  <w:r w:rsidRPr="00DA2C55">
              <w:rPr>
                <w:rFonts w:ascii="Times New Roman" w:hAnsi="Times New Roman" w:cs="Times New Roman"/>
              </w:rPr>
              <w:t xml:space="preserve"> /4.52×10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8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0.03/0.04</w:t>
            </w:r>
          </w:p>
        </w:tc>
        <w:tc>
          <w:tcPr>
            <w:tcW w:w="117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S8</w:t>
            </w:r>
          </w:p>
        </w:tc>
      </w:tr>
      <w:tr w:rsidR="00DA2C55" w:rsidRPr="00DA2C55" w:rsidTr="005A0032">
        <w:tc>
          <w:tcPr>
            <w:tcW w:w="9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746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{[Zn(ATA)(L)]</w:t>
            </w:r>
            <w:r w:rsidRPr="00DA2C55">
              <w:rPr>
                <w:rFonts w:ascii="Cambria Math" w:hAnsi="Cambria Math" w:cs="Cambria Math"/>
              </w:rPr>
              <w:t>⋅</w:t>
            </w:r>
            <w:r w:rsidRPr="00DA2C55">
              <w:rPr>
                <w:rFonts w:ascii="Times New Roman" w:hAnsi="Times New Roman" w:cs="Times New Roman"/>
              </w:rPr>
              <w:t>2H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O}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 xml:space="preserve">n </w:t>
            </w:r>
            <w:r w:rsidRPr="00DA2C55">
              <w:rPr>
                <w:rFonts w:ascii="Times New Roman" w:hAnsi="Times New Roman" w:cs="Times New Roman"/>
              </w:rPr>
              <w:t>{[Cd(ATA)(L)]</w:t>
            </w:r>
            <w:r w:rsidRPr="00DA2C55">
              <w:rPr>
                <w:rFonts w:ascii="Cambria Math" w:hAnsi="Cambria Math" w:cs="Cambria Math"/>
              </w:rPr>
              <w:t>⋅</w:t>
            </w:r>
            <w:r w:rsidRPr="00DA2C55">
              <w:rPr>
                <w:rFonts w:ascii="Times New Roman" w:hAnsi="Times New Roman" w:cs="Times New Roman"/>
              </w:rPr>
              <w:t>2H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O}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 xml:space="preserve">n </w:t>
            </w:r>
          </w:p>
        </w:tc>
        <w:tc>
          <w:tcPr>
            <w:tcW w:w="252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CrO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4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  <w:r w:rsidRPr="00DA2C55">
              <w:rPr>
                <w:rFonts w:ascii="Times New Roman" w:hAnsi="Times New Roman" w:cs="Times New Roman"/>
              </w:rPr>
              <w:t>/Cr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CrO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4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  <w:r w:rsidRPr="00DA2C55">
              <w:rPr>
                <w:rFonts w:ascii="Times New Roman" w:hAnsi="Times New Roman" w:cs="Times New Roman"/>
              </w:rPr>
              <w:t>/Cr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</w:tc>
        <w:tc>
          <w:tcPr>
            <w:tcW w:w="2924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1.48×10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  <w:r w:rsidRPr="00DA2C55">
              <w:rPr>
                <w:rFonts w:ascii="Times New Roman" w:hAnsi="Times New Roman" w:cs="Times New Roman"/>
              </w:rPr>
              <w:t>/2.62×10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Pr="00DA2C55">
              <w:rPr>
                <w:rFonts w:ascii="Times New Roman" w:hAnsi="Times New Roman" w:cs="Times New Roman"/>
              </w:rPr>
              <w:t>0.97×10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  <w:r w:rsidRPr="00DA2C55">
              <w:rPr>
                <w:rFonts w:ascii="Times New Roman" w:hAnsi="Times New Roman" w:cs="Times New Roman"/>
              </w:rPr>
              <w:t>/3.11×10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8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 xml:space="preserve">0.25/0.43 </w:t>
            </w:r>
          </w:p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0.18/0.19</w:t>
            </w:r>
          </w:p>
        </w:tc>
        <w:tc>
          <w:tcPr>
            <w:tcW w:w="117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S2</w:t>
            </w:r>
          </w:p>
        </w:tc>
      </w:tr>
      <w:tr w:rsidR="00DA2C55" w:rsidRPr="00DA2C55" w:rsidTr="005A0032">
        <w:trPr>
          <w:trHeight w:val="89"/>
        </w:trPr>
        <w:tc>
          <w:tcPr>
            <w:tcW w:w="9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746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ZnMOF-1</w:t>
            </w:r>
          </w:p>
        </w:tc>
        <w:tc>
          <w:tcPr>
            <w:tcW w:w="252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CrO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4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  <w:r w:rsidRPr="00DA2C55">
              <w:rPr>
                <w:rFonts w:ascii="Times New Roman" w:hAnsi="Times New Roman" w:cs="Times New Roman"/>
              </w:rPr>
              <w:t>/Cr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</w:tc>
        <w:tc>
          <w:tcPr>
            <w:tcW w:w="2924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1.19 × 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  <w:r w:rsidRPr="00DA2C55">
              <w:rPr>
                <w:rFonts w:ascii="Times New Roman" w:hAnsi="Times New Roman" w:cs="Times New Roman"/>
              </w:rPr>
              <w:t>/ 1.48 × 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  <w:r w:rsidRPr="00DA2C5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9.79 /10.94</w:t>
            </w:r>
          </w:p>
        </w:tc>
        <w:tc>
          <w:tcPr>
            <w:tcW w:w="117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This work</w:t>
            </w:r>
          </w:p>
        </w:tc>
      </w:tr>
      <w:tr w:rsidR="00DA2C55" w:rsidRPr="00DA2C55" w:rsidTr="005A0032">
        <w:tc>
          <w:tcPr>
            <w:tcW w:w="9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746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CdMOF-1</w:t>
            </w:r>
          </w:p>
        </w:tc>
        <w:tc>
          <w:tcPr>
            <w:tcW w:w="252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CrO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4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  <w:r w:rsidRPr="00DA2C55">
              <w:rPr>
                <w:rFonts w:ascii="Times New Roman" w:hAnsi="Times New Roman" w:cs="Times New Roman"/>
              </w:rPr>
              <w:t>/Cr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2</w:t>
            </w:r>
            <w:r w:rsidRPr="00DA2C55">
              <w:rPr>
                <w:rFonts w:ascii="Times New Roman" w:hAnsi="Times New Roman" w:cs="Times New Roman"/>
              </w:rPr>
              <w:t>O</w:t>
            </w:r>
            <w:r w:rsidRPr="00DA2C55">
              <w:rPr>
                <w:rFonts w:ascii="Times New Roman" w:hAnsi="Times New Roman" w:cs="Times New Roman"/>
                <w:vertAlign w:val="subscript"/>
              </w:rPr>
              <w:t>7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2-</w:t>
            </w:r>
          </w:p>
        </w:tc>
        <w:tc>
          <w:tcPr>
            <w:tcW w:w="2924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1.38 × 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  <w:r w:rsidRPr="00DA2C55">
              <w:rPr>
                <w:rFonts w:ascii="Times New Roman" w:hAnsi="Times New Roman" w:cs="Times New Roman"/>
              </w:rPr>
              <w:t>/ 3.63 × 10</w:t>
            </w:r>
            <w:r w:rsidRPr="00DA2C55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80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2.68/1.48</w:t>
            </w:r>
          </w:p>
        </w:tc>
        <w:tc>
          <w:tcPr>
            <w:tcW w:w="1170" w:type="dxa"/>
          </w:tcPr>
          <w:p w:rsidR="00DA2C55" w:rsidRPr="00DA2C55" w:rsidRDefault="00DA2C55" w:rsidP="00DA2C55">
            <w:pPr>
              <w:tabs>
                <w:tab w:val="left" w:pos="270"/>
                <w:tab w:val="left" w:pos="9630"/>
                <w:tab w:val="left" w:pos="10080"/>
                <w:tab w:val="left" w:pos="10170"/>
              </w:tabs>
              <w:spacing w:line="480" w:lineRule="auto"/>
              <w:ind w:left="90" w:right="-351"/>
              <w:jc w:val="both"/>
              <w:rPr>
                <w:rFonts w:ascii="Times New Roman" w:hAnsi="Times New Roman" w:cs="Times New Roman"/>
              </w:rPr>
            </w:pPr>
            <w:r w:rsidRPr="00DA2C55">
              <w:rPr>
                <w:rFonts w:ascii="Times New Roman" w:hAnsi="Times New Roman" w:cs="Times New Roman"/>
              </w:rPr>
              <w:t>This work</w:t>
            </w:r>
          </w:p>
        </w:tc>
      </w:tr>
    </w:tbl>
    <w:p w:rsidR="00DA2C55" w:rsidRDefault="00DA2C55">
      <w:pPr>
        <w:rPr>
          <w:rFonts w:ascii="Times New Roman" w:eastAsia="Malgun Gothic" w:hAnsi="Times New Roman" w:cs="Times New Roman"/>
          <w:sz w:val="20"/>
          <w:szCs w:val="20"/>
        </w:rPr>
        <w:sectPr w:rsidR="00DA2C55" w:rsidSect="00DA2C55">
          <w:pgSz w:w="16839" w:h="11907" w:orient="landscape"/>
          <w:pgMar w:top="1440" w:right="108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DA2C55" w:rsidRPr="00DA2C55" w:rsidRDefault="00DA2C55" w:rsidP="00DA2C55">
      <w:pPr>
        <w:rPr>
          <w:rFonts w:ascii="Times New Roman" w:eastAsia="Malgun Gothic" w:hAnsi="Times New Roman" w:cs="Times New Roman"/>
          <w:b/>
          <w:sz w:val="24"/>
          <w:szCs w:val="24"/>
        </w:rPr>
      </w:pPr>
      <w:bookmarkStart w:id="0" w:name="_GoBack"/>
      <w:bookmarkEnd w:id="0"/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lastRenderedPageBreak/>
        <w:t>References</w:t>
      </w:r>
    </w:p>
    <w:p w:rsidR="00DA2C55" w:rsidRPr="00DA2C55" w:rsidRDefault="00DA2C55" w:rsidP="00DA2C55">
      <w:pPr>
        <w:tabs>
          <w:tab w:val="left" w:pos="9630"/>
        </w:tabs>
        <w:spacing w:after="0" w:line="480" w:lineRule="auto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S1.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B. Parmar, Y. Rachuri, K.K. Bisht, R. Laiya, E. Suresh, Mechanochemical and conventional synthesis of Zn (II)/Cd (II) luminescent coordination polymers: dual sensing probe for selective detection of chromate anions and TNP in aqueous phase, Inorganic chemistry 56(5) (2017) 2627-2638.</w:t>
      </w:r>
    </w:p>
    <w:p w:rsidR="00DA2C55" w:rsidRPr="00DA2C55" w:rsidRDefault="00DA2C55" w:rsidP="00DA2C55">
      <w:pPr>
        <w:tabs>
          <w:tab w:val="left" w:pos="1260"/>
          <w:tab w:val="left" w:pos="9630"/>
        </w:tabs>
        <w:spacing w:line="480" w:lineRule="auto"/>
        <w:jc w:val="both"/>
        <w:rPr>
          <w:rFonts w:ascii="Times New Roman" w:eastAsia="Malgun Gothic" w:hAnsi="Times New Roman" w:cs="Times New Roman"/>
          <w:b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 xml:space="preserve">S2. 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B. Parmar, Y. Rachuri, K.K. Bisht, E. Suresh, Mixed-ligand LMOF fluorosensors for detection of Cr (VI) oxyanions and Fe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3+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/Pd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2+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cations in aqueous media, Inorganic chemistry 56(18) (2017) 10939-10949.</w:t>
      </w:r>
    </w:p>
    <w:p w:rsidR="00DA2C55" w:rsidRPr="00DA2C55" w:rsidRDefault="00DA2C55" w:rsidP="00DA2C55">
      <w:pPr>
        <w:tabs>
          <w:tab w:val="left" w:pos="1260"/>
          <w:tab w:val="left" w:pos="9630"/>
        </w:tabs>
        <w:spacing w:line="480" w:lineRule="auto"/>
        <w:jc w:val="both"/>
        <w:rPr>
          <w:rFonts w:ascii="Times New Roman" w:eastAsia="Malgun Gothic" w:hAnsi="Times New Roman" w:cs="Times New Roman"/>
          <w:b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S3.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J.-N. Hao, B. Yan, Ln 3+ post-functionalized metal–organic frameworks for color tunable emission and highly sensitive sensing of toxic anions and small molecules, New Journal of Chemistry 40(5) (2016) 4654-4661.</w:t>
      </w:r>
    </w:p>
    <w:p w:rsidR="00DA2C55" w:rsidRPr="00DA2C55" w:rsidRDefault="00DA2C55" w:rsidP="00DA2C55">
      <w:pPr>
        <w:tabs>
          <w:tab w:val="left" w:pos="1260"/>
          <w:tab w:val="left" w:pos="9630"/>
        </w:tabs>
        <w:spacing w:line="480" w:lineRule="auto"/>
        <w:jc w:val="both"/>
        <w:rPr>
          <w:rFonts w:ascii="Times New Roman" w:eastAsia="Malgun Gothic" w:hAnsi="Times New Roman" w:cs="Times New Roman"/>
          <w:b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S4.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T.-Y. Gu, M. Dai, D.J. Young, Z.-G. Ren, J.-P. Lang, Luminescent Zn (II) coordination polymers for highly selective sensing of Cr (III) and Cr (VI) in water, Inorganic chemistry 56(8) (2017) 4668-4678.</w:t>
      </w:r>
    </w:p>
    <w:p w:rsidR="00DA2C55" w:rsidRPr="00DA2C55" w:rsidRDefault="00DA2C55" w:rsidP="00DA2C55">
      <w:pPr>
        <w:tabs>
          <w:tab w:val="left" w:pos="1260"/>
          <w:tab w:val="left" w:pos="9630"/>
        </w:tabs>
        <w:spacing w:line="480" w:lineRule="auto"/>
        <w:jc w:val="both"/>
        <w:rPr>
          <w:rFonts w:ascii="Times New Roman" w:eastAsia="Malgun Gothic" w:hAnsi="Times New Roman" w:cs="Times New Roman"/>
          <w:b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S5.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C.-S. Cao, H.-C. Hu, H. Xu, W.-Z. Qiao, B. Zhao, Two solvent-stable MOFs as a recyclable luminescent probe for detecting dichromate or chromate anions, CrystEngComm 18(23) (2016) 4445-4451.</w:t>
      </w:r>
    </w:p>
    <w:p w:rsidR="00DA2C55" w:rsidRPr="00DA2C55" w:rsidRDefault="00DA2C55" w:rsidP="00DA2C55">
      <w:pPr>
        <w:tabs>
          <w:tab w:val="left" w:pos="1260"/>
          <w:tab w:val="left" w:pos="9630"/>
        </w:tabs>
        <w:spacing w:line="480" w:lineRule="auto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S6.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L. Wen, X. Zheng, K. Lv, C. Wang, X. Xu, Two amino-decorated metal–organic frameworks for highly selective and quantitatively sensing of HgII and CrVI in aqueous solution, Inorganic chemistry 54(15) (2015) 7133-7135.</w:t>
      </w:r>
    </w:p>
    <w:p w:rsidR="00DA2C55" w:rsidRPr="00DA2C55" w:rsidRDefault="00DA2C55" w:rsidP="00DA2C55">
      <w:pPr>
        <w:tabs>
          <w:tab w:val="left" w:pos="1260"/>
          <w:tab w:val="left" w:pos="9630"/>
        </w:tabs>
        <w:spacing w:line="480" w:lineRule="auto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t>S7.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S. Chen, Z. Shi, L. Qin, H. Jia, H. Zheng, Two new luminescent Cd (II)-metal–organic frameworks as bifunctional chemosensors for detection of cations Fe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3+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, anions CrO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4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2–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, and Cr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2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>O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bscript"/>
        </w:rPr>
        <w:t>7</w:t>
      </w:r>
      <w:r w:rsidRPr="00DA2C55">
        <w:rPr>
          <w:rFonts w:ascii="Times New Roman" w:eastAsia="Malgun Gothic" w:hAnsi="Times New Roman" w:cs="Times New Roman"/>
          <w:sz w:val="24"/>
          <w:szCs w:val="24"/>
          <w:vertAlign w:val="superscript"/>
        </w:rPr>
        <w:t>2–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in aqueous solution, Crystal Growth &amp; Design 17(1) (2017) 67-72.</w:t>
      </w:r>
    </w:p>
    <w:p w:rsidR="00DA2C55" w:rsidRPr="00DA2C55" w:rsidRDefault="00DA2C55" w:rsidP="00DA2C55">
      <w:pPr>
        <w:tabs>
          <w:tab w:val="left" w:pos="1260"/>
          <w:tab w:val="left" w:pos="9630"/>
        </w:tabs>
        <w:spacing w:line="480" w:lineRule="auto"/>
        <w:jc w:val="both"/>
        <w:rPr>
          <w:rFonts w:ascii="Times New Roman" w:eastAsia="Malgun Gothic" w:hAnsi="Times New Roman" w:cs="Times New Roman"/>
          <w:b/>
          <w:sz w:val="24"/>
          <w:szCs w:val="24"/>
        </w:rPr>
      </w:pPr>
      <w:r w:rsidRPr="00DA2C55">
        <w:rPr>
          <w:rFonts w:ascii="Times New Roman" w:eastAsia="Malgun Gothic" w:hAnsi="Times New Roman" w:cs="Times New Roman"/>
          <w:b/>
          <w:sz w:val="24"/>
          <w:szCs w:val="24"/>
        </w:rPr>
        <w:lastRenderedPageBreak/>
        <w:t>S8.</w:t>
      </w:r>
      <w:r w:rsidRPr="00DA2C55">
        <w:rPr>
          <w:rFonts w:ascii="Times New Roman" w:eastAsia="Malgun Gothic" w:hAnsi="Times New Roman" w:cs="Times New Roman"/>
          <w:sz w:val="24"/>
          <w:szCs w:val="24"/>
        </w:rPr>
        <w:t xml:space="preserve"> T.-W. Duan, B. Yan, H. Weng, Europium activated yttrium hybrid microporous system for luminescent sensing toxic anion of Cr (VI) species, Microporous and Mesoporous Materials 217 (2015) 196-202.</w:t>
      </w:r>
    </w:p>
    <w:p w:rsidR="00DA2C55" w:rsidRPr="00DA2C55" w:rsidRDefault="00DA2C55" w:rsidP="00DA2C55">
      <w:pPr>
        <w:tabs>
          <w:tab w:val="left" w:pos="1260"/>
          <w:tab w:val="left" w:pos="9630"/>
        </w:tabs>
        <w:spacing w:line="480" w:lineRule="auto"/>
        <w:jc w:val="both"/>
        <w:rPr>
          <w:rFonts w:ascii="Times New Roman" w:eastAsia="Malgun Gothic" w:hAnsi="Times New Roman" w:cs="Times New Roman"/>
          <w:b/>
          <w:sz w:val="24"/>
          <w:szCs w:val="24"/>
        </w:rPr>
      </w:pPr>
    </w:p>
    <w:p w:rsidR="00942047" w:rsidRDefault="00942047"/>
    <w:sectPr w:rsidR="00942047" w:rsidSect="00DA2C55">
      <w:pgSz w:w="11907" w:h="16839"/>
      <w:pgMar w:top="1440" w:right="1440" w:bottom="108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55"/>
    <w:rsid w:val="00942047"/>
    <w:rsid w:val="00DA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F9FAF"/>
  <w15:chartTrackingRefBased/>
  <w15:docId w15:val="{22BB6A0E-7787-4176-8946-99E71F9F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qFormat/>
    <w:rsid w:val="00DA2C55"/>
    <w:pPr>
      <w:spacing w:after="0" w:line="240" w:lineRule="auto"/>
    </w:pPr>
    <w:rPr>
      <w:rFonts w:eastAsia="Malgun Goth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2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A2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5" Type="http://schemas.openxmlformats.org/officeDocument/2006/relationships/oleObject" Target="embeddings/oleObject1.bin"/><Relationship Id="rId15" Type="http://schemas.openxmlformats.org/officeDocument/2006/relationships/image" Target="media/image8.emf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scpl</dc:creator>
  <cp:keywords/>
  <dc:description/>
  <cp:lastModifiedBy>scpl</cp:lastModifiedBy>
  <cp:revision>1</cp:revision>
  <dcterms:created xsi:type="dcterms:W3CDTF">2022-09-08T15:13:00Z</dcterms:created>
  <dcterms:modified xsi:type="dcterms:W3CDTF">2022-09-08T15:19:00Z</dcterms:modified>
</cp:coreProperties>
</file>