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AC7A" w14:textId="5F380D3A" w:rsidR="00EC5C7B" w:rsidRPr="00EC5C7B" w:rsidRDefault="00EC5C7B" w:rsidP="00BD75D8">
      <w:pPr>
        <w:ind w:left="420" w:hanging="420"/>
        <w:rPr>
          <w:b/>
          <w:sz w:val="22"/>
          <w:szCs w:val="24"/>
        </w:rPr>
      </w:pPr>
      <w:r w:rsidRPr="00EC5C7B">
        <w:rPr>
          <w:rFonts w:ascii="Times New Roman" w:eastAsia="黑体" w:hAnsi="Times New Roman" w:cs="Times New Roman"/>
          <w:b/>
          <w:sz w:val="32"/>
          <w:szCs w:val="32"/>
        </w:rPr>
        <w:t>H</w:t>
      </w:r>
      <w:r w:rsidRPr="00EC5C7B">
        <w:rPr>
          <w:rFonts w:ascii="Times New Roman" w:eastAsia="黑体" w:hAnsi="Times New Roman" w:cs="Times New Roman" w:hint="eastAsia"/>
          <w:b/>
          <w:sz w:val="32"/>
          <w:szCs w:val="32"/>
        </w:rPr>
        <w:t>ighlights</w:t>
      </w:r>
    </w:p>
    <w:p w14:paraId="4AD67177" w14:textId="77777777" w:rsidR="00EC5C7B" w:rsidRDefault="00EC5C7B" w:rsidP="00BD75D8">
      <w:pPr>
        <w:ind w:left="420" w:hanging="420"/>
      </w:pPr>
    </w:p>
    <w:p w14:paraId="08AD3326" w14:textId="7B8CD26C" w:rsidR="008F3344" w:rsidRDefault="00987A7B" w:rsidP="00BD75D8">
      <w:pPr>
        <w:pStyle w:val="a7"/>
        <w:numPr>
          <w:ilvl w:val="0"/>
          <w:numId w:val="1"/>
        </w:numPr>
        <w:ind w:firstLineChars="0"/>
        <w:rPr>
          <w:rFonts w:ascii="Times New Roman" w:eastAsia="黑体" w:hAnsi="Times New Roman" w:cs="Times New Roman"/>
          <w:bCs/>
          <w:sz w:val="28"/>
          <w:szCs w:val="28"/>
        </w:rPr>
      </w:pPr>
      <w:r w:rsidRPr="00BD75D8">
        <w:rPr>
          <w:rFonts w:ascii="Times New Roman" w:eastAsia="黑体" w:hAnsi="Times New Roman" w:cs="Times New Roman"/>
          <w:bCs/>
          <w:sz w:val="28"/>
          <w:szCs w:val="28"/>
        </w:rPr>
        <w:t>GH</w:t>
      </w:r>
      <w:r w:rsidRPr="00BD75D8"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</w:t>
      </w:r>
      <w:r w:rsidRPr="00BD75D8">
        <w:rPr>
          <w:rFonts w:ascii="Times New Roman" w:eastAsia="黑体" w:hAnsi="Times New Roman" w:cs="Times New Roman"/>
          <w:bCs/>
          <w:sz w:val="28"/>
          <w:szCs w:val="28"/>
        </w:rPr>
        <w:t>efficiently promoted the ovar</w:t>
      </w:r>
      <w:r w:rsidR="00F67ADB">
        <w:rPr>
          <w:rFonts w:ascii="Times New Roman" w:eastAsia="黑体" w:hAnsi="Times New Roman" w:cs="Times New Roman" w:hint="eastAsia"/>
          <w:bCs/>
          <w:sz w:val="28"/>
          <w:szCs w:val="28"/>
        </w:rPr>
        <w:t>ian</w:t>
      </w:r>
      <w:r w:rsidRPr="00BD75D8">
        <w:rPr>
          <w:rFonts w:ascii="Times New Roman" w:eastAsia="黑体" w:hAnsi="Times New Roman" w:cs="Times New Roman"/>
          <w:bCs/>
          <w:sz w:val="28"/>
          <w:szCs w:val="28"/>
        </w:rPr>
        <w:t xml:space="preserve"> coefficient, development of follicles, and </w:t>
      </w:r>
      <w:bookmarkStart w:id="0" w:name="_Hlk93313970"/>
      <w:r w:rsidRPr="00BD75D8">
        <w:rPr>
          <w:rFonts w:ascii="Times New Roman" w:eastAsia="黑体" w:hAnsi="Times New Roman" w:cs="Times New Roman"/>
          <w:bCs/>
          <w:sz w:val="28"/>
          <w:szCs w:val="28"/>
        </w:rPr>
        <w:t>the number</w:t>
      </w:r>
      <w:bookmarkEnd w:id="0"/>
      <w:r w:rsidRPr="00BD75D8">
        <w:rPr>
          <w:rFonts w:ascii="Times New Roman" w:eastAsia="黑体" w:hAnsi="Times New Roman" w:cs="Times New Roman"/>
          <w:bCs/>
          <w:sz w:val="28"/>
          <w:szCs w:val="28"/>
        </w:rPr>
        <w:t xml:space="preserve"> of oocytes in POF mice.</w:t>
      </w:r>
    </w:p>
    <w:p w14:paraId="778FE1B6" w14:textId="77777777" w:rsidR="00BD75D8" w:rsidRDefault="00FC4148" w:rsidP="00BD75D8">
      <w:pPr>
        <w:pStyle w:val="a7"/>
        <w:numPr>
          <w:ilvl w:val="0"/>
          <w:numId w:val="1"/>
        </w:numPr>
        <w:ind w:firstLineChars="0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t>GH prevented alternations of mitochondrial ultrastructure to stabilize the membrane potential.</w:t>
      </w:r>
    </w:p>
    <w:p w14:paraId="65D30A10" w14:textId="77777777" w:rsidR="00FC4148" w:rsidRDefault="00FC4148" w:rsidP="00BD75D8">
      <w:pPr>
        <w:pStyle w:val="a7"/>
        <w:numPr>
          <w:ilvl w:val="0"/>
          <w:numId w:val="1"/>
        </w:numPr>
        <w:ind w:firstLineChars="0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t>GH reduced ROS level and early apoptosis of oocytes in POF mice</w:t>
      </w:r>
    </w:p>
    <w:p w14:paraId="6C35E6E5" w14:textId="77777777" w:rsidR="00FC4148" w:rsidRPr="00BD75D8" w:rsidRDefault="00FC4148" w:rsidP="00BD75D8">
      <w:pPr>
        <w:pStyle w:val="a7"/>
        <w:numPr>
          <w:ilvl w:val="0"/>
          <w:numId w:val="1"/>
        </w:numPr>
        <w:ind w:firstLineChars="0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 w:hint="eastAsia"/>
          <w:bCs/>
          <w:sz w:val="28"/>
          <w:szCs w:val="28"/>
        </w:rPr>
        <w:t>GH supplement</w:t>
      </w:r>
      <w:r>
        <w:rPr>
          <w:rFonts w:ascii="Times New Roman" w:eastAsia="黑体" w:hAnsi="Times New Roman" w:cs="Times New Roman"/>
          <w:bCs/>
          <w:sz w:val="28"/>
          <w:szCs w:val="28"/>
        </w:rPr>
        <w:t>ation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promote</w:t>
      </w:r>
      <w:r>
        <w:rPr>
          <w:rFonts w:ascii="Times New Roman" w:eastAsia="黑体" w:hAnsi="Times New Roman" w:cs="Times New Roman"/>
          <w:bCs/>
          <w:sz w:val="28"/>
          <w:szCs w:val="28"/>
        </w:rPr>
        <w:t>d</w:t>
      </w:r>
      <w:r>
        <w:rPr>
          <w:rFonts w:ascii="Times New Roman" w:eastAsia="黑体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黑体" w:hAnsi="Times New Roman" w:cs="Times New Roman"/>
          <w:bCs/>
          <w:sz w:val="28"/>
          <w:szCs w:val="28"/>
        </w:rPr>
        <w:t>mitochondrial biogenesis to protect the oocyte from POF through the GHR/IGF-I signaling pathway.</w:t>
      </w:r>
    </w:p>
    <w:p w14:paraId="5994F857" w14:textId="77777777" w:rsidR="00987A7B" w:rsidRDefault="00987A7B"/>
    <w:sectPr w:rsidR="00987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B6C2" w14:textId="77777777" w:rsidR="00260370" w:rsidRDefault="00260370" w:rsidP="00987A7B">
      <w:r>
        <w:separator/>
      </w:r>
    </w:p>
  </w:endnote>
  <w:endnote w:type="continuationSeparator" w:id="0">
    <w:p w14:paraId="3CF94964" w14:textId="77777777" w:rsidR="00260370" w:rsidRDefault="00260370" w:rsidP="00987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D0C85" w14:textId="77777777" w:rsidR="00260370" w:rsidRDefault="00260370" w:rsidP="00987A7B">
      <w:r>
        <w:separator/>
      </w:r>
    </w:p>
  </w:footnote>
  <w:footnote w:type="continuationSeparator" w:id="0">
    <w:p w14:paraId="426F5D5E" w14:textId="77777777" w:rsidR="00260370" w:rsidRDefault="00260370" w:rsidP="00987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03D1D"/>
    <w:multiLevelType w:val="hybridMultilevel"/>
    <w:tmpl w:val="968030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934"/>
    <w:rsid w:val="00260370"/>
    <w:rsid w:val="00542934"/>
    <w:rsid w:val="00706E41"/>
    <w:rsid w:val="00877C12"/>
    <w:rsid w:val="00987A7B"/>
    <w:rsid w:val="00B12B9B"/>
    <w:rsid w:val="00B3417F"/>
    <w:rsid w:val="00BD75D8"/>
    <w:rsid w:val="00EC5C7B"/>
    <w:rsid w:val="00F67ADB"/>
    <w:rsid w:val="00FC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DE214"/>
  <w15:chartTrackingRefBased/>
  <w15:docId w15:val="{2F6F8EC9-0572-4EE4-B301-692E86C5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7A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7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7A7B"/>
    <w:rPr>
      <w:sz w:val="18"/>
      <w:szCs w:val="18"/>
    </w:rPr>
  </w:style>
  <w:style w:type="paragraph" w:styleId="a7">
    <w:name w:val="List Paragraph"/>
    <w:basedOn w:val="a"/>
    <w:uiPriority w:val="34"/>
    <w:qFormat/>
    <w:rsid w:val="00BD75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周 丽颖</cp:lastModifiedBy>
  <cp:revision>6</cp:revision>
  <dcterms:created xsi:type="dcterms:W3CDTF">2022-01-15T15:31:00Z</dcterms:created>
  <dcterms:modified xsi:type="dcterms:W3CDTF">2022-03-14T07:42:00Z</dcterms:modified>
</cp:coreProperties>
</file>