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3B2" w:rsidRPr="00AA179A" w:rsidRDefault="00A713B2" w:rsidP="00A713B2">
      <w:pPr>
        <w:pageBreakBefore/>
        <w:autoSpaceDE w:val="0"/>
        <w:autoSpaceDN w:val="0"/>
        <w:adjustRightInd w:val="0"/>
        <w:rPr>
          <w:rFonts w:ascii="Times New Roman" w:eastAsia="SimSun" w:hAnsi="Times New Roman" w:cs="Times New Roman"/>
          <w:b/>
          <w:bCs/>
          <w:kern w:val="0"/>
          <w:sz w:val="24"/>
          <w:szCs w:val="24"/>
        </w:rPr>
      </w:pPr>
      <w:r w:rsidRPr="00AA179A">
        <w:rPr>
          <w:rFonts w:ascii="Times New Roman" w:eastAsia="SimSun" w:hAnsi="Times New Roman" w:cs="Times New Roman"/>
          <w:b/>
          <w:bCs/>
          <w:kern w:val="0"/>
          <w:sz w:val="24"/>
          <w:szCs w:val="24"/>
        </w:rPr>
        <w:t xml:space="preserve">Figure </w:t>
      </w:r>
      <w:r>
        <w:rPr>
          <w:rFonts w:ascii="Times New Roman" w:eastAsia="SimSun" w:hAnsi="Times New Roman" w:cs="Times New Roman"/>
          <w:b/>
          <w:bCs/>
          <w:kern w:val="0"/>
          <w:sz w:val="24"/>
          <w:szCs w:val="24"/>
        </w:rPr>
        <w:t xml:space="preserve">S </w:t>
      </w:r>
      <w:r w:rsidRPr="00AA179A">
        <w:rPr>
          <w:rFonts w:ascii="Times New Roman" w:eastAsia="SimSun" w:hAnsi="Times New Roman" w:cs="Times New Roman"/>
          <w:b/>
          <w:bCs/>
          <w:kern w:val="0"/>
          <w:sz w:val="24"/>
          <w:szCs w:val="24"/>
        </w:rPr>
        <w:t>Legends</w:t>
      </w:r>
    </w:p>
    <w:p w:rsidR="00A713B2" w:rsidRDefault="00A713B2" w:rsidP="00A713B2">
      <w:pPr>
        <w:pStyle w:val="ListParagraph"/>
        <w:autoSpaceDE w:val="0"/>
        <w:autoSpaceDN w:val="0"/>
        <w:adjustRightInd w:val="0"/>
        <w:ind w:firstLineChars="0" w:firstLine="0"/>
        <w:rPr>
          <w:rFonts w:ascii="Times New Roman" w:hAnsi="Times New Roman" w:cs="Times New Roman"/>
          <w:b/>
          <w:bCs/>
          <w:color w:val="000000" w:themeColor="text1"/>
          <w:kern w:val="0"/>
          <w:sz w:val="24"/>
          <w:szCs w:val="24"/>
        </w:rPr>
      </w:pPr>
    </w:p>
    <w:p w:rsidR="00A713B2" w:rsidRPr="00BD497C" w:rsidRDefault="00A713B2" w:rsidP="00A713B2">
      <w:pPr>
        <w:pStyle w:val="ListParagraph"/>
        <w:autoSpaceDE w:val="0"/>
        <w:autoSpaceDN w:val="0"/>
        <w:adjustRightInd w:val="0"/>
        <w:ind w:firstLine="480"/>
        <w:rPr>
          <w:rFonts w:ascii="Times New Roman" w:hAnsi="Times New Roman" w:cs="Times New Roman"/>
          <w:b/>
          <w:bCs/>
          <w:color w:val="000000" w:themeColor="text1"/>
          <w:kern w:val="0"/>
          <w:sz w:val="24"/>
          <w:szCs w:val="24"/>
        </w:rPr>
      </w:pPr>
      <w:r w:rsidRPr="00BD497C">
        <w:rPr>
          <w:rFonts w:ascii="Times New Roman" w:hAnsi="Times New Roman" w:cs="Times New Roman"/>
          <w:b/>
          <w:bCs/>
          <w:color w:val="000000" w:themeColor="text1"/>
          <w:kern w:val="0"/>
          <w:sz w:val="24"/>
          <w:szCs w:val="24"/>
        </w:rPr>
        <w:t>Figure S1 sequence data quality control before transcriptomics analysis.</w:t>
      </w:r>
      <w:r w:rsidRPr="00BD497C">
        <w:rPr>
          <w:rFonts w:ascii="Times New Roman" w:hAnsi="Times New Roman" w:cs="Times New Roman"/>
          <w:color w:val="000000" w:themeColor="text1"/>
          <w:kern w:val="0"/>
          <w:sz w:val="24"/>
          <w:szCs w:val="24"/>
        </w:rPr>
        <w:t xml:space="preserve"> A: Representative imagines showing error rate distribution along </w:t>
      </w:r>
      <w:bookmarkStart w:id="0" w:name="_Hlk111884309"/>
      <w:r w:rsidRPr="00BD497C">
        <w:rPr>
          <w:rFonts w:ascii="Times New Roman" w:hAnsi="Times New Roman" w:cs="Times New Roman"/>
          <w:color w:val="000000" w:themeColor="text1"/>
          <w:kern w:val="0"/>
          <w:sz w:val="24"/>
          <w:szCs w:val="24"/>
        </w:rPr>
        <w:t>sequence data (reads)</w:t>
      </w:r>
      <w:bookmarkEnd w:id="0"/>
      <w:r w:rsidRPr="00BD497C">
        <w:rPr>
          <w:rFonts w:ascii="Times New Roman" w:hAnsi="Times New Roman" w:cs="Times New Roman"/>
          <w:color w:val="000000" w:themeColor="text1"/>
          <w:kern w:val="0"/>
          <w:sz w:val="24"/>
          <w:szCs w:val="24"/>
        </w:rPr>
        <w:t>. B:</w:t>
      </w:r>
      <w:r w:rsidRPr="00BD497C">
        <w:rPr>
          <w:rFonts w:ascii="Times New Roman" w:hAnsi="Times New Roman" w:cs="Times New Roman"/>
          <w:color w:val="000000" w:themeColor="text1"/>
          <w:sz w:val="24"/>
          <w:szCs w:val="24"/>
          <w:shd w:val="clear" w:color="auto" w:fill="FFFFFF"/>
        </w:rPr>
        <w:t xml:space="preserve"> </w:t>
      </w:r>
      <w:r w:rsidRPr="00BD497C">
        <w:rPr>
          <w:rFonts w:ascii="Times New Roman" w:hAnsi="Times New Roman" w:cs="Times New Roman"/>
          <w:color w:val="000000" w:themeColor="text1"/>
          <w:kern w:val="0"/>
          <w:sz w:val="24"/>
          <w:szCs w:val="24"/>
        </w:rPr>
        <w:t xml:space="preserve">Representative </w:t>
      </w:r>
      <w:r w:rsidRPr="00BD497C">
        <w:rPr>
          <w:rFonts w:ascii="Times New Roman" w:hAnsi="Times New Roman" w:cs="Times New Roman"/>
          <w:color w:val="000000" w:themeColor="text1"/>
          <w:sz w:val="24"/>
          <w:szCs w:val="24"/>
          <w:shd w:val="clear" w:color="auto" w:fill="FFFFFF"/>
        </w:rPr>
        <w:t>pie graphs showing the classification of raw reads filter.</w:t>
      </w:r>
      <w:r w:rsidRPr="00BD497C">
        <w:rPr>
          <w:rFonts w:ascii="Times New Roman" w:hAnsi="Times New Roman" w:cs="Times New Roman"/>
          <w:color w:val="000000" w:themeColor="text1"/>
          <w:kern w:val="0"/>
          <w:sz w:val="24"/>
          <w:szCs w:val="24"/>
        </w:rPr>
        <w:t xml:space="preserve"> C: Representative imagines showing bases content along sequence reads.</w:t>
      </w:r>
    </w:p>
    <w:p w:rsidR="00A713B2" w:rsidRPr="00BD497C" w:rsidRDefault="00A713B2" w:rsidP="00A713B2">
      <w:pPr>
        <w:pStyle w:val="ListParagraph"/>
        <w:autoSpaceDE w:val="0"/>
        <w:autoSpaceDN w:val="0"/>
        <w:adjustRightInd w:val="0"/>
        <w:ind w:firstLine="480"/>
        <w:rPr>
          <w:rFonts w:ascii="Times New Roman" w:hAnsi="Times New Roman" w:cs="Times New Roman"/>
          <w:b/>
          <w:bCs/>
          <w:color w:val="000000" w:themeColor="text1"/>
          <w:kern w:val="0"/>
          <w:sz w:val="24"/>
          <w:szCs w:val="24"/>
        </w:rPr>
      </w:pPr>
      <w:r w:rsidRPr="00BD497C">
        <w:rPr>
          <w:rFonts w:ascii="Times New Roman" w:hAnsi="Times New Roman" w:cs="Times New Roman"/>
          <w:b/>
          <w:bCs/>
          <w:color w:val="000000" w:themeColor="text1"/>
          <w:kern w:val="0"/>
          <w:sz w:val="24"/>
          <w:szCs w:val="24"/>
        </w:rPr>
        <w:t>Figure S2 Genome mapping, gene expression distribution and pearson correlation between samples.</w:t>
      </w:r>
      <w:r w:rsidRPr="00BD497C">
        <w:rPr>
          <w:rFonts w:ascii="Times New Roman" w:hAnsi="Times New Roman" w:cs="Times New Roman"/>
          <w:color w:val="000000" w:themeColor="text1"/>
          <w:kern w:val="0"/>
          <w:sz w:val="24"/>
          <w:szCs w:val="24"/>
        </w:rPr>
        <w:t xml:space="preserve"> A: Representative </w:t>
      </w:r>
      <w:r w:rsidRPr="00BD497C">
        <w:rPr>
          <w:rFonts w:ascii="Times New Roman" w:hAnsi="Times New Roman" w:cs="Times New Roman"/>
          <w:color w:val="000000" w:themeColor="text1"/>
          <w:sz w:val="24"/>
          <w:szCs w:val="24"/>
          <w:shd w:val="clear" w:color="auto" w:fill="FFFFFF"/>
        </w:rPr>
        <w:t xml:space="preserve">pie graphs showing the percentage of </w:t>
      </w:r>
      <w:r w:rsidRPr="00BD497C">
        <w:rPr>
          <w:rFonts w:ascii="Times New Roman" w:hAnsi="Times New Roman" w:cs="Times New Roman"/>
          <w:color w:val="000000" w:themeColor="text1"/>
          <w:kern w:val="0"/>
          <w:sz w:val="24"/>
          <w:szCs w:val="24"/>
        </w:rPr>
        <w:t>genome regions based on the reads mapping. B:</w:t>
      </w:r>
      <w:r w:rsidRPr="00BD497C">
        <w:rPr>
          <w:rFonts w:ascii="Times New Roman" w:hAnsi="Times New Roman" w:cs="Times New Roman"/>
          <w:color w:val="000000" w:themeColor="text1"/>
          <w:sz w:val="24"/>
          <w:szCs w:val="24"/>
        </w:rPr>
        <w:t xml:space="preserve"> </w:t>
      </w:r>
      <w:r w:rsidRPr="00BD497C">
        <w:rPr>
          <w:rFonts w:ascii="Times New Roman" w:hAnsi="Times New Roman" w:cs="Times New Roman"/>
          <w:color w:val="000000" w:themeColor="text1"/>
          <w:kern w:val="0"/>
          <w:sz w:val="24"/>
          <w:szCs w:val="24"/>
        </w:rPr>
        <w:t xml:space="preserve">box plot displaying the distribution of gene expression levels in different samples after calculating the expression value (FPKM) of all genes in each sample. C: Pearson correlation between samples according to </w:t>
      </w:r>
      <w:r w:rsidRPr="00BD497C">
        <w:rPr>
          <w:rFonts w:ascii="Times New Roman" w:hAnsi="Times New Roman" w:cs="Times New Roman"/>
          <w:color w:val="000000" w:themeColor="text1"/>
          <w:sz w:val="24"/>
          <w:szCs w:val="24"/>
          <w:shd w:val="clear" w:color="auto" w:fill="FFFFFF"/>
        </w:rPr>
        <w:t>FPKM value.</w:t>
      </w:r>
    </w:p>
    <w:p w:rsidR="00A713B2" w:rsidRPr="00BD497C" w:rsidRDefault="00A713B2" w:rsidP="00A713B2">
      <w:pPr>
        <w:pStyle w:val="ListParagraph"/>
        <w:autoSpaceDE w:val="0"/>
        <w:autoSpaceDN w:val="0"/>
        <w:adjustRightInd w:val="0"/>
        <w:ind w:firstLine="480"/>
        <w:rPr>
          <w:rFonts w:ascii="Times New Roman" w:hAnsi="Times New Roman" w:cs="Times New Roman"/>
          <w:b/>
          <w:bCs/>
          <w:color w:val="000000" w:themeColor="text1"/>
          <w:kern w:val="0"/>
          <w:sz w:val="24"/>
          <w:szCs w:val="24"/>
        </w:rPr>
      </w:pPr>
      <w:r w:rsidRPr="00BD497C">
        <w:rPr>
          <w:rFonts w:ascii="Times New Roman" w:hAnsi="Times New Roman" w:cs="Times New Roman"/>
          <w:b/>
          <w:bCs/>
          <w:color w:val="000000" w:themeColor="text1"/>
          <w:kern w:val="0"/>
          <w:sz w:val="24"/>
          <w:szCs w:val="24"/>
        </w:rPr>
        <w:t>Figure S3 The alternative splicing events.</w:t>
      </w:r>
      <w:r w:rsidRPr="00BD497C">
        <w:rPr>
          <w:rFonts w:ascii="Times New Roman" w:hAnsi="Times New Roman" w:cs="Times New Roman"/>
          <w:color w:val="000000" w:themeColor="text1"/>
          <w:kern w:val="0"/>
          <w:sz w:val="24"/>
          <w:szCs w:val="24"/>
        </w:rPr>
        <w:t xml:space="preserve"> Analysis of rMATS software showing differential alternative 3′ splice site (A3SS) event of UBXN11 (A) and skipped exon (SE) events of AHI1 (B), ENTR1 (C), IQCB1 (D), KIAA1191 (E), LCN12 (F), LRR1 (G) and ZNF26 (H) in different samples. RFA test </w:t>
      </w:r>
      <w:r w:rsidRPr="00BD497C">
        <w:rPr>
          <w:rFonts w:ascii="Times New Roman" w:eastAsia="Frutiger-Black" w:hAnsi="Times New Roman" w:cs="Times New Roman"/>
          <w:color w:val="000000" w:themeColor="text1"/>
          <w:kern w:val="0"/>
          <w:sz w:val="24"/>
          <w:szCs w:val="24"/>
        </w:rPr>
        <w:t>represents the group with iRFA treated patient; RFA Ctrl represents the group without iRFA treated patient.</w:t>
      </w:r>
    </w:p>
    <w:p w:rsidR="00A713B2" w:rsidRPr="00BD497C" w:rsidRDefault="00A713B2" w:rsidP="00A713B2">
      <w:pPr>
        <w:pStyle w:val="ListParagraph"/>
        <w:autoSpaceDE w:val="0"/>
        <w:autoSpaceDN w:val="0"/>
        <w:adjustRightInd w:val="0"/>
        <w:ind w:firstLine="480"/>
        <w:rPr>
          <w:rFonts w:ascii="Times New Roman" w:hAnsi="Times New Roman" w:cs="Times New Roman"/>
          <w:b/>
          <w:bCs/>
          <w:color w:val="000000" w:themeColor="text1"/>
          <w:kern w:val="0"/>
          <w:sz w:val="24"/>
          <w:szCs w:val="24"/>
        </w:rPr>
      </w:pPr>
      <w:r w:rsidRPr="00BD497C">
        <w:rPr>
          <w:rFonts w:ascii="Times New Roman" w:hAnsi="Times New Roman" w:cs="Times New Roman"/>
          <w:b/>
          <w:bCs/>
          <w:color w:val="000000" w:themeColor="text1"/>
          <w:kern w:val="0"/>
          <w:sz w:val="24"/>
          <w:szCs w:val="24"/>
        </w:rPr>
        <w:t>Figure S4 The frequency of insertion-deletion (INDEL) and single nucleotide polymorphisms (SNP) alterations in various genes.</w:t>
      </w:r>
      <w:r w:rsidRPr="00BD497C">
        <w:rPr>
          <w:rFonts w:ascii="Times New Roman" w:hAnsi="Times New Roman" w:cs="Times New Roman"/>
          <w:color w:val="000000" w:themeColor="text1"/>
          <w:kern w:val="0"/>
          <w:sz w:val="24"/>
          <w:szCs w:val="24"/>
        </w:rPr>
        <w:t xml:space="preserve"> A-B: Impact and region of INDEL. C-E: Impact (C)function (D) and region (E) of SNP</w:t>
      </w:r>
    </w:p>
    <w:p w:rsidR="00A713B2" w:rsidRPr="00BD497C" w:rsidRDefault="00A713B2" w:rsidP="00A713B2">
      <w:pPr>
        <w:pStyle w:val="ListParagraph"/>
        <w:autoSpaceDE w:val="0"/>
        <w:autoSpaceDN w:val="0"/>
        <w:adjustRightInd w:val="0"/>
        <w:ind w:firstLine="480"/>
        <w:rPr>
          <w:rFonts w:ascii="Times New Roman" w:hAnsi="Times New Roman" w:cs="Times New Roman"/>
          <w:b/>
          <w:bCs/>
          <w:color w:val="000000" w:themeColor="text1"/>
          <w:kern w:val="0"/>
          <w:sz w:val="24"/>
          <w:szCs w:val="24"/>
        </w:rPr>
      </w:pPr>
      <w:r w:rsidRPr="00BD497C">
        <w:rPr>
          <w:rFonts w:ascii="Times New Roman" w:hAnsi="Times New Roman" w:cs="Times New Roman"/>
          <w:b/>
          <w:bCs/>
          <w:color w:val="000000" w:themeColor="text1"/>
          <w:kern w:val="0"/>
          <w:sz w:val="24"/>
          <w:szCs w:val="24"/>
        </w:rPr>
        <w:t>Figure S5 Circos plots of fusion gene events in each sample.</w:t>
      </w:r>
    </w:p>
    <w:p w:rsidR="00A713B2" w:rsidRPr="00BD497C" w:rsidRDefault="00A713B2" w:rsidP="00A713B2">
      <w:pPr>
        <w:pStyle w:val="ListParagraph"/>
        <w:autoSpaceDE w:val="0"/>
        <w:autoSpaceDN w:val="0"/>
        <w:adjustRightInd w:val="0"/>
        <w:ind w:firstLine="480"/>
        <w:rPr>
          <w:rFonts w:ascii="Times New Roman" w:eastAsia="Microsoft YaHei" w:hAnsi="Times New Roman" w:cs="Times New Roman"/>
          <w:color w:val="000000" w:themeColor="text1"/>
          <w:sz w:val="24"/>
          <w:szCs w:val="24"/>
          <w:shd w:val="clear" w:color="auto" w:fill="FFFFFF"/>
        </w:rPr>
      </w:pPr>
      <w:r w:rsidRPr="00BD497C">
        <w:rPr>
          <w:rFonts w:ascii="Times New Roman" w:hAnsi="Times New Roman" w:cs="Times New Roman"/>
          <w:b/>
          <w:bCs/>
          <w:color w:val="000000" w:themeColor="text1"/>
          <w:kern w:val="0"/>
          <w:sz w:val="24"/>
          <w:szCs w:val="24"/>
        </w:rPr>
        <w:t xml:space="preserve">Figure S6 Protein qualitative and sample pepeatability detection. </w:t>
      </w:r>
      <w:r w:rsidRPr="00BD497C">
        <w:rPr>
          <w:rFonts w:ascii="Times New Roman" w:hAnsi="Times New Roman" w:cs="Times New Roman"/>
          <w:color w:val="000000" w:themeColor="text1"/>
          <w:kern w:val="0"/>
          <w:sz w:val="24"/>
          <w:szCs w:val="24"/>
        </w:rPr>
        <w:t xml:space="preserve">A: Histogram 0f protein identification results showing 2014926 </w:t>
      </w:r>
      <w:r w:rsidRPr="00BD497C">
        <w:rPr>
          <w:rFonts w:ascii="Times New Roman" w:eastAsia="Microsoft YaHei" w:hAnsi="Times New Roman" w:cs="Times New Roman"/>
          <w:color w:val="000000" w:themeColor="text1"/>
          <w:sz w:val="24"/>
          <w:szCs w:val="24"/>
          <w:shd w:val="clear" w:color="auto" w:fill="FFFFFF"/>
        </w:rPr>
        <w:t>total spectrums, 879371 matched spectrums, 76509 peptides, 72533 unique peptides and 7380 protein groups were identified. B: Boxplot showing the relative standard deviation of protein quantification values between two groups of samples. C: Pearson’s Correlation Coefficient between two samples.</w:t>
      </w:r>
    </w:p>
    <w:p w:rsidR="00E1715D" w:rsidRDefault="00A713B2">
      <w:bookmarkStart w:id="1" w:name="_GoBack"/>
      <w:bookmarkEnd w:id="1"/>
    </w:p>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rutiger-Black">
    <w:altName w:val="Microsoft YaHei"/>
    <w:panose1 w:val="00000000000000000000"/>
    <w:charset w:val="86"/>
    <w:family w:val="swiss"/>
    <w:notTrueType/>
    <w:pitch w:val="default"/>
    <w:sig w:usb0="00000001" w:usb1="080E0000" w:usb2="00000010" w:usb3="00000000" w:csb0="00040000" w:csb1="00000000"/>
  </w:font>
  <w:font w:name="Microsoft YaHei">
    <w:altName w:val="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3B2"/>
    <w:rsid w:val="001942F0"/>
    <w:rsid w:val="002C0857"/>
    <w:rsid w:val="00884728"/>
    <w:rsid w:val="008E2845"/>
    <w:rsid w:val="00A713B2"/>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E740D1-F535-4AE9-A43F-D12AE3C8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3B2"/>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13B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2022-09-09T17:10:00Z</dcterms:created>
  <dcterms:modified xsi:type="dcterms:W3CDTF">2022-09-09T17:10:00Z</dcterms:modified>
</cp:coreProperties>
</file>