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WarnockPro-Regular" w:cs="Times New Roman"/>
          <w:b/>
          <w:bCs/>
          <w:color w:val="000000"/>
          <w:kern w:val="0"/>
          <w:sz w:val="24"/>
          <w:szCs w:val="24"/>
          <w:lang w:bidi="ar"/>
        </w:rPr>
        <w:t>Table S1</w:t>
      </w:r>
      <w:r>
        <w:rPr>
          <w:rFonts w:hint="eastAsia" w:ascii="Times New Roman" w:hAnsi="Times New Roman" w:eastAsia="WarnockPro-Regular" w:cs="Times New Roman"/>
          <w:color w:val="000000"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Baseline characteristics of airway abnormalities assessed by impulse oscillometry in COPD patients </w:t>
      </w:r>
      <w:bookmarkStart w:id="0" w:name="_Hlk103296091"/>
      <w:r>
        <w:rPr>
          <w:rFonts w:ascii="Times New Roman" w:hAnsi="Times New Roman" w:eastAsia="宋体" w:cs="Times New Roman"/>
          <w:sz w:val="24"/>
          <w:szCs w:val="24"/>
        </w:rPr>
        <w:t>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</w:t>
      </w:r>
      <w:bookmarkEnd w:id="0"/>
    </w:p>
    <w:tbl>
      <w:tblPr>
        <w:tblStyle w:val="6"/>
        <w:tblpPr w:leftFromText="181" w:rightFromText="181" w:vertAnchor="text" w:horzAnchor="margin" w:tblpXSpec="center" w:tblpY="1"/>
        <w:tblW w:w="158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122"/>
        <w:gridCol w:w="1264"/>
        <w:gridCol w:w="1121"/>
        <w:gridCol w:w="1127"/>
        <w:gridCol w:w="1258"/>
        <w:gridCol w:w="1264"/>
        <w:gridCol w:w="1121"/>
        <w:gridCol w:w="1263"/>
        <w:gridCol w:w="1258"/>
        <w:gridCol w:w="1262"/>
        <w:gridCol w:w="1266"/>
        <w:gridCol w:w="12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28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8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224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-R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</w:p>
        </w:tc>
        <w:tc>
          <w:tcPr>
            <w:tcW w:w="238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AX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Value</w:t>
            </w:r>
          </w:p>
        </w:tc>
        <w:tc>
          <w:tcPr>
            <w:tcW w:w="112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2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1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1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25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2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12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2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25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2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26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26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Number, n (%)</w:t>
            </w:r>
          </w:p>
        </w:tc>
        <w:tc>
          <w:tcPr>
            <w:tcW w:w="112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06 (41.4)</w:t>
            </w:r>
          </w:p>
        </w:tc>
        <w:tc>
          <w:tcPr>
            <w:tcW w:w="126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34 (58.6)</w:t>
            </w:r>
          </w:p>
        </w:tc>
        <w:tc>
          <w:tcPr>
            <w:tcW w:w="112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24 (70.8)</w:t>
            </w:r>
          </w:p>
        </w:tc>
        <w:tc>
          <w:tcPr>
            <w:tcW w:w="112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16 (29.2)</w:t>
            </w:r>
          </w:p>
        </w:tc>
        <w:tc>
          <w:tcPr>
            <w:tcW w:w="125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86 (38.6)</w:t>
            </w:r>
          </w:p>
        </w:tc>
        <w:tc>
          <w:tcPr>
            <w:tcW w:w="126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 (61.4)</w:t>
            </w:r>
          </w:p>
        </w:tc>
        <w:tc>
          <w:tcPr>
            <w:tcW w:w="112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62 (48.9)</w:t>
            </w:r>
          </w:p>
        </w:tc>
        <w:tc>
          <w:tcPr>
            <w:tcW w:w="126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78 (51.1)</w:t>
            </w:r>
          </w:p>
        </w:tc>
        <w:tc>
          <w:tcPr>
            <w:tcW w:w="125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97 (40.1)</w:t>
            </w:r>
          </w:p>
        </w:tc>
        <w:tc>
          <w:tcPr>
            <w:tcW w:w="126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43 (59.9)</w:t>
            </w:r>
          </w:p>
        </w:tc>
        <w:tc>
          <w:tcPr>
            <w:tcW w:w="126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49 (33.6)</w:t>
            </w:r>
          </w:p>
        </w:tc>
        <w:tc>
          <w:tcPr>
            <w:tcW w:w="126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91 (66.4)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3.68 (7.29)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4.62 (7.12)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4.19 (7.07)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4.34 (7.54)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2.78 (7.15)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5.15 (7.09)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3.05 (7.17)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5.37 (7.06) *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2.94 (7.17)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5.10 (7.10) *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2.21 (7.21)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5.26 (6.99)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Male, n (%) 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81 (91.8)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94 (90.8)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78 (91.2)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97 (91.2)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53 (88.5)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22 (93.0)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35 (92.5)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40 (89.9)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74 (92.3)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01 (90.5)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24 (90.0)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51 (91.9)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BMI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2.14 (2.92)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1.84 (3.38)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1.86 (3.12)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2.23 (3.39)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2.34 (3.09)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1.73 (3.25)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2.12 (2.92)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1.82 (3.44)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2.12 (3.02)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1.86 (3.31)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2.44 (3.16)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1.73 (3.20)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Smoking statue,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Never 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(13.7)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(13.1)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(12.6)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(15.3)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(16.1)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(11.7)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 (13.5)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(13.2)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(14.1)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(12.9)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(16.9)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(11.6)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Ever 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(22.2)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40 (32.3)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38 (26.3)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(32.4)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(21.0)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48 (32.6)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 (21.8)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29 (34.1)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(21.2)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45 (32.7)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(20.9)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56 (31.8)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Current 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96 (64.1)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37 (54.6)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 (61.1)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 (52.3)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80 (62.9)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53 (55.7)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34 (64.6)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199 (52.6)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92 (64.6)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41 (54.4)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55 (62.2)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78 (56.6)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Pack-years</w:t>
            </w:r>
          </w:p>
        </w:tc>
        <w:tc>
          <w:tcPr>
            <w:tcW w:w="1122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 (13.75 – 46.00)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 (14.63 – 50.00)</w:t>
            </w:r>
          </w:p>
        </w:tc>
        <w:tc>
          <w:tcPr>
            <w:tcW w:w="112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 (15.00 – 48.00)</w:t>
            </w:r>
          </w:p>
        </w:tc>
        <w:tc>
          <w:tcPr>
            <w:tcW w:w="112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30.00 (10.00 – 47.50)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9.50 (11.88 – 45.00)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 (14.00 – 50.00)</w:t>
            </w:r>
          </w:p>
        </w:tc>
        <w:tc>
          <w:tcPr>
            <w:tcW w:w="112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9.00 (13.50 – 46.00)</w:t>
            </w:r>
          </w:p>
        </w:tc>
        <w:tc>
          <w:tcPr>
            <w:tcW w:w="126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2.25 (15.00 – 50.00)</w:t>
            </w:r>
          </w:p>
        </w:tc>
        <w:tc>
          <w:tcPr>
            <w:tcW w:w="125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 (14.00 – 45.00)</w:t>
            </w:r>
          </w:p>
        </w:tc>
        <w:tc>
          <w:tcPr>
            <w:tcW w:w="1262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 (14.13 – 50.00)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8.75 (11.38 – 45.00)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1.00 (15.00 – 50.00)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Family history of respiratory diseases, n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(17.3)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(19.0)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(17.7)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(19.7)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(18.9)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 (17.9)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(18.3)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 (18.4)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(17.6)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(18.8)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 (16.9)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(19.0)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Occupational exposures, n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(27.5)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18 (27.2)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31 (24.8)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 (33.3)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(26.9)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25 (27.5)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 (30.9)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 (23.8)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(26.9)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22 (27.5)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(26.5)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36 (27.7)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History of bronchitis, n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(5.9)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(7.8)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(7.1)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 (6.9)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(6.3)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(7.5)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(6.6)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(7.4)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(6.1)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(7.7)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 (4.4)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 (8.4)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Drug treatment, n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 (36.9)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96 (45.2)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05 (39.1)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04 (48.1)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05 (36.7)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04 (44.9)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41 (39.0)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68 (44.4)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 (37.7)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97 (44.5)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89 (35.7)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20 (44.8)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Clinical symptoms(n%)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Cough 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 (32.4)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80 (41.5)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94 (37.0)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 (39.4)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 (31.1)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90 (41.9)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26 (34.8)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53 (40.5)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(32.3)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83 (41.3)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(30.5)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03 (41.3)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Phlegm 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10 (35.9)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03 (46.8)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 (40.6)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 (46.3)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04 (36.4)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09 (46.0)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39 (38.4)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74 (46.0)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05 (35.4)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08 (47.0)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(34.9)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26 (46.0)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Wheeze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 (8.2)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(18.0)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 (12.4)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(17.6)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 (8.7)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8 (17.2)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 (9.7)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8 (18.0)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(8.8)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7 (17.4)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 (8.4)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2 (16.7)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87" w:type="dxa"/>
          </w:tcPr>
          <w:p>
            <w:pPr>
              <w:ind w:firstLine="150" w:firstLineChars="1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Dyspnea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 (21.9)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83 (42.3)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64 (31.3)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6 (40.0)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 (21.0)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90 (41.9)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(24.3)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62 (43.0) *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(21.5)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86 (42.1) *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 (19.7)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01 (41.0)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EV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&lt;80%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13 (36.9)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58 (82.5)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04 (58.0)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67 (77.3) *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04 (36.4)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67 (80.8)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57 (43.4)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14 (83.1) *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06 (35.7)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65 (82.4) *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(31.3)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93 (80.0)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SAD, n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05 (99.3)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35 (100.0)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23 (99.6)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17 (100.0)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85 (99.3)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55 (100.0)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61 (99.4)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79 (100.0)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96 (99.3)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44 (100.0)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48 (99.2)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92 (100.0)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Emphysema on CT,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(19.0)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62 (37.3)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54 (29.4)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 (30.6)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 (15.4)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76 (38.8)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(21.5)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42 (37.6) *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 (17.8)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67 (37.7) *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 (15.3)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82 (37.1)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</w:tcPr>
          <w:p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Gas trapping on CT, (%)</w:t>
            </w:r>
          </w:p>
        </w:tc>
        <w:tc>
          <w:tcPr>
            <w:tcW w:w="1122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37 (44.8)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98 (68.7)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94 (56.1)</w:t>
            </w:r>
          </w:p>
        </w:tc>
        <w:tc>
          <w:tcPr>
            <w:tcW w:w="1127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41 (65.3)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18 (41.3)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3</w:t>
            </w:r>
            <w:r>
              <w:rPr>
                <w:rFonts w:ascii="Times New Roman" w:hAnsi="Times New Roman"/>
                <w:sz w:val="15"/>
                <w:szCs w:val="15"/>
              </w:rPr>
              <w:t>17 (69.8) *</w:t>
            </w:r>
          </w:p>
        </w:tc>
        <w:tc>
          <w:tcPr>
            <w:tcW w:w="1121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67 (46.1)</w:t>
            </w:r>
          </w:p>
        </w:tc>
        <w:tc>
          <w:tcPr>
            <w:tcW w:w="1263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2</w:t>
            </w:r>
            <w:r>
              <w:rPr>
                <w:rFonts w:ascii="Times New Roman" w:hAnsi="Times New Roman"/>
                <w:sz w:val="15"/>
                <w:szCs w:val="15"/>
              </w:rPr>
              <w:t>68 (70.9) *</w:t>
            </w:r>
          </w:p>
        </w:tc>
        <w:tc>
          <w:tcPr>
            <w:tcW w:w="1258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1</w:t>
            </w:r>
            <w:r>
              <w:rPr>
                <w:rFonts w:ascii="Times New Roman" w:hAnsi="Times New Roman"/>
                <w:sz w:val="15"/>
                <w:szCs w:val="15"/>
              </w:rPr>
              <w:t>28 (43.1)</w:t>
            </w:r>
          </w:p>
        </w:tc>
        <w:tc>
          <w:tcPr>
            <w:tcW w:w="1262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3</w:t>
            </w:r>
            <w:r>
              <w:rPr>
                <w:rFonts w:ascii="Times New Roman" w:hAnsi="Times New Roman"/>
                <w:sz w:val="15"/>
                <w:szCs w:val="15"/>
              </w:rPr>
              <w:t>07 (69.3) *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9</w:t>
            </w:r>
            <w:r>
              <w:rPr>
                <w:rFonts w:ascii="Times New Roman" w:hAnsi="Times New Roman"/>
                <w:sz w:val="15"/>
                <w:szCs w:val="15"/>
              </w:rPr>
              <w:t>8 (39.4)</w:t>
            </w:r>
          </w:p>
        </w:tc>
        <w:tc>
          <w:tcPr>
            <w:tcW w:w="1264" w:type="dxa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3</w:t>
            </w:r>
            <w:r>
              <w:rPr>
                <w:rFonts w:ascii="Times New Roman" w:hAnsi="Times New Roman"/>
                <w:sz w:val="15"/>
                <w:szCs w:val="15"/>
              </w:rPr>
              <w:t>37 (68.6)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8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1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3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2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6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1701" w:right="1701" w:bottom="1803" w:left="1701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4"/>
          <w:szCs w:val="24"/>
        </w:rPr>
        <w:t>Data are presented as the mean (standard deviation) or median (interquartile range) and were analyzed by Student’s t-test or Wilcoxon’s rank-sum test.; BMI, body mass index; MMEF, maximum mid expiratory flow, MMEF; 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, forced expiratory volume in one second; CT, computerized tomography.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SAD, </w:t>
      </w:r>
      <w:r>
        <w:rPr>
          <w:rFonts w:hint="eastAsia" w:ascii="Times New Roman" w:hAnsi="Times New Roman" w:eastAsia="宋体" w:cs="Times New Roman"/>
          <w:sz w:val="24"/>
          <w:szCs w:val="24"/>
        </w:rPr>
        <w:t>Two of MMEF, FEF50, FEF75 &lt; 65%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†</w:t>
      </w:r>
      <w:r>
        <w:rPr>
          <w:rFonts w:ascii="Times New Roman" w:hAnsi="Times New Roman" w:eastAsia="宋体" w:cs="Times New Roman"/>
          <w:sz w:val="24"/>
          <w:szCs w:val="24"/>
        </w:rPr>
        <w:t>: P &lt; 0.05</w:t>
      </w:r>
      <w:bookmarkStart w:id="4" w:name="_GoBack"/>
      <w:bookmarkEnd w:id="4"/>
      <w:r>
        <w:rPr>
          <w:rFonts w:ascii="Times New Roman" w:hAnsi="Times New Roman" w:eastAsia="宋体" w:cs="Times New Roman"/>
          <w:sz w:val="24"/>
          <w:szCs w:val="24"/>
        </w:rPr>
        <w:t>; *: P &lt;0.001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spirometry and impulse oscillometry parameter of airway abnormalities in COPD patients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</w:t>
      </w:r>
    </w:p>
    <w:tbl>
      <w:tblPr>
        <w:tblStyle w:val="6"/>
        <w:tblpPr w:leftFromText="181" w:rightFromText="181" w:vertAnchor="text" w:horzAnchor="margin" w:tblpXSpec="center" w:tblpY="1"/>
        <w:tblW w:w="158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319"/>
        <w:gridCol w:w="1260"/>
        <w:gridCol w:w="1254"/>
        <w:gridCol w:w="1397"/>
        <w:gridCol w:w="1118"/>
        <w:gridCol w:w="1136"/>
        <w:gridCol w:w="1105"/>
        <w:gridCol w:w="1123"/>
        <w:gridCol w:w="1118"/>
        <w:gridCol w:w="1123"/>
        <w:gridCol w:w="1118"/>
        <w:gridCol w:w="14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04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7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265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</w:p>
        </w:tc>
        <w:tc>
          <w:tcPr>
            <w:tcW w:w="225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-R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</w:p>
        </w:tc>
        <w:tc>
          <w:tcPr>
            <w:tcW w:w="222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5</w:t>
            </w:r>
          </w:p>
        </w:tc>
        <w:tc>
          <w:tcPr>
            <w:tcW w:w="2241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AX</w:t>
            </w:r>
          </w:p>
        </w:tc>
        <w:tc>
          <w:tcPr>
            <w:tcW w:w="2519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  <w:vertAlign w:val="subscript"/>
              </w:rPr>
              <w:t>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Value</w:t>
            </w:r>
          </w:p>
        </w:tc>
        <w:tc>
          <w:tcPr>
            <w:tcW w:w="131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25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39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13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1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12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  <w:tc>
          <w:tcPr>
            <w:tcW w:w="11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Normal</w:t>
            </w:r>
          </w:p>
        </w:tc>
        <w:tc>
          <w:tcPr>
            <w:tcW w:w="140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Abnormal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 xml:space="preserve">Spirometry </w:t>
            </w:r>
          </w:p>
        </w:tc>
        <w:tc>
          <w:tcPr>
            <w:tcW w:w="1319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97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6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3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18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1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EV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L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 (0.51)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.72 (0.55)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 (0.61)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.82 (0.56)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 (0.51)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.74 (0.56)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(0.54)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.67 (0.51)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.34 (0.49)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.71 (0.54)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.38 (0.49)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.75 (0.54)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FEV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%predicted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3.16 (14.20)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3.92 (17.17)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3.70 (18.94)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7.45 (16.97)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3.97 (13.34)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4.26 (17.38)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1.36 (15.12)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2.80 (17.03)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4.17 (13.45)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3.63 (16.96)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5.48 (13.13)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4.98 (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7.11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VC, L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 (0.74)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 (0.72)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.45 (0.78)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.21 (0.72)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 (0.75)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 (0.72)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.70 (0.74)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 (0.66)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.76 (0.70)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 (0.71)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.77 (0.72)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 (0.72)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VC, %pred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ict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ed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05.16 (15.85)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2.08 (16.24)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8.88 (17.57)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4.13 (16.23)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06.12 (15.21)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2.06 (16.34)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04.74 (15.51)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0.55 (16.08)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06.56 (15.08)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1.41 (16.02)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07.12 (14.95)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2.61 (16.37)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FEV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/FVC, L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2.21 (6.10)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4.16 (10.21)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8.06 (9.44)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6.11 (9.87)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2.28 (6.08)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4.28 (10.02)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1.15 (6.95)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3.99 (10.46)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2.34 (5.94)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4.24 (10.20)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3.15 (5.43)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4.62 (9.98)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%pred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ict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ed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4.03 (14.55)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8.53 (13.76)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6.17 (16.45)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1.95 (14.53)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4.81 (14.54)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8.71 (13.62)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2.41 (15.51)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7.78 (13.31)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4.83 (14.32)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8.31 (13.49)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6.48 (14.12)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9.08 (13.57)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EF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%pred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ict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ed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6.91 (14.49)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8.63 (12.15)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2.38 (13.97)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1.25 (13.30) 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7.29 (14.64)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8.75 (12.10)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6.02 (14.41)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8.26 (11.98)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7.47 (14.82)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8.42 (11.72)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7.73 (14.31)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9.17 (12.57)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MMEF, %pred</w:t>
            </w:r>
            <w:r>
              <w:rPr>
                <w:rFonts w:hint="eastAsia" w:ascii="Times New Roman" w:hAnsi="Times New Roman" w:cs="Times New Roman"/>
                <w:sz w:val="15"/>
                <w:szCs w:val="15"/>
              </w:rPr>
              <w:t>ict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ed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1.42 (12.97)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8.84 (12.47)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4.91 (14.32)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1.96 (13.40) </w:t>
            </w:r>
            <w:r>
              <w:rPr>
                <w:rFonts w:ascii="Shaker2Lancet-Regular" w:hAnsi="Shaker2Lancet-Regular"/>
                <w:color w:val="000000"/>
                <w:sz w:val="15"/>
                <w:szCs w:val="15"/>
                <w:vertAlign w:val="superscript"/>
              </w:rPr>
              <w:t>†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2.25 (13.26)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8.88 (12.04)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 (13.42)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8.22 (12.18)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2.23 (13.13)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8.56 (11.92)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3.43 (12.86)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9.29 (12.21)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  <w:t>OS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 (0.23 – 0.29)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 (0.36 – 0.50)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 (0.25 – 0.39)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 (0.38 – 0.54)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(0.24 – 0.32)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.41 (0.34 – 0.49)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 (0.24 – 0.34)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 (0.36 – 0.51)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(0.23 – 0.32)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.40 (0.33 – 0.48)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(0.23 – 0.32)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.40 (0.33 – 0.48)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20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.23 (0.20 – 0.25)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.30 (0.26 – 0.34)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 (0.22 – 0.27)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 (0.31 – 0.37)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 (0.22 – 0.30)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(0.24 – 0.32)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 (0.22 – 0.30)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 (0.25 – 0.33)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 (0.22 – 0.30)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(0.24 – 0.32)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 (0.22 – 0.30)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 (0.24 – 0.32)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-R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20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 (0.01 – 0.05)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 (0.08 – 0.19)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 (0.03 – 0.13)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 (0.05 – 0.17)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 (0.01 – 0.04)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.12 (0.08 – 0.18)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 (0.02 – 0.06)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 (0.08 – 0.20)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 (0.01 – 0.04)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 (0.07 – 0.17)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 (0.01 – 0.04)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 (0.07 – 0.17)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X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 (-0.11 – 0.07)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0.16 (-0.24 – 0.12) *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 (-0.16 – 0.08)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 (-0.23 – 0.10)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 (-0.11 – 0.07)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0.16 (-0.23 – 0.11)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 (-0.10 – 0.07)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0.18 (-0.25 – 0.14)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 (-0.10 – 0.07)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 (-0.22 – 0.11)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 (-0.10 – 0.07)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 (-0.23 – 0.11)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X</w:t>
            </w:r>
          </w:p>
        </w:tc>
        <w:tc>
          <w:tcPr>
            <w:tcW w:w="131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.24 (0.15 – 0.40)</w:t>
            </w:r>
          </w:p>
        </w:tc>
        <w:tc>
          <w:tcPr>
            <w:tcW w:w="1260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 (0.63 – 2.17)</w:t>
            </w:r>
          </w:p>
        </w:tc>
        <w:tc>
          <w:tcPr>
            <w:tcW w:w="1254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.47 (0.22 – 1.16)</w:t>
            </w:r>
          </w:p>
        </w:tc>
        <w:tc>
          <w:tcPr>
            <w:tcW w:w="1397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.99 (0.41 – 2.25)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 (0.13 – 0.32)</w:t>
            </w:r>
          </w:p>
        </w:tc>
        <w:tc>
          <w:tcPr>
            <w:tcW w:w="1136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 (0.63 – 2.07) *</w:t>
            </w:r>
          </w:p>
        </w:tc>
        <w:tc>
          <w:tcPr>
            <w:tcW w:w="1105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 (0.15 – 0.41)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.43 (0.80 – 2.35)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 (0.12 – 0.27)</w:t>
            </w:r>
          </w:p>
        </w:tc>
        <w:tc>
          <w:tcPr>
            <w:tcW w:w="1123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 (0.56 – 1.99) *</w:t>
            </w:r>
          </w:p>
        </w:tc>
        <w:tc>
          <w:tcPr>
            <w:tcW w:w="1118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 (0.12 – 0.27)</w:t>
            </w:r>
          </w:p>
        </w:tc>
        <w:tc>
          <w:tcPr>
            <w:tcW w:w="1401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 (0.56 – 2.01) 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0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F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subscript"/>
              </w:rPr>
              <w:t>res</w:t>
            </w:r>
          </w:p>
        </w:tc>
        <w:tc>
          <w:tcPr>
            <w:tcW w:w="1319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2.32 (9.64 – 15.25)</w:t>
            </w: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1.42 (17.25 – 25.03) *</w:t>
            </w:r>
          </w:p>
        </w:tc>
        <w:tc>
          <w:tcPr>
            <w:tcW w:w="125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5.87 (11.44 – 21.22)</w:t>
            </w:r>
          </w:p>
        </w:tc>
        <w:tc>
          <w:tcPr>
            <w:tcW w:w="1397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 (14.32 – 26.16) *</w:t>
            </w:r>
          </w:p>
        </w:tc>
        <w:tc>
          <w:tcPr>
            <w:tcW w:w="1118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1.39 (9.31 – 13.72)</w:t>
            </w:r>
          </w:p>
        </w:tc>
        <w:tc>
          <w:tcPr>
            <w:tcW w:w="1136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1.22 (17.21 – 24.88) *</w:t>
            </w:r>
          </w:p>
        </w:tc>
        <w:tc>
          <w:tcPr>
            <w:tcW w:w="1105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2.88 (9.85 – 15.94)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1.70 (17.95 – 25.38) *</w:t>
            </w:r>
          </w:p>
        </w:tc>
        <w:tc>
          <w:tcPr>
            <w:tcW w:w="1118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0.66 (9.17 – 12.81)</w:t>
            </w:r>
          </w:p>
        </w:tc>
        <w:tc>
          <w:tcPr>
            <w:tcW w:w="1123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0.73 (16.82 – 24.55) *</w:t>
            </w:r>
          </w:p>
        </w:tc>
        <w:tc>
          <w:tcPr>
            <w:tcW w:w="1118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0.66 (9.16 – 12.81)</w:t>
            </w:r>
          </w:p>
        </w:tc>
        <w:tc>
          <w:tcPr>
            <w:tcW w:w="1401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0.77 (16.82 – 24.57) *</w:t>
            </w: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4"/>
          <w:szCs w:val="24"/>
        </w:rPr>
        <w:t>Data are presented as the mean (standard deviation) or median (interquartile range) and were analyzed by Student’s t-test or Wilcoxon’s rank-sum test; IOS, impulse oscillometry; R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, resistance at 5 Hz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R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20</w:t>
      </w:r>
      <w:r>
        <w:rPr>
          <w:rFonts w:ascii="Times New Roman" w:hAnsi="Times New Roman" w:eastAsia="宋体" w:cs="Times New Roman"/>
          <w:sz w:val="24"/>
          <w:szCs w:val="24"/>
        </w:rPr>
        <w:t>, resistance at 20 Hz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R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-R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20</w:t>
      </w:r>
      <w:r>
        <w:rPr>
          <w:rFonts w:ascii="Times New Roman" w:hAnsi="Times New Roman" w:eastAsia="宋体" w:cs="Times New Roman"/>
          <w:sz w:val="24"/>
          <w:szCs w:val="24"/>
        </w:rPr>
        <w:t>, difference from R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 xml:space="preserve"> to R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20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X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eastAsia="宋体" w:cs="Times New Roman"/>
          <w:sz w:val="24"/>
          <w:szCs w:val="24"/>
        </w:rPr>
        <w:t>, reactance at 5 Hz; F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res</w:t>
      </w:r>
      <w:r>
        <w:rPr>
          <w:rFonts w:ascii="Times New Roman" w:hAnsi="Times New Roman" w:eastAsia="宋体" w:cs="Times New Roman"/>
          <w:sz w:val="24"/>
          <w:szCs w:val="24"/>
        </w:rPr>
        <w:t xml:space="preserve">, resonant frequency.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†</w:t>
      </w:r>
      <w:r>
        <w:rPr>
          <w:rFonts w:ascii="Times New Roman" w:hAnsi="Times New Roman" w:eastAsia="宋体" w:cs="Times New Roman"/>
          <w:sz w:val="24"/>
          <w:szCs w:val="24"/>
        </w:rPr>
        <w:t>: P &lt; 0.05; *: P &lt;0.001.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</w:rPr>
        <w:t>S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 xml:space="preserve"> Risk of AECOPD in the previous year of airway abnormalities in COPD patients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</w:t>
      </w:r>
    </w:p>
    <w:tbl>
      <w:tblPr>
        <w:tblStyle w:val="6"/>
        <w:tblpPr w:leftFromText="180" w:rightFromText="180" w:vertAnchor="page" w:horzAnchor="margin" w:tblpY="245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2294"/>
        <w:gridCol w:w="2294"/>
        <w:gridCol w:w="22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Abnormal vs normal</w:t>
            </w:r>
          </w:p>
        </w:tc>
        <w:tc>
          <w:tcPr>
            <w:tcW w:w="22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AECOPD in the previous year</w:t>
            </w:r>
            <w:r>
              <w:rPr>
                <w:rFonts w:hint="eastAsia"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 (%)</w:t>
            </w:r>
          </w:p>
        </w:tc>
        <w:tc>
          <w:tcPr>
            <w:tcW w:w="22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229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94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229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 (13.8) vs 30 (9.8)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29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.298 (0.832 – 2.025)</w:t>
            </w:r>
          </w:p>
        </w:tc>
        <w:tc>
          <w:tcPr>
            <w:tcW w:w="2294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9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 (12.0) vs 64 (12.2)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.933 (0.590 – 1.475)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9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  <w:r>
              <w:rPr>
                <w:rFonts w:ascii="Times New Roman" w:hAnsi="Times New Roman" w:cs="Times New Roman"/>
              </w:rPr>
              <w:t>-R</w:t>
            </w:r>
            <w:r>
              <w:rPr>
                <w:rFonts w:ascii="Times New Roman" w:hAnsi="Times New Roman" w:cs="Times New Roman"/>
                <w:vertAlign w:val="subscript"/>
              </w:rPr>
              <w:t>20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5 (14.3) vs 25 (8.8) </w:t>
            </w:r>
            <w:r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.494 (0.933 – 2.393)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9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 (15.6) vs 31 (8.6) </w:t>
            </w:r>
            <w:r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.654 (1.057 – 2.589)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29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6 (14.9) vs 24 (8.1) </w:t>
            </w:r>
            <w:r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.680 (1.043 – 2.706)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294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vertAlign w:val="subscript"/>
              </w:rPr>
              <w:t>res</w:t>
            </w:r>
          </w:p>
        </w:tc>
        <w:tc>
          <w:tcPr>
            <w:tcW w:w="229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0 (14.3) vs 20 (8.0) </w:t>
            </w:r>
            <w:r>
              <w:rPr>
                <w:rFonts w:ascii="Times New Roman" w:hAnsi="Times New Roman" w:cs="Times New Roman"/>
                <w:vertAlign w:val="superscript"/>
              </w:rPr>
              <w:t>#</w:t>
            </w:r>
          </w:p>
        </w:tc>
        <w:tc>
          <w:tcPr>
            <w:tcW w:w="229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.661 (0.998 – 2.763)</w:t>
            </w:r>
          </w:p>
        </w:tc>
        <w:tc>
          <w:tcPr>
            <w:tcW w:w="229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.051</w:t>
            </w: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sz w:val="24"/>
          <w:szCs w:val="24"/>
        </w:rPr>
        <w:t>*</w:t>
      </w:r>
      <w:r>
        <w:rPr>
          <w:rFonts w:ascii="Times New Roman" w:hAnsi="Times New Roman" w:eastAsia="宋体" w:cs="Times New Roman"/>
          <w:sz w:val="24"/>
          <w:szCs w:val="24"/>
        </w:rPr>
        <w:t>: After adjusting for age, sex, BMI, smoking index, smoking statue, Poisson regression was applied to analyze the risk of acute exacerbation of COPD. OR, odds ratio</w:t>
      </w:r>
      <w:r>
        <w:rPr>
          <w:rFonts w:hint="eastAsia" w:ascii="Times New Roman" w:hAnsi="Times New Roman" w:eastAsia="宋体" w:cs="Times New Roman"/>
          <w:sz w:val="24"/>
          <w:szCs w:val="24"/>
        </w:rPr>
        <w:t>;</w:t>
      </w:r>
      <w:r>
        <w:rPr>
          <w:rFonts w:ascii="Times New Roman" w:hAnsi="Times New Roman" w:eastAsia="宋体" w:cs="Times New Roman"/>
          <w:sz w:val="24"/>
          <w:szCs w:val="24"/>
        </w:rPr>
        <w:t xml:space="preserve"> CI, confidential intervals; </w:t>
      </w:r>
      <w:r>
        <w:rPr>
          <w:rFonts w:ascii="Times New Roman" w:hAnsi="Times New Roman" w:cs="Times New Roman"/>
          <w:vertAlign w:val="superscript"/>
        </w:rPr>
        <w:t>#</w:t>
      </w:r>
      <w:r>
        <w:rPr>
          <w:rFonts w:ascii="Times New Roman" w:hAnsi="Times New Roman" w:cs="Times New Roman"/>
        </w:rPr>
        <w:t>: p &lt; 0.05.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bookmarkStart w:id="1" w:name="_Hlk109944764"/>
      <w:r>
        <w:rPr>
          <w:rFonts w:ascii="Times New Roman" w:hAnsi="Times New Roman" w:eastAsia="宋体" w:cs="Times New Roman"/>
          <w:b/>
          <w:bCs/>
          <w:sz w:val="24"/>
          <w:szCs w:val="24"/>
        </w:rPr>
        <w:t>Figure</w:t>
      </w:r>
      <w:bookmarkEnd w:id="1"/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bookmarkStart w:id="2" w:name="_Hlk103296712"/>
      <w:r>
        <w:rPr>
          <w:rFonts w:ascii="Times New Roman" w:hAnsi="Times New Roman" w:eastAsia="宋体" w:cs="Times New Roman"/>
          <w:sz w:val="24"/>
          <w:szCs w:val="24"/>
        </w:rPr>
        <w:t>mMRC and CAT scores between airway abnormalities group and non-airway abnormalities group in COPD patients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0.7), dates were shown as mean (SE).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** means &lt;0.01, *** means &lt;0.001</w:t>
      </w:r>
      <w:bookmarkEnd w:id="2"/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 xml:space="preserve">Figure S2 </w:t>
      </w:r>
      <w:r>
        <w:rPr>
          <w:rFonts w:ascii="Times New Roman" w:hAnsi="Times New Roman" w:eastAsia="宋体" w:cs="Times New Roman"/>
          <w:sz w:val="24"/>
          <w:szCs w:val="24"/>
        </w:rPr>
        <w:t xml:space="preserve">risk factors of airway abnormalities </w:t>
      </w:r>
      <w:bookmarkStart w:id="3" w:name="_Hlk109941413"/>
      <w:r>
        <w:rPr>
          <w:rFonts w:ascii="Times New Roman" w:hAnsi="Times New Roman" w:eastAsia="宋体" w:cs="Times New Roman"/>
          <w:sz w:val="24"/>
          <w:szCs w:val="24"/>
        </w:rPr>
        <w:t>in COPD subjects (FEV1/FVC &lt; 0.7)</w:t>
      </w:r>
      <w:bookmarkEnd w:id="3"/>
      <w:r>
        <w:rPr>
          <w:rFonts w:ascii="Times New Roman" w:hAnsi="Times New Roman" w:eastAsia="宋体" w:cs="Times New Roman"/>
          <w:sz w:val="24"/>
          <w:szCs w:val="24"/>
        </w:rPr>
        <w:t>. adjusted for age, sex, BMI, smoking status, smoking index.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S</w:t>
      </w:r>
      <w:r>
        <w:rPr>
          <w:rFonts w:ascii="Times New Roman" w:hAnsi="Times New Roman" w:eastAsia="宋体"/>
          <w:b/>
          <w:bCs/>
          <w:sz w:val="24"/>
          <w:szCs w:val="24"/>
        </w:rPr>
        <w:t>3</w:t>
      </w:r>
      <w:r>
        <w:rPr>
          <w:rFonts w:ascii="Times New Roman" w:hAnsi="Times New Roman" w:eastAsia="宋体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Proportion of airway abnormalities in COPD patients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with different GOLD grades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t>Figure S4</w:t>
      </w:r>
      <w:r>
        <w:rPr>
          <w:rFonts w:ascii="Times New Roman" w:hAnsi="Times New Roman" w:eastAsia="宋体" w:cs="Times New Roman"/>
          <w:sz w:val="24"/>
          <w:szCs w:val="24"/>
        </w:rPr>
        <w:t xml:space="preserve"> After adjusting for age, sex, BMI, smoking index, smoking statue, multiple logistic regression was applied to analyze association between airway abnormalities and radiologic features in COPD subjects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LLN). OR, odds ratio; CI, confidential intervals.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/>
          <w:b/>
          <w:bCs/>
          <w:sz w:val="24"/>
          <w:szCs w:val="24"/>
        </w:rPr>
        <w:t>S</w:t>
      </w:r>
      <w:r>
        <w:rPr>
          <w:rFonts w:ascii="Times New Roman" w:hAnsi="Times New Roman" w:eastAsia="宋体"/>
          <w:b/>
          <w:bCs/>
          <w:sz w:val="24"/>
          <w:szCs w:val="24"/>
        </w:rPr>
        <w:t>5</w:t>
      </w:r>
      <w:r>
        <w:rPr>
          <w:rFonts w:ascii="Times New Roman" w:hAnsi="Times New Roman" w:eastAsia="宋体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mMRC and CAT scores between airway abnormalities group and non-airway abnormalities group in COPD patients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</w:t>
      </w:r>
      <w:r>
        <w:rPr>
          <w:rFonts w:hint="eastAsia" w:ascii="Times New Roman" w:hAnsi="Times New Roman" w:eastAsia="宋体" w:cs="Times New Roman"/>
          <w:sz w:val="24"/>
          <w:szCs w:val="24"/>
        </w:rPr>
        <w:t>,</w:t>
      </w:r>
      <w:r>
        <w:rPr>
          <w:rFonts w:ascii="Times New Roman" w:hAnsi="Times New Roman" w:eastAsia="宋体" w:cs="Times New Roman"/>
          <w:sz w:val="24"/>
          <w:szCs w:val="24"/>
        </w:rPr>
        <w:t xml:space="preserve"> dates were shown as mean (SE).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** means &lt;0.01, *** means &lt;0.001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Risk Factors of airway abnormalities in COPD subjects (FEV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/FVC &lt; LLN). adjusted for age, sex, BMI, smoking status, smoking inde</w:t>
      </w:r>
      <w:r>
        <w:rPr>
          <w:rFonts w:hint="eastAsia" w:ascii="Times New Roman" w:hAnsi="Times New Roman" w:eastAsia="宋体" w:cs="Times New Roman"/>
          <w:sz w:val="24"/>
          <w:szCs w:val="24"/>
        </w:rPr>
        <w:t>x</w:t>
      </w: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5917565" cy="5335270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53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4"/>
        </w:rPr>
        <w:t>F</w:t>
      </w:r>
      <w:r>
        <w:rPr>
          <w:rFonts w:hint="eastAsia" w:ascii="Times New Roman" w:hAnsi="Times New Roman" w:eastAsia="宋体"/>
          <w:sz w:val="24"/>
          <w:szCs w:val="24"/>
        </w:rPr>
        <w:t>igure</w:t>
      </w:r>
      <w:r>
        <w:rPr>
          <w:rFonts w:ascii="Times New Roman" w:hAnsi="Times New Roman" w:eastAsia="宋体"/>
          <w:sz w:val="24"/>
          <w:szCs w:val="24"/>
        </w:rPr>
        <w:t xml:space="preserve"> S1</w:t>
      </w: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3548380" cy="5230495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548" cy="524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4"/>
        </w:rPr>
        <w:t>F</w:t>
      </w:r>
      <w:r>
        <w:rPr>
          <w:rFonts w:hint="eastAsia" w:ascii="Times New Roman" w:hAnsi="Times New Roman" w:eastAsia="宋体"/>
          <w:sz w:val="24"/>
          <w:szCs w:val="24"/>
        </w:rPr>
        <w:t>igure</w:t>
      </w:r>
      <w:r>
        <w:rPr>
          <w:rFonts w:ascii="Times New Roman" w:hAnsi="Times New Roman" w:eastAsia="宋体"/>
          <w:sz w:val="24"/>
          <w:szCs w:val="24"/>
        </w:rPr>
        <w:t xml:space="preserve"> S2</w:t>
      </w: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7038340" cy="42119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834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4"/>
        </w:rPr>
        <w:t>F</w:t>
      </w:r>
      <w:r>
        <w:rPr>
          <w:rFonts w:hint="eastAsia" w:ascii="Times New Roman" w:hAnsi="Times New Roman" w:eastAsia="宋体"/>
          <w:sz w:val="24"/>
          <w:szCs w:val="24"/>
        </w:rPr>
        <w:t>igure</w:t>
      </w:r>
      <w:r>
        <w:rPr>
          <w:rFonts w:ascii="Times New Roman" w:hAnsi="Times New Roman" w:eastAsia="宋体"/>
          <w:sz w:val="24"/>
          <w:szCs w:val="24"/>
        </w:rPr>
        <w:t xml:space="preserve"> S3</w:t>
      </w: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6169025" cy="5274310"/>
            <wp:effectExtent l="0" t="0" r="317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9025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sz w:val="24"/>
          <w:szCs w:val="24"/>
        </w:rPr>
        <w:t>F</w:t>
      </w:r>
      <w:r>
        <w:rPr>
          <w:rFonts w:hint="eastAsia" w:ascii="Times New Roman" w:hAnsi="Times New Roman" w:eastAsia="宋体"/>
          <w:sz w:val="24"/>
          <w:szCs w:val="24"/>
        </w:rPr>
        <w:t>igure</w:t>
      </w:r>
      <w:r>
        <w:rPr>
          <w:rFonts w:ascii="Times New Roman" w:hAnsi="Times New Roman" w:eastAsia="宋体"/>
          <w:sz w:val="24"/>
          <w:szCs w:val="24"/>
        </w:rPr>
        <w:t xml:space="preserve"> S4</w:t>
      </w:r>
    </w:p>
    <w:p>
      <w:pPr>
        <w:spacing w:line="480" w:lineRule="auto"/>
        <w:rPr>
          <w:rFonts w:ascii="Times New Roman" w:hAnsi="Times New Roman" w:eastAsia="宋体"/>
          <w:sz w:val="24"/>
          <w:szCs w:val="24"/>
        </w:rPr>
      </w:pPr>
      <w:r>
        <w:drawing>
          <wp:inline distT="0" distB="0" distL="0" distR="0">
            <wp:extent cx="5988685" cy="5274310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Fig. S5</w:t>
      </w:r>
      <w:r>
        <w:rPr>
          <w:rFonts w:ascii="Times New Roman" w:hAnsi="Times New Roman" w:cs="Times New Roman"/>
        </w:rPr>
        <w:t xml:space="preserve">                        </w:t>
      </w:r>
    </w:p>
    <w:p>
      <w:pPr>
        <w:rPr>
          <w:rFonts w:ascii="Times New Roman" w:hAnsi="Times New Roman" w:cs="Times New Roman"/>
        </w:rPr>
      </w:pPr>
      <w:r>
        <w:drawing>
          <wp:inline distT="0" distB="0" distL="0" distR="0">
            <wp:extent cx="3575050" cy="5274310"/>
            <wp:effectExtent l="0" t="0" r="635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Fig. S6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arnock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haker2Lancet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zN7A0NzexNDSztDRW0lEKTi0uzszPAykwNK4FAKD376EtAAAA"/>
    <w:docVar w:name="commondata" w:val="eyJoZGlkIjoiNWY2MDI4ZmFiODE3OWY3NDQ5MjBlMjBhZGU2OGVhNjgifQ=="/>
  </w:docVars>
  <w:rsids>
    <w:rsidRoot w:val="005466CD"/>
    <w:rsid w:val="00022D41"/>
    <w:rsid w:val="000707F8"/>
    <w:rsid w:val="000774B2"/>
    <w:rsid w:val="00116D87"/>
    <w:rsid w:val="00203D66"/>
    <w:rsid w:val="0028769F"/>
    <w:rsid w:val="002C19C9"/>
    <w:rsid w:val="002D3428"/>
    <w:rsid w:val="0030096B"/>
    <w:rsid w:val="00321309"/>
    <w:rsid w:val="003501D8"/>
    <w:rsid w:val="003A50A7"/>
    <w:rsid w:val="003A65AE"/>
    <w:rsid w:val="003C6F05"/>
    <w:rsid w:val="003F2874"/>
    <w:rsid w:val="00402A0C"/>
    <w:rsid w:val="004120CC"/>
    <w:rsid w:val="005466CD"/>
    <w:rsid w:val="0055525C"/>
    <w:rsid w:val="005A6E97"/>
    <w:rsid w:val="005D1848"/>
    <w:rsid w:val="006059FA"/>
    <w:rsid w:val="006C1CE5"/>
    <w:rsid w:val="006C7FAF"/>
    <w:rsid w:val="006E6DED"/>
    <w:rsid w:val="00706B62"/>
    <w:rsid w:val="0073653E"/>
    <w:rsid w:val="00875B92"/>
    <w:rsid w:val="008A390D"/>
    <w:rsid w:val="008A5A13"/>
    <w:rsid w:val="009839A5"/>
    <w:rsid w:val="009A0C3E"/>
    <w:rsid w:val="00A524AE"/>
    <w:rsid w:val="00B62CC9"/>
    <w:rsid w:val="00BD6B6B"/>
    <w:rsid w:val="00BE458C"/>
    <w:rsid w:val="00C11000"/>
    <w:rsid w:val="00C51A10"/>
    <w:rsid w:val="00C95880"/>
    <w:rsid w:val="00CC215A"/>
    <w:rsid w:val="00CE5082"/>
    <w:rsid w:val="00D15728"/>
    <w:rsid w:val="00E540EB"/>
    <w:rsid w:val="00EF22B5"/>
    <w:rsid w:val="00F2749D"/>
    <w:rsid w:val="00F6518D"/>
    <w:rsid w:val="00F7316F"/>
    <w:rsid w:val="00F837A9"/>
    <w:rsid w:val="00FA7CC8"/>
    <w:rsid w:val="00FB76B7"/>
    <w:rsid w:val="00FE37A7"/>
    <w:rsid w:val="0D912C07"/>
    <w:rsid w:val="14765CB4"/>
    <w:rsid w:val="34A54E2A"/>
    <w:rsid w:val="529B3F32"/>
    <w:rsid w:val="5A547CF5"/>
    <w:rsid w:val="71D14601"/>
    <w:rsid w:val="71FA304E"/>
    <w:rsid w:val="75124B1D"/>
    <w:rsid w:val="774116DC"/>
    <w:rsid w:val="7F3B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FBE5B-79CE-499E-AF7E-450BA6FE63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1691</Words>
  <Characters>7509</Characters>
  <Lines>66</Lines>
  <Paragraphs>18</Paragraphs>
  <TotalTime>69</TotalTime>
  <ScaleCrop>false</ScaleCrop>
  <LinksUpToDate>false</LinksUpToDate>
  <CharactersWithSpaces>8775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2022-07-28T14:53:00Z</dcterms:created>
  <dc:creator>lifei</dc:creator>
  <cp:lastModifiedBy>雾€都</cp:lastModifiedBy>
  <dcterms:modified xsi:type="dcterms:W3CDTF">2022-08-01T11:09:54Z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BF0F17AB1B7E452F89B59AADC928214C</vt:lpwstr>
  </property>
</Properties>
</file>