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DE862" w14:textId="11C762CB" w:rsidR="00A13E27" w:rsidRPr="007E157C" w:rsidRDefault="00B83AF0" w:rsidP="00A13E2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E157C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7E157C">
        <w:rPr>
          <w:rFonts w:ascii="Times New Roman" w:hAnsi="Times New Roman" w:cs="Times New Roman" w:hint="eastAsia"/>
          <w:b/>
          <w:bCs/>
          <w:sz w:val="20"/>
          <w:szCs w:val="20"/>
        </w:rPr>
        <w:t>upp</w:t>
      </w:r>
      <w:r w:rsidRPr="007E157C">
        <w:rPr>
          <w:rFonts w:ascii="Times New Roman" w:hAnsi="Times New Roman" w:cs="Times New Roman"/>
          <w:b/>
          <w:bCs/>
          <w:sz w:val="20"/>
          <w:szCs w:val="20"/>
        </w:rPr>
        <w:t>lementary materials</w:t>
      </w:r>
    </w:p>
    <w:p w14:paraId="2D8A664F" w14:textId="7F9DE7AE" w:rsidR="008C6BBD" w:rsidRPr="007E157C" w:rsidRDefault="008C6BBD" w:rsidP="008C6BBD">
      <w:pPr>
        <w:rPr>
          <w:rFonts w:ascii="Times New Roman" w:hAnsi="Times New Roman" w:cs="Times New Roman"/>
          <w:sz w:val="20"/>
          <w:szCs w:val="20"/>
        </w:rPr>
      </w:pPr>
      <w:r w:rsidRPr="007E157C">
        <w:rPr>
          <w:rFonts w:ascii="Times New Roman" w:hAnsi="Times New Roman" w:cs="Times New Roman"/>
          <w:b/>
          <w:bCs/>
          <w:sz w:val="20"/>
          <w:szCs w:val="20"/>
        </w:rPr>
        <w:t xml:space="preserve">Figure S1. The association between MAP and ICU mortality. </w:t>
      </w:r>
      <w:r w:rsidRPr="007E157C">
        <w:rPr>
          <w:rFonts w:ascii="Times New Roman" w:hAnsi="Times New Roman" w:cs="Times New Roman"/>
          <w:sz w:val="20"/>
          <w:szCs w:val="20"/>
        </w:rPr>
        <w:t xml:space="preserve">Error bars show 95% confidence intervals of the mortality rates. No difference between MAP measurements in terms of their ICU mortality </w:t>
      </w:r>
      <w:r w:rsidR="006B1306" w:rsidRPr="007E157C">
        <w:rPr>
          <w:rFonts w:ascii="Times New Roman" w:hAnsi="Times New Roman" w:cs="Times New Roman"/>
          <w:sz w:val="20"/>
          <w:szCs w:val="20"/>
        </w:rPr>
        <w:t>was</w:t>
      </w:r>
      <w:r w:rsidRPr="007E157C">
        <w:rPr>
          <w:rFonts w:ascii="Times New Roman" w:hAnsi="Times New Roman" w:cs="Times New Roman"/>
          <w:sz w:val="20"/>
          <w:szCs w:val="20"/>
        </w:rPr>
        <w:t xml:space="preserve"> observed (p&gt;0.05) based on the chi-square test.</w:t>
      </w:r>
    </w:p>
    <w:p w14:paraId="35310F7D" w14:textId="656CEADC" w:rsidR="008C6BBD" w:rsidRPr="007E157C" w:rsidRDefault="008C6BBD">
      <w:pPr>
        <w:rPr>
          <w:rFonts w:ascii="Times New Roman" w:hAnsi="Times New Roman" w:cs="Times New Roman"/>
          <w:sz w:val="20"/>
          <w:szCs w:val="20"/>
        </w:rPr>
      </w:pPr>
      <w:r w:rsidRPr="007E157C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Abbreviation: ICU, intensive care unit; MAP, </w:t>
      </w:r>
      <w:r w:rsidRPr="007E157C">
        <w:rPr>
          <w:rFonts w:ascii="Times New Roman" w:hAnsi="Times New Roman" w:cs="Times New Roman" w:hint="eastAsia"/>
          <w:sz w:val="20"/>
          <w:szCs w:val="20"/>
        </w:rPr>
        <w:t>mean</w:t>
      </w:r>
      <w:r w:rsidRPr="007E157C">
        <w:rPr>
          <w:rFonts w:ascii="Times New Roman" w:hAnsi="Times New Roman" w:cs="Times New Roman"/>
          <w:sz w:val="20"/>
          <w:szCs w:val="20"/>
        </w:rPr>
        <w:t xml:space="preserve"> arterial pressure.</w:t>
      </w:r>
    </w:p>
    <w:p w14:paraId="5D9DF2E0" w14:textId="0B536903" w:rsidR="008C6BBD" w:rsidRPr="007E157C" w:rsidRDefault="008C6BBD" w:rsidP="008C6BBD">
      <w:pPr>
        <w:rPr>
          <w:rFonts w:ascii="Times New Roman" w:hAnsi="Times New Roman" w:cs="Times New Roman"/>
          <w:sz w:val="20"/>
          <w:szCs w:val="20"/>
        </w:rPr>
      </w:pPr>
      <w:r w:rsidRPr="007E157C">
        <w:rPr>
          <w:rFonts w:ascii="Times New Roman" w:hAnsi="Times New Roman" w:cs="Times New Roman"/>
          <w:b/>
          <w:bCs/>
          <w:sz w:val="20"/>
          <w:szCs w:val="20"/>
        </w:rPr>
        <w:t xml:space="preserve">Figure S2. The association between DBP and ICU mortality. </w:t>
      </w:r>
      <w:r w:rsidRPr="007E157C">
        <w:rPr>
          <w:rFonts w:ascii="Times New Roman" w:hAnsi="Times New Roman" w:cs="Times New Roman"/>
          <w:sz w:val="20"/>
          <w:szCs w:val="20"/>
        </w:rPr>
        <w:t xml:space="preserve">Error bars show 95% confidence intervals of the mortality rates. No difference between DBP measurements in terms of their ICU mortality </w:t>
      </w:r>
      <w:r w:rsidR="006B1306" w:rsidRPr="007E157C">
        <w:rPr>
          <w:rFonts w:ascii="Times New Roman" w:hAnsi="Times New Roman" w:cs="Times New Roman"/>
          <w:sz w:val="20"/>
          <w:szCs w:val="20"/>
        </w:rPr>
        <w:t>was</w:t>
      </w:r>
      <w:r w:rsidRPr="007E157C">
        <w:rPr>
          <w:rFonts w:ascii="Times New Roman" w:hAnsi="Times New Roman" w:cs="Times New Roman"/>
          <w:sz w:val="20"/>
          <w:szCs w:val="20"/>
        </w:rPr>
        <w:t xml:space="preserve"> observed (p&gt;0.05) based on the chi-square test.</w:t>
      </w:r>
    </w:p>
    <w:p w14:paraId="17735E6B" w14:textId="19F04CB1" w:rsidR="008C6BBD" w:rsidRPr="007E157C" w:rsidRDefault="008C6BBD">
      <w:pPr>
        <w:rPr>
          <w:rFonts w:ascii="Times New Roman" w:hAnsi="Times New Roman" w:cs="Times New Roman"/>
          <w:sz w:val="20"/>
          <w:szCs w:val="20"/>
        </w:rPr>
      </w:pPr>
      <w:r w:rsidRPr="007E157C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Abbreviation: ICU, intensive care unit; DBP, </w:t>
      </w:r>
      <w:r w:rsidRPr="007E157C">
        <w:rPr>
          <w:rFonts w:ascii="Times New Roman" w:hAnsi="Times New Roman" w:cs="Times New Roman"/>
          <w:sz w:val="20"/>
          <w:szCs w:val="20"/>
        </w:rPr>
        <w:t>diastolic blood pressure.</w:t>
      </w:r>
    </w:p>
    <w:sectPr w:rsidR="008C6BBD" w:rsidRPr="007E15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4AC4E" w14:textId="77777777" w:rsidR="00F15260" w:rsidRDefault="00F15260" w:rsidP="008C6BBD">
      <w:r>
        <w:separator/>
      </w:r>
    </w:p>
  </w:endnote>
  <w:endnote w:type="continuationSeparator" w:id="0">
    <w:p w14:paraId="689E49F9" w14:textId="77777777" w:rsidR="00F15260" w:rsidRDefault="00F15260" w:rsidP="008C6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D05F2" w14:textId="77777777" w:rsidR="00F15260" w:rsidRDefault="00F15260" w:rsidP="008C6BBD">
      <w:r>
        <w:separator/>
      </w:r>
    </w:p>
  </w:footnote>
  <w:footnote w:type="continuationSeparator" w:id="0">
    <w:p w14:paraId="6BDDAE4C" w14:textId="77777777" w:rsidR="00F15260" w:rsidRDefault="00F15260" w:rsidP="008C6B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AxMzU1MTQ0M7Y0MjRS0lEKTi0uzszPAykwqQUACzQaiCwAAAA="/>
  </w:docVars>
  <w:rsids>
    <w:rsidRoot w:val="00102026"/>
    <w:rsid w:val="0006364D"/>
    <w:rsid w:val="00102026"/>
    <w:rsid w:val="0013549A"/>
    <w:rsid w:val="00136034"/>
    <w:rsid w:val="003D4518"/>
    <w:rsid w:val="00560BD9"/>
    <w:rsid w:val="006B1306"/>
    <w:rsid w:val="007C53F3"/>
    <w:rsid w:val="007E157C"/>
    <w:rsid w:val="008822B7"/>
    <w:rsid w:val="008C6BBD"/>
    <w:rsid w:val="00A13E27"/>
    <w:rsid w:val="00AE7DBD"/>
    <w:rsid w:val="00B55C0A"/>
    <w:rsid w:val="00B57B0E"/>
    <w:rsid w:val="00B83AF0"/>
    <w:rsid w:val="00BF052D"/>
    <w:rsid w:val="00C46CEC"/>
    <w:rsid w:val="00CE2612"/>
    <w:rsid w:val="00F15260"/>
    <w:rsid w:val="00F2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219DD8"/>
  <w15:chartTrackingRefBased/>
  <w15:docId w15:val="{8D984F9A-2BB1-42B2-BC4E-5DEA78042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6B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C6BB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C6B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C6B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office用户</dc:creator>
  <cp:keywords/>
  <dc:description/>
  <cp:lastModifiedBy>Li Shaoying</cp:lastModifiedBy>
  <cp:revision>12</cp:revision>
  <dcterms:created xsi:type="dcterms:W3CDTF">2022-06-23T13:45:00Z</dcterms:created>
  <dcterms:modified xsi:type="dcterms:W3CDTF">2022-09-07T11:22:00Z</dcterms:modified>
</cp:coreProperties>
</file>