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3F9" w:rsidRPr="00AC33F9" w:rsidRDefault="00AC33F9" w:rsidP="00AC33F9">
      <w:pPr>
        <w:spacing w:line="360" w:lineRule="auto"/>
        <w:rPr>
          <w:rFonts w:ascii="Arial" w:eastAsiaTheme="minorHAnsi" w:hAnsi="Arial" w:cs="Arial"/>
          <w:b/>
          <w:sz w:val="22"/>
        </w:rPr>
      </w:pPr>
      <w:r w:rsidRPr="00AC33F9">
        <w:rPr>
          <w:rFonts w:ascii="Arial" w:eastAsiaTheme="minorHAnsi" w:hAnsi="Arial" w:cs="Arial"/>
          <w:b/>
          <w:sz w:val="22"/>
        </w:rPr>
        <w:t>Therapeutic potential of FLT4-targeting peptide in acute myeloid leukemia</w:t>
      </w:r>
    </w:p>
    <w:p w:rsidR="00AC33F9" w:rsidRPr="00F65086" w:rsidRDefault="00AC33F9" w:rsidP="00AC33F9">
      <w:pPr>
        <w:spacing w:line="360" w:lineRule="auto"/>
        <w:ind w:left="1600" w:hanging="1600"/>
        <w:rPr>
          <w:rFonts w:ascii="Arial" w:eastAsiaTheme="minorHAnsi" w:hAnsi="Arial" w:cs="Arial"/>
        </w:rPr>
      </w:pPr>
      <w:r w:rsidRPr="00F65086">
        <w:rPr>
          <w:rFonts w:ascii="Arial" w:eastAsia="맑은 고딕" w:hAnsi="Arial" w:cs="Arial"/>
        </w:rPr>
        <w:t xml:space="preserve"> </w:t>
      </w:r>
      <w:proofErr w:type="spellStart"/>
      <w:r w:rsidRPr="00F65086">
        <w:rPr>
          <w:rFonts w:ascii="Arial" w:eastAsiaTheme="minorHAnsi" w:hAnsi="Arial" w:cs="Arial"/>
        </w:rPr>
        <w:t>Ji</w:t>
      </w:r>
      <w:proofErr w:type="spellEnd"/>
      <w:r w:rsidRPr="00F65086">
        <w:rPr>
          <w:rFonts w:ascii="Arial" w:eastAsiaTheme="minorHAnsi" w:hAnsi="Arial" w:cs="Arial"/>
        </w:rPr>
        <w:t xml:space="preserve"> Yoon Lee</w:t>
      </w:r>
      <w:r w:rsidRPr="00F65086">
        <w:rPr>
          <w:rFonts w:ascii="Arial" w:eastAsiaTheme="minorHAnsi" w:hAnsi="Arial" w:cs="Arial"/>
          <w:vertAlign w:val="superscript"/>
        </w:rPr>
        <w:t>1</w:t>
      </w:r>
      <w:proofErr w:type="gramStart"/>
      <w:r>
        <w:rPr>
          <w:rFonts w:ascii="Arial" w:hAnsi="Arial" w:cs="Arial" w:hint="eastAsia"/>
          <w:vertAlign w:val="superscript"/>
        </w:rPr>
        <w:t>,2</w:t>
      </w:r>
      <w:proofErr w:type="gramEnd"/>
      <w:r>
        <w:rPr>
          <w:rFonts w:ascii="Arial" w:hAnsi="Arial" w:cs="Arial" w:hint="eastAsia"/>
          <w:vertAlign w:val="superscript"/>
        </w:rPr>
        <w:t>,</w:t>
      </w:r>
      <w:r w:rsidRPr="00F65086">
        <w:rPr>
          <w:rFonts w:ascii="Arial" w:eastAsiaTheme="minorHAnsi" w:hAnsi="Arial" w:cs="Arial"/>
          <w:vertAlign w:val="superscript"/>
        </w:rPr>
        <w:t>*</w:t>
      </w:r>
      <w:r w:rsidRPr="00F65086">
        <w:rPr>
          <w:rFonts w:ascii="Arial" w:eastAsiaTheme="minorHAnsi" w:hAnsi="Arial" w:cs="Arial"/>
        </w:rPr>
        <w:t xml:space="preserve">, </w:t>
      </w:r>
      <w:proofErr w:type="spellStart"/>
      <w:r w:rsidRPr="00F65086">
        <w:rPr>
          <w:rFonts w:ascii="Arial" w:eastAsiaTheme="minorHAnsi" w:hAnsi="Arial" w:cs="Arial"/>
        </w:rPr>
        <w:t>Soojin</w:t>
      </w:r>
      <w:proofErr w:type="spellEnd"/>
      <w:r w:rsidRPr="00F65086">
        <w:rPr>
          <w:rFonts w:ascii="Arial" w:eastAsiaTheme="minorHAnsi" w:hAnsi="Arial" w:cs="Arial"/>
        </w:rPr>
        <w:t xml:space="preserve"> Park</w:t>
      </w:r>
      <w:r w:rsidRPr="00F65086">
        <w:rPr>
          <w:rFonts w:ascii="Arial" w:eastAsiaTheme="minorHAnsi" w:hAnsi="Arial" w:cs="Arial"/>
          <w:vertAlign w:val="superscript"/>
        </w:rPr>
        <w:t>2,3,*</w:t>
      </w:r>
      <w:r w:rsidRPr="00F65086">
        <w:rPr>
          <w:rFonts w:ascii="Arial" w:eastAsiaTheme="minorHAnsi" w:hAnsi="Arial" w:cs="Arial"/>
        </w:rPr>
        <w:t>, A-</w:t>
      </w:r>
      <w:proofErr w:type="spellStart"/>
      <w:r w:rsidRPr="00F65086">
        <w:rPr>
          <w:rFonts w:ascii="Arial" w:eastAsiaTheme="minorHAnsi" w:hAnsi="Arial" w:cs="Arial"/>
        </w:rPr>
        <w:t>Reum</w:t>
      </w:r>
      <w:proofErr w:type="spellEnd"/>
      <w:r w:rsidRPr="00F65086">
        <w:rPr>
          <w:rFonts w:ascii="Arial" w:eastAsiaTheme="minorHAnsi" w:hAnsi="Arial" w:cs="Arial"/>
        </w:rPr>
        <w:t xml:space="preserve"> Han</w:t>
      </w:r>
      <w:r w:rsidRPr="00F65086">
        <w:rPr>
          <w:rFonts w:ascii="Arial" w:eastAsiaTheme="minorHAnsi" w:hAnsi="Arial" w:cs="Arial"/>
          <w:vertAlign w:val="superscript"/>
        </w:rPr>
        <w:t>1</w:t>
      </w:r>
      <w:r w:rsidRPr="00F65086">
        <w:rPr>
          <w:rFonts w:ascii="Arial" w:eastAsiaTheme="minorHAnsi" w:hAnsi="Arial" w:cs="Arial"/>
        </w:rPr>
        <w:t xml:space="preserve">, </w:t>
      </w:r>
      <w:proofErr w:type="spellStart"/>
      <w:r w:rsidRPr="00F65086">
        <w:rPr>
          <w:rFonts w:ascii="Arial" w:eastAsiaTheme="minorHAnsi" w:hAnsi="Arial" w:cs="Arial"/>
        </w:rPr>
        <w:t>Hee</w:t>
      </w:r>
      <w:proofErr w:type="spellEnd"/>
      <w:r w:rsidRPr="00F65086">
        <w:rPr>
          <w:rFonts w:ascii="Arial" w:eastAsiaTheme="minorHAnsi" w:hAnsi="Arial" w:cs="Arial"/>
        </w:rPr>
        <w:t>-Sun Hwang</w:t>
      </w:r>
      <w:r w:rsidRPr="00F65086">
        <w:rPr>
          <w:rFonts w:ascii="Arial" w:eastAsiaTheme="minorHAnsi" w:hAnsi="Arial" w:cs="Arial"/>
          <w:vertAlign w:val="superscript"/>
        </w:rPr>
        <w:t>2,3</w:t>
      </w:r>
      <w:r w:rsidRPr="00F65086">
        <w:rPr>
          <w:rFonts w:ascii="Arial" w:eastAsiaTheme="minorHAnsi" w:hAnsi="Arial" w:cs="Arial"/>
        </w:rPr>
        <w:t xml:space="preserve">, </w:t>
      </w:r>
      <w:proofErr w:type="spellStart"/>
      <w:r w:rsidRPr="00F65086">
        <w:rPr>
          <w:rFonts w:ascii="Arial" w:eastAsiaTheme="minorHAnsi" w:hAnsi="Arial" w:cs="Arial"/>
        </w:rPr>
        <w:t>Hee</w:t>
      </w:r>
      <w:proofErr w:type="spellEnd"/>
      <w:r w:rsidRPr="00F65086">
        <w:rPr>
          <w:rFonts w:ascii="Arial" w:eastAsiaTheme="minorHAnsi" w:hAnsi="Arial" w:cs="Arial"/>
        </w:rPr>
        <w:t>-Je Kim</w:t>
      </w:r>
      <w:r w:rsidRPr="00F65086">
        <w:rPr>
          <w:rFonts w:ascii="Arial" w:eastAsiaTheme="minorHAnsi" w:hAnsi="Arial" w:cs="Arial"/>
          <w:vertAlign w:val="superscript"/>
        </w:rPr>
        <w:t>3,4</w:t>
      </w:r>
    </w:p>
    <w:p w:rsidR="00AC33F9" w:rsidRPr="00AC33F9" w:rsidRDefault="00AC33F9" w:rsidP="00AC33F9">
      <w:pPr>
        <w:spacing w:line="360" w:lineRule="auto"/>
        <w:rPr>
          <w:rFonts w:ascii="Arial" w:eastAsiaTheme="minorHAnsi" w:hAnsi="Arial" w:cs="Arial"/>
          <w:b/>
        </w:rPr>
      </w:pPr>
    </w:p>
    <w:p w:rsidR="00AC33F9" w:rsidRDefault="00AC33F9" w:rsidP="00AC33F9">
      <w:pPr>
        <w:spacing w:line="360" w:lineRule="auto"/>
        <w:rPr>
          <w:rFonts w:ascii="Arial" w:eastAsiaTheme="minorHAnsi" w:hAnsi="Arial" w:cs="Arial"/>
          <w:b/>
        </w:rPr>
      </w:pPr>
      <w:r>
        <w:rPr>
          <w:rFonts w:ascii="Arial" w:eastAsiaTheme="minorHAnsi" w:hAnsi="Arial" w:cs="Arial" w:hint="eastAsia"/>
          <w:b/>
        </w:rPr>
        <w:t>Supporting materials and methods</w:t>
      </w:r>
    </w:p>
    <w:p w:rsidR="00F04232" w:rsidRPr="00F65086" w:rsidRDefault="00F04232" w:rsidP="00F04232">
      <w:pPr>
        <w:spacing w:line="360" w:lineRule="auto"/>
        <w:rPr>
          <w:rFonts w:ascii="Arial" w:eastAsiaTheme="minorHAnsi" w:hAnsi="Arial" w:cs="Arial"/>
          <w:b/>
        </w:rPr>
      </w:pPr>
      <w:r w:rsidRPr="00F65086">
        <w:rPr>
          <w:rFonts w:ascii="Arial" w:eastAsiaTheme="minorHAnsi" w:hAnsi="Arial" w:cs="Arial"/>
          <w:b/>
        </w:rPr>
        <w:t>Murine cell line</w:t>
      </w:r>
    </w:p>
    <w:p w:rsidR="00F04232" w:rsidRPr="00F65086" w:rsidRDefault="00F04232" w:rsidP="00F04232">
      <w:pPr>
        <w:spacing w:line="360" w:lineRule="auto"/>
        <w:rPr>
          <w:rFonts w:ascii="Arial" w:eastAsiaTheme="minorHAnsi" w:hAnsi="Arial" w:cs="Arial"/>
        </w:rPr>
      </w:pPr>
      <w:r w:rsidRPr="00F65086">
        <w:rPr>
          <w:rFonts w:ascii="Arial" w:eastAsiaTheme="minorHAnsi" w:hAnsi="Arial" w:cs="Arial"/>
        </w:rPr>
        <w:t>The murine myeloid leukemia cell line C1498 (a murine AML cell line, TIB-49; ATCC, Manassas, VA, USA) was used. C1498 cells were cultured in Dulbecco’s Modified Eagle’s Medium (</w:t>
      </w:r>
      <w:proofErr w:type="spellStart"/>
      <w:r w:rsidRPr="00F65086">
        <w:rPr>
          <w:rFonts w:ascii="Arial" w:eastAsiaTheme="minorHAnsi" w:hAnsi="Arial" w:cs="Arial"/>
        </w:rPr>
        <w:t>Gibco</w:t>
      </w:r>
      <w:proofErr w:type="spellEnd"/>
      <w:r w:rsidRPr="00F65086">
        <w:rPr>
          <w:rFonts w:ascii="Arial" w:eastAsiaTheme="minorHAnsi" w:hAnsi="Arial" w:cs="Arial"/>
        </w:rPr>
        <w:t xml:space="preserve">, Grand Island, NY, USA), 10% fetal bovine serum (FBS; </w:t>
      </w:r>
      <w:proofErr w:type="spellStart"/>
      <w:r w:rsidRPr="00F65086">
        <w:rPr>
          <w:rFonts w:ascii="Arial" w:eastAsiaTheme="minorHAnsi" w:hAnsi="Arial" w:cs="Arial"/>
        </w:rPr>
        <w:t>Gibco</w:t>
      </w:r>
      <w:proofErr w:type="spellEnd"/>
      <w:r w:rsidRPr="00F65086">
        <w:rPr>
          <w:rFonts w:ascii="Arial" w:eastAsiaTheme="minorHAnsi" w:hAnsi="Arial" w:cs="Arial"/>
        </w:rPr>
        <w:t xml:space="preserve">), and penicillin-streptomycin (Pen-Strep; </w:t>
      </w:r>
      <w:proofErr w:type="spellStart"/>
      <w:r w:rsidRPr="00F65086">
        <w:rPr>
          <w:rFonts w:ascii="Arial" w:eastAsiaTheme="minorHAnsi" w:hAnsi="Arial" w:cs="Arial"/>
        </w:rPr>
        <w:t>Gibco</w:t>
      </w:r>
      <w:proofErr w:type="spellEnd"/>
      <w:r w:rsidRPr="00F65086">
        <w:rPr>
          <w:rFonts w:ascii="Arial" w:eastAsiaTheme="minorHAnsi" w:hAnsi="Arial" w:cs="Arial"/>
        </w:rPr>
        <w:t>) solution (</w:t>
      </w:r>
      <w:proofErr w:type="spellStart"/>
      <w:r w:rsidRPr="00F65086">
        <w:rPr>
          <w:rFonts w:ascii="Arial" w:eastAsiaTheme="minorHAnsi" w:hAnsi="Arial" w:cs="Arial"/>
        </w:rPr>
        <w:t>Gibco</w:t>
      </w:r>
      <w:proofErr w:type="spellEnd"/>
      <w:r w:rsidRPr="00F65086">
        <w:rPr>
          <w:rFonts w:ascii="Arial" w:eastAsiaTheme="minorHAnsi" w:hAnsi="Arial" w:cs="Arial"/>
        </w:rPr>
        <w:t>) in a humidified atmosphere of 5% CO</w:t>
      </w:r>
      <w:r w:rsidRPr="00F65086">
        <w:rPr>
          <w:rFonts w:ascii="Arial" w:eastAsiaTheme="minorHAnsi" w:hAnsi="Arial" w:cs="Arial"/>
          <w:vertAlign w:val="subscript"/>
        </w:rPr>
        <w:t xml:space="preserve">2 </w:t>
      </w:r>
      <w:r w:rsidRPr="00F65086">
        <w:rPr>
          <w:rFonts w:ascii="Arial" w:eastAsiaTheme="minorHAnsi" w:hAnsi="Arial" w:cs="Arial"/>
        </w:rPr>
        <w:t>at 37°C.</w:t>
      </w:r>
    </w:p>
    <w:p w:rsidR="0097499C" w:rsidRPr="00F04232" w:rsidRDefault="0097499C" w:rsidP="0097499C">
      <w:pPr>
        <w:pStyle w:val="a7"/>
        <w:spacing w:line="360" w:lineRule="auto"/>
        <w:ind w:left="0"/>
        <w:jc w:val="both"/>
        <w:rPr>
          <w:rFonts w:ascii="Arial" w:eastAsiaTheme="minorHAnsi" w:hAnsi="Arial" w:cs="Arial"/>
          <w:b/>
          <w:lang w:eastAsia="ko-KR"/>
        </w:rPr>
      </w:pPr>
    </w:p>
    <w:p w:rsidR="0097499C" w:rsidRPr="00F65086" w:rsidRDefault="0097499C" w:rsidP="0097499C">
      <w:pPr>
        <w:pStyle w:val="a7"/>
        <w:spacing w:line="360" w:lineRule="auto"/>
        <w:ind w:left="0"/>
        <w:jc w:val="both"/>
        <w:rPr>
          <w:rFonts w:ascii="Arial" w:eastAsiaTheme="minorHAnsi" w:hAnsi="Arial" w:cs="Arial"/>
          <w:i/>
        </w:rPr>
      </w:pPr>
      <w:r w:rsidRPr="00F65086">
        <w:rPr>
          <w:rFonts w:ascii="Arial" w:eastAsiaTheme="minorHAnsi" w:hAnsi="Arial" w:cs="Arial"/>
          <w:b/>
        </w:rPr>
        <w:t>Leukemic mouse model</w:t>
      </w:r>
      <w:r w:rsidRPr="00F65086">
        <w:rPr>
          <w:rFonts w:ascii="Arial" w:eastAsiaTheme="minorHAnsi" w:hAnsi="Arial" w:cs="Arial"/>
          <w:i/>
        </w:rPr>
        <w:t xml:space="preserve"> </w:t>
      </w:r>
    </w:p>
    <w:p w:rsidR="0097499C" w:rsidRPr="00F65086" w:rsidRDefault="0097499C" w:rsidP="0097499C">
      <w:pPr>
        <w:spacing w:line="360" w:lineRule="auto"/>
        <w:rPr>
          <w:rFonts w:ascii="Arial" w:eastAsiaTheme="minorHAnsi" w:hAnsi="Arial" w:cs="Arial"/>
        </w:rPr>
      </w:pPr>
      <w:r w:rsidRPr="00F65086">
        <w:rPr>
          <w:rFonts w:ascii="Arial" w:eastAsiaTheme="minorHAnsi" w:hAnsi="Arial" w:cs="Arial"/>
        </w:rPr>
        <w:t>C57BL/6J mice were purchased from Jackson Laboratory (Bar Harbor, ME, USA). Researchers at the Catholic University of Korea followed ethical guidelines to manage the mice in a pathogen-free environment. All protocols for testing the animals were approved by the Catholic University of Korea's Institutional Animal Care and Use Committee (CUMC-2019-0135-01). For the syngeneic model, 2 x 10</w:t>
      </w:r>
      <w:r w:rsidRPr="00F65086">
        <w:rPr>
          <w:rFonts w:ascii="Arial" w:eastAsiaTheme="minorHAnsi" w:hAnsi="Arial" w:cs="Arial"/>
          <w:vertAlign w:val="superscript"/>
        </w:rPr>
        <w:t>6</w:t>
      </w:r>
      <w:r w:rsidRPr="00F65086">
        <w:rPr>
          <w:rFonts w:ascii="Arial" w:eastAsiaTheme="minorHAnsi" w:hAnsi="Arial" w:cs="Arial"/>
        </w:rPr>
        <w:t xml:space="preserve"> C1498 cells suspended in 200 </w:t>
      </w:r>
      <w:proofErr w:type="spellStart"/>
      <w:r w:rsidRPr="00F65086">
        <w:rPr>
          <w:rFonts w:ascii="Arial" w:eastAsiaTheme="minorHAnsi" w:hAnsi="Arial" w:cs="Arial"/>
        </w:rPr>
        <w:t>μl</w:t>
      </w:r>
      <w:proofErr w:type="spellEnd"/>
      <w:r w:rsidRPr="00F65086">
        <w:rPr>
          <w:rFonts w:ascii="Arial" w:eastAsiaTheme="minorHAnsi" w:hAnsi="Arial" w:cs="Arial"/>
        </w:rPr>
        <w:t xml:space="preserve"> of phosphate-buffered saline (PBS) were intravenously injected into 7-week-old mice. As described in Figure 3, peripheral blood (PB) was collected from the facial vein, and tissue samples from the organs were collected from the euthanize</w:t>
      </w:r>
      <w:bookmarkStart w:id="0" w:name="_GoBack"/>
      <w:bookmarkEnd w:id="0"/>
      <w:r w:rsidRPr="00F65086">
        <w:rPr>
          <w:rFonts w:ascii="Arial" w:eastAsiaTheme="minorHAnsi" w:hAnsi="Arial" w:cs="Arial"/>
        </w:rPr>
        <w:t>d mice on day 14 post-injection. The collected PB and tissues were analyzed using a fluorescence-activated cell sorter (</w:t>
      </w:r>
      <w:proofErr w:type="spellStart"/>
      <w:r w:rsidRPr="00F65086">
        <w:rPr>
          <w:rFonts w:ascii="Arial" w:eastAsiaTheme="minorHAnsi" w:hAnsi="Arial" w:cs="Arial"/>
        </w:rPr>
        <w:t>FACSCanto</w:t>
      </w:r>
      <w:proofErr w:type="spellEnd"/>
      <w:r w:rsidRPr="00F65086">
        <w:rPr>
          <w:rFonts w:ascii="Arial" w:eastAsiaTheme="minorHAnsi" w:hAnsi="Arial" w:cs="Arial"/>
        </w:rPr>
        <w:t xml:space="preserve"> II; BD Bioscience, Santa Clara, CA, USA) analysis. The peptide was injected intravenously daily for seven days at 20 mg/kg dissolved in 200 </w:t>
      </w:r>
      <w:proofErr w:type="spellStart"/>
      <w:r w:rsidRPr="00F65086">
        <w:rPr>
          <w:rFonts w:ascii="Arial" w:eastAsiaTheme="minorHAnsi" w:hAnsi="Arial" w:cs="Arial"/>
        </w:rPr>
        <w:t>μl</w:t>
      </w:r>
      <w:proofErr w:type="spellEnd"/>
      <w:r w:rsidRPr="00F65086">
        <w:rPr>
          <w:rFonts w:ascii="Arial" w:eastAsiaTheme="minorHAnsi" w:hAnsi="Arial" w:cs="Arial"/>
        </w:rPr>
        <w:t xml:space="preserve"> of PBS, and ara-C (Sigma, C1768) was injected intraperitonealy daily for three days at 100 mg/kg in 200 </w:t>
      </w:r>
      <w:proofErr w:type="spellStart"/>
      <w:r w:rsidRPr="00F65086">
        <w:rPr>
          <w:rFonts w:ascii="Arial" w:eastAsiaTheme="minorHAnsi" w:hAnsi="Arial" w:cs="Arial"/>
        </w:rPr>
        <w:t>μl</w:t>
      </w:r>
      <w:proofErr w:type="spellEnd"/>
      <w:r w:rsidRPr="00F65086">
        <w:rPr>
          <w:rFonts w:ascii="Arial" w:eastAsiaTheme="minorHAnsi" w:hAnsi="Arial" w:cs="Arial"/>
        </w:rPr>
        <w:t xml:space="preserve"> of PBS for the experiment shown in Figure 3. For the experiment in Figure 4, the peptide and ara-C were injected daily for 10 days. </w:t>
      </w:r>
    </w:p>
    <w:p w:rsidR="00AC33F9" w:rsidRPr="0097499C" w:rsidRDefault="00AC33F9">
      <w:pPr>
        <w:rPr>
          <w:rFonts w:ascii="Arial" w:eastAsiaTheme="minorHAnsi" w:hAnsi="Arial" w:cs="Arial"/>
          <w:noProof/>
          <w:sz w:val="24"/>
          <w:szCs w:val="24"/>
        </w:rPr>
      </w:pPr>
    </w:p>
    <w:p w:rsidR="00AC33F9" w:rsidRPr="00F65086" w:rsidRDefault="00AC33F9" w:rsidP="00AC33F9">
      <w:pPr>
        <w:spacing w:line="360" w:lineRule="auto"/>
        <w:rPr>
          <w:rFonts w:ascii="Arial" w:hAnsi="Arial" w:cs="Arial"/>
          <w:b/>
        </w:rPr>
      </w:pPr>
      <w:proofErr w:type="spellStart"/>
      <w:r w:rsidRPr="00F65086">
        <w:rPr>
          <w:rFonts w:ascii="Arial" w:hAnsi="Arial" w:cs="Arial"/>
          <w:b/>
        </w:rPr>
        <w:t>ELISpot</w:t>
      </w:r>
      <w:proofErr w:type="spellEnd"/>
      <w:r w:rsidRPr="00F65086">
        <w:rPr>
          <w:rFonts w:ascii="Arial" w:hAnsi="Arial" w:cs="Arial"/>
          <w:b/>
        </w:rPr>
        <w:t xml:space="preserve"> assay</w:t>
      </w:r>
    </w:p>
    <w:p w:rsidR="00AC33F9" w:rsidRPr="00F65086" w:rsidRDefault="00AC33F9" w:rsidP="00AC33F9">
      <w:pPr>
        <w:spacing w:line="360" w:lineRule="auto"/>
        <w:rPr>
          <w:rFonts w:ascii="Arial" w:eastAsia="Arial Unicode MS" w:hAnsi="Arial" w:cs="Arial"/>
        </w:rPr>
      </w:pPr>
      <w:r w:rsidRPr="00F65086">
        <w:rPr>
          <w:rFonts w:ascii="Arial" w:eastAsia="Arial Unicode MS" w:hAnsi="Arial" w:cs="Arial"/>
          <w:color w:val="000000"/>
        </w:rPr>
        <w:t xml:space="preserve">To detect IFN-γ secretion, </w:t>
      </w:r>
      <w:proofErr w:type="spellStart"/>
      <w:r w:rsidRPr="00F65086">
        <w:rPr>
          <w:rFonts w:ascii="Arial" w:eastAsia="Arial Unicode MS" w:hAnsi="Arial" w:cs="Arial"/>
          <w:color w:val="000000"/>
        </w:rPr>
        <w:t>ELISpot</w:t>
      </w:r>
      <w:proofErr w:type="spellEnd"/>
      <w:r w:rsidRPr="00F65086">
        <w:rPr>
          <w:rFonts w:ascii="Arial" w:eastAsia="Arial Unicode MS" w:hAnsi="Arial" w:cs="Arial"/>
          <w:color w:val="000000"/>
        </w:rPr>
        <w:t xml:space="preserve"> assays were performed according to the manufacturer's instructions (552138, BD Bioscience). Briefly, NK cells</w:t>
      </w:r>
      <w:r w:rsidRPr="00F65086">
        <w:rPr>
          <w:rFonts w:ascii="Arial" w:hAnsi="Arial" w:cs="Arial"/>
          <w:color w:val="000000"/>
        </w:rPr>
        <w:t xml:space="preserve"> were serially diluted to 1 × 10</w:t>
      </w:r>
      <w:r w:rsidRPr="00F65086">
        <w:rPr>
          <w:rFonts w:ascii="Arial" w:hAnsi="Arial" w:cs="Arial"/>
          <w:color w:val="000000"/>
          <w:vertAlign w:val="superscript"/>
        </w:rPr>
        <w:t>5</w:t>
      </w:r>
      <w:r w:rsidRPr="00F65086">
        <w:rPr>
          <w:rFonts w:ascii="Arial" w:hAnsi="Arial" w:cs="Arial"/>
          <w:color w:val="000000"/>
        </w:rPr>
        <w:t xml:space="preserve"> cells/well and then co-cultured with peptides in triplicate (n=10). To find the proper concentration, 25 to 50 </w:t>
      </w:r>
      <w:proofErr w:type="spellStart"/>
      <w:r w:rsidRPr="00F65086">
        <w:rPr>
          <w:rFonts w:ascii="Arial" w:hAnsi="Arial" w:cs="Arial"/>
          <w:color w:val="000000"/>
        </w:rPr>
        <w:t>μM</w:t>
      </w:r>
      <w:proofErr w:type="spellEnd"/>
      <w:r w:rsidRPr="00F65086">
        <w:rPr>
          <w:rFonts w:ascii="Arial" w:hAnsi="Arial" w:cs="Arial"/>
          <w:color w:val="000000"/>
        </w:rPr>
        <w:t xml:space="preserve"> peptides were used with the NK cells, and PMA (1.2–2.5 ng/ml) and calcium ionophore (10, 25 ng/ml) were added to help stimulate the dysfunctional AML-NK cells. MAZ51 was administered at 5 </w:t>
      </w:r>
      <w:proofErr w:type="spellStart"/>
      <w:r w:rsidRPr="00F65086">
        <w:rPr>
          <w:rFonts w:ascii="Arial" w:hAnsi="Arial" w:cs="Arial"/>
          <w:color w:val="000000"/>
        </w:rPr>
        <w:t>μM</w:t>
      </w:r>
      <w:proofErr w:type="spellEnd"/>
      <w:r w:rsidRPr="00F65086">
        <w:rPr>
          <w:rFonts w:ascii="Arial" w:hAnsi="Arial" w:cs="Arial"/>
          <w:color w:val="000000"/>
        </w:rPr>
        <w:t xml:space="preserve">. </w:t>
      </w:r>
      <w:r w:rsidRPr="00F65086">
        <w:rPr>
          <w:rFonts w:ascii="Arial" w:eastAsia="Arial Unicode MS" w:hAnsi="Arial" w:cs="Arial"/>
        </w:rPr>
        <w:t xml:space="preserve">The numbers of IFN-γ spots were analyzed using an AID </w:t>
      </w:r>
      <w:proofErr w:type="spellStart"/>
      <w:r w:rsidRPr="00F65086">
        <w:rPr>
          <w:rFonts w:ascii="Arial" w:eastAsia="Arial Unicode MS" w:hAnsi="Arial" w:cs="Arial"/>
        </w:rPr>
        <w:t>ELISpot</w:t>
      </w:r>
      <w:proofErr w:type="spellEnd"/>
      <w:r w:rsidRPr="00F65086">
        <w:rPr>
          <w:rFonts w:ascii="Arial" w:eastAsia="Arial Unicode MS" w:hAnsi="Arial" w:cs="Arial"/>
        </w:rPr>
        <w:t xml:space="preserve"> reader (AID, </w:t>
      </w:r>
      <w:proofErr w:type="spellStart"/>
      <w:r w:rsidRPr="00F65086">
        <w:rPr>
          <w:rFonts w:ascii="Arial" w:hAnsi="Arial" w:cs="Arial"/>
        </w:rPr>
        <w:t>Strassberg</w:t>
      </w:r>
      <w:proofErr w:type="spellEnd"/>
      <w:r w:rsidRPr="00F65086">
        <w:rPr>
          <w:rFonts w:ascii="Arial" w:hAnsi="Arial" w:cs="Arial"/>
        </w:rPr>
        <w:t>,</w:t>
      </w:r>
      <w:r w:rsidRPr="00F65086">
        <w:rPr>
          <w:rFonts w:ascii="Arial" w:eastAsia="Arial Unicode MS" w:hAnsi="Arial" w:cs="Arial"/>
        </w:rPr>
        <w:t xml:space="preserve"> Germany).</w:t>
      </w:r>
    </w:p>
    <w:p w:rsidR="00AC33F9" w:rsidRDefault="00AC33F9" w:rsidP="00AC33F9">
      <w:pPr>
        <w:spacing w:line="360" w:lineRule="auto"/>
        <w:rPr>
          <w:rFonts w:ascii="Arial" w:hAnsi="Arial" w:cs="Arial"/>
          <w:b/>
        </w:rPr>
      </w:pPr>
    </w:p>
    <w:p w:rsidR="00AC33F9" w:rsidRPr="00F65086" w:rsidRDefault="00AC33F9" w:rsidP="00AC33F9">
      <w:pPr>
        <w:spacing w:line="360" w:lineRule="auto"/>
        <w:rPr>
          <w:rFonts w:ascii="Arial" w:eastAsia="Arial Unicode MS" w:hAnsi="Arial" w:cs="Arial"/>
          <w:b/>
        </w:rPr>
      </w:pPr>
      <w:r w:rsidRPr="00F65086">
        <w:rPr>
          <w:rFonts w:ascii="Arial" w:hAnsi="Arial" w:cs="Arial"/>
          <w:b/>
        </w:rPr>
        <w:t>Real-time quantitative reverse transcription PCR analysis</w:t>
      </w:r>
    </w:p>
    <w:p w:rsidR="00AC33F9" w:rsidRPr="00F65086" w:rsidRDefault="00AC33F9" w:rsidP="00AC33F9">
      <w:pPr>
        <w:spacing w:line="360" w:lineRule="auto"/>
        <w:rPr>
          <w:rFonts w:ascii="Arial" w:eastAsiaTheme="minorHAnsi" w:hAnsi="Arial" w:cs="Arial"/>
          <w:b/>
        </w:rPr>
      </w:pPr>
      <w:r w:rsidRPr="00F65086">
        <w:rPr>
          <w:rFonts w:ascii="Arial" w:hAnsi="Arial" w:cs="Arial"/>
        </w:rPr>
        <w:t xml:space="preserve">Total RNA was isolated using </w:t>
      </w:r>
      <w:proofErr w:type="spellStart"/>
      <w:r w:rsidRPr="00F65086">
        <w:rPr>
          <w:rFonts w:ascii="Arial" w:hAnsi="Arial" w:cs="Arial"/>
        </w:rPr>
        <w:t>TRIzol</w:t>
      </w:r>
      <w:proofErr w:type="spellEnd"/>
      <w:r w:rsidRPr="00F65086">
        <w:rPr>
          <w:rFonts w:ascii="Arial" w:hAnsi="Arial" w:cs="Arial"/>
        </w:rPr>
        <w:t xml:space="preserve"> reagent (15596018; Invitrogen), and </w:t>
      </w:r>
      <w:proofErr w:type="spellStart"/>
      <w:r w:rsidRPr="00F65086">
        <w:rPr>
          <w:rFonts w:ascii="Arial" w:hAnsi="Arial" w:cs="Arial"/>
        </w:rPr>
        <w:t>cDNA</w:t>
      </w:r>
      <w:proofErr w:type="spellEnd"/>
      <w:r w:rsidRPr="00F65086">
        <w:rPr>
          <w:rFonts w:ascii="Arial" w:hAnsi="Arial" w:cs="Arial"/>
        </w:rPr>
        <w:t xml:space="preserve"> synthesis was performed using a </w:t>
      </w:r>
      <w:proofErr w:type="spellStart"/>
      <w:r w:rsidRPr="00F65086">
        <w:rPr>
          <w:rFonts w:ascii="Arial" w:hAnsi="Arial" w:cs="Arial"/>
        </w:rPr>
        <w:t>Transcriptor</w:t>
      </w:r>
      <w:proofErr w:type="spellEnd"/>
      <w:r w:rsidRPr="00F65086">
        <w:rPr>
          <w:rFonts w:ascii="Arial" w:hAnsi="Arial" w:cs="Arial"/>
        </w:rPr>
        <w:t xml:space="preserve"> First-Strand </w:t>
      </w:r>
      <w:proofErr w:type="spellStart"/>
      <w:r w:rsidRPr="00F65086">
        <w:rPr>
          <w:rFonts w:ascii="Arial" w:hAnsi="Arial" w:cs="Arial"/>
        </w:rPr>
        <w:t>cDNA</w:t>
      </w:r>
      <w:proofErr w:type="spellEnd"/>
      <w:r w:rsidRPr="00F65086">
        <w:rPr>
          <w:rFonts w:ascii="Arial" w:hAnsi="Arial" w:cs="Arial"/>
        </w:rPr>
        <w:t xml:space="preserve"> Synthesis Kit (04 897 030 001; Roche, Basel, Switzerland). </w:t>
      </w:r>
      <w:proofErr w:type="spellStart"/>
      <w:r w:rsidRPr="00F65086">
        <w:rPr>
          <w:rFonts w:ascii="Arial" w:hAnsi="Arial" w:cs="Arial"/>
        </w:rPr>
        <w:t>qRT</w:t>
      </w:r>
      <w:proofErr w:type="spellEnd"/>
      <w:r w:rsidRPr="00F65086">
        <w:rPr>
          <w:rFonts w:ascii="Arial" w:hAnsi="Arial" w:cs="Arial"/>
        </w:rPr>
        <w:t xml:space="preserve">-PCR was performed with </w:t>
      </w:r>
      <w:proofErr w:type="spellStart"/>
      <w:r w:rsidRPr="00F65086">
        <w:rPr>
          <w:rFonts w:ascii="Arial" w:hAnsi="Arial" w:cs="Arial"/>
        </w:rPr>
        <w:t>LightCycler</w:t>
      </w:r>
      <w:proofErr w:type="spellEnd"/>
      <w:r w:rsidRPr="00F65086">
        <w:rPr>
          <w:rFonts w:ascii="MS Gothic" w:eastAsia="MS Gothic" w:hAnsi="MS Gothic" w:cs="MS Gothic" w:hint="eastAsia"/>
          <w:vertAlign w:val="superscript"/>
        </w:rPr>
        <w:t>Ⓡ</w:t>
      </w:r>
      <w:r w:rsidRPr="00F65086">
        <w:rPr>
          <w:rFonts w:ascii="Arial" w:hAnsi="Arial" w:cs="Arial"/>
        </w:rPr>
        <w:t xml:space="preserve"> 480 SYBR Green I Master Mix (04 707 516 001; Roche, Basel, Switzerland). The </w:t>
      </w:r>
      <w:proofErr w:type="spellStart"/>
      <w:r w:rsidRPr="00F65086">
        <w:rPr>
          <w:rFonts w:ascii="Arial" w:hAnsi="Arial" w:cs="Arial"/>
        </w:rPr>
        <w:t>TaqMan</w:t>
      </w:r>
      <w:proofErr w:type="spellEnd"/>
      <w:r w:rsidRPr="00F65086">
        <w:rPr>
          <w:rFonts w:ascii="Arial" w:hAnsi="Arial" w:cs="Arial"/>
        </w:rPr>
        <w:t xml:space="preserve"> primers (</w:t>
      </w:r>
      <w:proofErr w:type="spellStart"/>
      <w:r w:rsidRPr="00F65086">
        <w:rPr>
          <w:rFonts w:ascii="Arial" w:hAnsi="Arial" w:cs="Arial"/>
        </w:rPr>
        <w:t>Biosearch</w:t>
      </w:r>
      <w:proofErr w:type="spellEnd"/>
      <w:r w:rsidRPr="00F65086">
        <w:rPr>
          <w:rFonts w:ascii="Arial" w:hAnsi="Arial" w:cs="Arial"/>
        </w:rPr>
        <w:t xml:space="preserve"> Technologies, Novato, CA, USA) used in this study were human GAPDH (</w:t>
      </w:r>
      <w:proofErr w:type="spellStart"/>
      <w:r w:rsidRPr="00F65086">
        <w:rPr>
          <w:rFonts w:ascii="Arial" w:hAnsi="Arial" w:cs="Arial"/>
        </w:rPr>
        <w:t>Forward_GGTGGTCTCCTCTGACTTCAACA</w:t>
      </w:r>
      <w:proofErr w:type="spellEnd"/>
      <w:r w:rsidRPr="00F65086">
        <w:rPr>
          <w:rFonts w:ascii="Arial" w:hAnsi="Arial" w:cs="Arial"/>
        </w:rPr>
        <w:t xml:space="preserve">, </w:t>
      </w:r>
      <w:proofErr w:type="spellStart"/>
      <w:r w:rsidRPr="00F65086">
        <w:rPr>
          <w:rFonts w:ascii="Arial" w:hAnsi="Arial" w:cs="Arial"/>
        </w:rPr>
        <w:lastRenderedPageBreak/>
        <w:t>Reverse_GTGGTCGTTGAGGGCAATG</w:t>
      </w:r>
      <w:proofErr w:type="spellEnd"/>
      <w:r w:rsidRPr="00F65086">
        <w:rPr>
          <w:rFonts w:ascii="Arial" w:hAnsi="Arial" w:cs="Arial"/>
        </w:rPr>
        <w:t xml:space="preserve">) and human </w:t>
      </w:r>
      <w:r w:rsidRPr="00F65086">
        <w:rPr>
          <w:rFonts w:ascii="Arial" w:hAnsi="Arial" w:cs="Arial"/>
          <w:i/>
        </w:rPr>
        <w:t>IFN-</w:t>
      </w:r>
      <w:r w:rsidRPr="00F65086">
        <w:rPr>
          <w:rFonts w:ascii="Arial" w:eastAsiaTheme="minorHAnsi" w:hAnsi="Arial" w:cs="Arial"/>
          <w:i/>
        </w:rPr>
        <w:t>γ</w:t>
      </w:r>
      <w:r w:rsidRPr="00F65086">
        <w:rPr>
          <w:rFonts w:ascii="Arial" w:eastAsiaTheme="minorHAnsi" w:hAnsi="Arial" w:cs="Arial"/>
        </w:rPr>
        <w:t xml:space="preserve"> (</w:t>
      </w:r>
      <w:r w:rsidRPr="00F65086">
        <w:rPr>
          <w:rFonts w:ascii="Arial" w:hAnsi="Arial" w:cs="Arial"/>
        </w:rPr>
        <w:t>F_CCAACGCAAAGCAATACATGA; R_TTTAGCTGCTGGCGACAGTTC). The target gene mRNA expression was calculated using the comparative CT method. All target gene expressions were normalized to GAPDH expression in multiplexed reactions performed twice. The difference in CT values for each target mRNA was calculated by subtracting the mean value of GAPDH expression (relative expression=2-ΔCT).</w:t>
      </w:r>
    </w:p>
    <w:p w:rsidR="00AC33F9" w:rsidRP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C33F9" w:rsidRDefault="00AC33F9">
      <w:pPr>
        <w:rPr>
          <w:rFonts w:ascii="Arial" w:eastAsiaTheme="minorHAnsi" w:hAnsi="Arial" w:cs="Arial"/>
          <w:noProof/>
          <w:sz w:val="24"/>
          <w:szCs w:val="24"/>
        </w:rPr>
      </w:pPr>
    </w:p>
    <w:p w:rsidR="00AE6EE6" w:rsidRDefault="002A022A">
      <w:pPr>
        <w:rPr>
          <w:rFonts w:ascii="Arial" w:eastAsiaTheme="minorHAnsi" w:hAnsi="Arial" w:cs="Arial"/>
          <w:sz w:val="24"/>
          <w:szCs w:val="24"/>
        </w:rPr>
      </w:pPr>
      <w:r>
        <w:rPr>
          <w:rFonts w:ascii="Arial" w:eastAsiaTheme="minorHAnsi" w:hAnsi="Arial" w:cs="Arial"/>
          <w:noProof/>
          <w:sz w:val="24"/>
          <w:szCs w:val="24"/>
        </w:rPr>
        <w:drawing>
          <wp:inline distT="0" distB="0" distL="0" distR="0">
            <wp:extent cx="5729468" cy="2639027"/>
            <wp:effectExtent l="0" t="0" r="5080" b="952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 Fig 1.tif"/>
                    <pic:cNvPicPr/>
                  </pic:nvPicPr>
                  <pic:blipFill rotWithShape="1">
                    <a:blip r:embed="rId7" cstate="print">
                      <a:extLst>
                        <a:ext uri="{28A0092B-C50C-407E-A947-70E740481C1C}">
                          <a14:useLocalDpi xmlns:a14="http://schemas.microsoft.com/office/drawing/2010/main" val="0"/>
                        </a:ext>
                      </a:extLst>
                    </a:blip>
                    <a:srcRect b="63153"/>
                    <a:stretch/>
                  </pic:blipFill>
                  <pic:spPr bwMode="auto">
                    <a:xfrm>
                      <a:off x="0" y="0"/>
                      <a:ext cx="5731510" cy="2639968"/>
                    </a:xfrm>
                    <a:prstGeom prst="rect">
                      <a:avLst/>
                    </a:prstGeom>
                    <a:ln>
                      <a:noFill/>
                    </a:ln>
                    <a:extLst>
                      <a:ext uri="{53640926-AAD7-44D8-BBD7-CCE9431645EC}">
                        <a14:shadowObscured xmlns:a14="http://schemas.microsoft.com/office/drawing/2010/main"/>
                      </a:ext>
                    </a:extLst>
                  </pic:spPr>
                </pic:pic>
              </a:graphicData>
            </a:graphic>
          </wp:inline>
        </w:drawing>
      </w:r>
    </w:p>
    <w:p w:rsidR="00AE6EE6" w:rsidRDefault="00AE6EE6">
      <w:pPr>
        <w:rPr>
          <w:rFonts w:ascii="Arial" w:eastAsiaTheme="minorHAnsi" w:hAnsi="Arial" w:cs="Arial"/>
          <w:sz w:val="24"/>
          <w:szCs w:val="24"/>
        </w:rPr>
      </w:pPr>
    </w:p>
    <w:p w:rsidR="00D577F5" w:rsidRDefault="00AE6EE6" w:rsidP="001B53A5">
      <w:pPr>
        <w:spacing w:line="360" w:lineRule="auto"/>
        <w:rPr>
          <w:rFonts w:ascii="Arial" w:eastAsiaTheme="minorHAnsi" w:hAnsi="Arial" w:cs="Arial"/>
          <w:sz w:val="24"/>
          <w:szCs w:val="24"/>
        </w:rPr>
      </w:pPr>
      <w:r w:rsidRPr="001B53A5">
        <w:rPr>
          <w:rFonts w:ascii="Arial" w:eastAsiaTheme="minorHAnsi" w:hAnsi="Arial" w:cs="Arial" w:hint="eastAsia"/>
          <w:b/>
          <w:sz w:val="24"/>
          <w:szCs w:val="24"/>
        </w:rPr>
        <w:t>Supplementary Fig</w:t>
      </w:r>
      <w:r w:rsidR="0075024B">
        <w:rPr>
          <w:rFonts w:ascii="Arial" w:eastAsiaTheme="minorHAnsi" w:hAnsi="Arial" w:cs="Arial" w:hint="eastAsia"/>
          <w:b/>
          <w:sz w:val="24"/>
          <w:szCs w:val="24"/>
        </w:rPr>
        <w:t>.</w:t>
      </w:r>
      <w:r w:rsidRPr="001B53A5">
        <w:rPr>
          <w:rFonts w:ascii="Arial" w:eastAsiaTheme="minorHAnsi" w:hAnsi="Arial" w:cs="Arial" w:hint="eastAsia"/>
          <w:b/>
          <w:sz w:val="24"/>
          <w:szCs w:val="24"/>
        </w:rPr>
        <w:t xml:space="preserve"> 1</w:t>
      </w:r>
      <w:r w:rsidRPr="001B53A5">
        <w:rPr>
          <w:rFonts w:ascii="Arial" w:eastAsiaTheme="minorHAnsi" w:hAnsi="Arial" w:cs="Arial" w:hint="eastAsia"/>
          <w:sz w:val="24"/>
          <w:szCs w:val="24"/>
        </w:rPr>
        <w:t xml:space="preserve"> </w:t>
      </w:r>
      <w:r w:rsidR="001B53A5" w:rsidRPr="001B53A5">
        <w:rPr>
          <w:rFonts w:ascii="Arial" w:eastAsiaTheme="minorHAnsi" w:hAnsi="Arial" w:cs="Arial"/>
          <w:sz w:val="24"/>
          <w:szCs w:val="24"/>
        </w:rPr>
        <w:t>FACS analysis data showing the levels of IFN-</w:t>
      </w:r>
      <w:r w:rsidR="001B53A5" w:rsidRPr="001B53A5">
        <w:rPr>
          <w:rFonts w:ascii="Arial" w:eastAsia="BSGulliver" w:hAnsi="Arial" w:cs="Arial"/>
          <w:kern w:val="0"/>
          <w:sz w:val="24"/>
          <w:szCs w:val="24"/>
        </w:rPr>
        <w:t>γ</w:t>
      </w:r>
      <w:r w:rsidR="001B53A5" w:rsidRPr="001B53A5">
        <w:rPr>
          <w:rFonts w:ascii="Arial" w:hAnsi="Arial" w:cs="Arial"/>
          <w:kern w:val="0"/>
          <w:sz w:val="24"/>
          <w:szCs w:val="24"/>
        </w:rPr>
        <w:t xml:space="preserve"> in AML-MNCs. Similar to the transcript levels, </w:t>
      </w:r>
      <w:r w:rsidR="001B53A5" w:rsidRPr="001B53A5">
        <w:rPr>
          <w:rFonts w:ascii="Arial" w:eastAsiaTheme="minorHAnsi" w:hAnsi="Arial" w:cs="Arial"/>
          <w:sz w:val="24"/>
          <w:szCs w:val="24"/>
        </w:rPr>
        <w:t>IFN-</w:t>
      </w:r>
      <w:r w:rsidR="001B53A5" w:rsidRPr="001B53A5">
        <w:rPr>
          <w:rFonts w:ascii="Arial" w:eastAsia="BSGulliver" w:hAnsi="Arial" w:cs="Arial"/>
          <w:kern w:val="0"/>
          <w:sz w:val="24"/>
          <w:szCs w:val="24"/>
        </w:rPr>
        <w:t>γ</w:t>
      </w:r>
      <w:r w:rsidR="001B53A5" w:rsidRPr="001B53A5">
        <w:rPr>
          <w:rFonts w:ascii="Arial" w:hAnsi="Arial" w:cs="Arial"/>
          <w:kern w:val="0"/>
          <w:sz w:val="24"/>
          <w:szCs w:val="24"/>
        </w:rPr>
        <w:t xml:space="preserve"> was gradually increased by p</w:t>
      </w:r>
      <w:r w:rsidR="001B53A5" w:rsidRPr="001B53A5">
        <w:rPr>
          <w:rFonts w:ascii="Arial" w:eastAsiaTheme="minorHAnsi" w:hAnsi="Arial" w:cs="Arial"/>
          <w:sz w:val="24"/>
          <w:szCs w:val="24"/>
        </w:rPr>
        <w:t>eptides 4, 6, 11, and 12. In addition, these levels were all higher than with MAZ51 treatment.</w:t>
      </w:r>
    </w:p>
    <w:p w:rsidR="00717C9C" w:rsidRPr="001B53A5" w:rsidRDefault="00717C9C" w:rsidP="001B53A5">
      <w:pPr>
        <w:spacing w:line="360" w:lineRule="auto"/>
        <w:rPr>
          <w:rFonts w:ascii="Arial" w:eastAsiaTheme="minorHAnsi" w:hAnsi="Arial" w:cs="Arial"/>
          <w:sz w:val="24"/>
          <w:szCs w:val="24"/>
        </w:rPr>
      </w:pPr>
    </w:p>
    <w:p w:rsidR="00AE6EE6" w:rsidRPr="001B53A5" w:rsidRDefault="00AE6EE6" w:rsidP="001B53A5">
      <w:pPr>
        <w:spacing w:line="360" w:lineRule="auto"/>
        <w:rPr>
          <w:rFonts w:ascii="Arial" w:eastAsiaTheme="minorHAnsi" w:hAnsi="Arial" w:cs="Arial"/>
          <w:sz w:val="24"/>
          <w:szCs w:val="24"/>
        </w:rPr>
      </w:pPr>
    </w:p>
    <w:p w:rsidR="00AE6EE6" w:rsidRDefault="000B0440">
      <w:pPr>
        <w:rPr>
          <w:rFonts w:ascii="Arial" w:eastAsiaTheme="minorHAnsi" w:hAnsi="Arial" w:cs="Arial"/>
          <w:sz w:val="24"/>
          <w:szCs w:val="24"/>
        </w:rPr>
      </w:pPr>
      <w:r>
        <w:rPr>
          <w:rFonts w:ascii="Arial" w:eastAsiaTheme="minorHAnsi" w:hAnsi="Arial" w:cs="Arial"/>
          <w:noProof/>
          <w:sz w:val="24"/>
          <w:szCs w:val="24"/>
        </w:rPr>
        <w:lastRenderedPageBreak/>
        <w:drawing>
          <wp:inline distT="0" distB="0" distL="0" distR="0">
            <wp:extent cx="5995686" cy="4803493"/>
            <wp:effectExtent l="0" t="0" r="5080" b="0"/>
            <wp:docPr id="1" name="그림 0" descr="Supple 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 Fig 2.tif"/>
                    <pic:cNvPicPr/>
                  </pic:nvPicPr>
                  <pic:blipFill rotWithShape="1">
                    <a:blip r:embed="rId8" cstate="print"/>
                    <a:srcRect b="35984"/>
                    <a:stretch/>
                  </pic:blipFill>
                  <pic:spPr bwMode="auto">
                    <a:xfrm>
                      <a:off x="0" y="0"/>
                      <a:ext cx="6007374" cy="4812857"/>
                    </a:xfrm>
                    <a:prstGeom prst="rect">
                      <a:avLst/>
                    </a:prstGeom>
                    <a:ln>
                      <a:noFill/>
                    </a:ln>
                    <a:extLst>
                      <a:ext uri="{53640926-AAD7-44D8-BBD7-CCE9431645EC}">
                        <a14:shadowObscured xmlns:a14="http://schemas.microsoft.com/office/drawing/2010/main"/>
                      </a:ext>
                    </a:extLst>
                  </pic:spPr>
                </pic:pic>
              </a:graphicData>
            </a:graphic>
          </wp:inline>
        </w:drawing>
      </w:r>
    </w:p>
    <w:p w:rsidR="001B53A5" w:rsidRPr="001B53A5" w:rsidRDefault="001B53A5" w:rsidP="001B53A5">
      <w:pPr>
        <w:wordWrap/>
        <w:adjustRightInd w:val="0"/>
        <w:spacing w:line="360" w:lineRule="auto"/>
        <w:rPr>
          <w:rFonts w:ascii="Arial" w:eastAsiaTheme="minorHAnsi" w:hAnsi="Arial" w:cs="Arial"/>
          <w:sz w:val="24"/>
          <w:szCs w:val="24"/>
        </w:rPr>
      </w:pPr>
      <w:proofErr w:type="gramStart"/>
      <w:r w:rsidRPr="001B53A5">
        <w:rPr>
          <w:rFonts w:ascii="Arial" w:hAnsi="Arial" w:cs="Arial"/>
          <w:b/>
          <w:kern w:val="0"/>
          <w:sz w:val="24"/>
          <w:szCs w:val="24"/>
        </w:rPr>
        <w:t>Supplementary</w:t>
      </w:r>
      <w:r w:rsidRPr="001B53A5">
        <w:rPr>
          <w:rFonts w:ascii="Arial" w:hAnsi="Arial" w:cs="Arial"/>
          <w:kern w:val="0"/>
          <w:sz w:val="24"/>
          <w:szCs w:val="24"/>
        </w:rPr>
        <w:t xml:space="preserve"> </w:t>
      </w:r>
      <w:r w:rsidRPr="001B53A5">
        <w:rPr>
          <w:rFonts w:ascii="Arial" w:hAnsi="Arial" w:cs="Arial"/>
          <w:b/>
          <w:bCs/>
          <w:kern w:val="0"/>
          <w:sz w:val="24"/>
          <w:szCs w:val="24"/>
        </w:rPr>
        <w:t>Fig</w:t>
      </w:r>
      <w:r w:rsidR="0075024B">
        <w:rPr>
          <w:rFonts w:ascii="Arial" w:hAnsi="Arial" w:cs="Arial" w:hint="eastAsia"/>
          <w:b/>
          <w:bCs/>
          <w:kern w:val="0"/>
          <w:sz w:val="24"/>
          <w:szCs w:val="24"/>
        </w:rPr>
        <w:t>.</w:t>
      </w:r>
      <w:r w:rsidRPr="001B53A5">
        <w:rPr>
          <w:rFonts w:ascii="Arial" w:hAnsi="Arial" w:cs="Arial"/>
          <w:b/>
          <w:bCs/>
          <w:kern w:val="0"/>
          <w:sz w:val="24"/>
          <w:szCs w:val="24"/>
        </w:rPr>
        <w:t xml:space="preserve"> 2</w:t>
      </w:r>
      <w:r w:rsidRPr="001B53A5">
        <w:rPr>
          <w:rFonts w:ascii="Arial" w:hAnsi="Arial" w:cs="Arial"/>
          <w:kern w:val="0"/>
          <w:sz w:val="24"/>
          <w:szCs w:val="24"/>
        </w:rPr>
        <w:t xml:space="preserve"> </w:t>
      </w:r>
      <w:r w:rsidRPr="001B53A5">
        <w:rPr>
          <w:rFonts w:ascii="Arial" w:eastAsiaTheme="minorHAnsi" w:hAnsi="Arial" w:cs="Arial"/>
          <w:sz w:val="24"/>
          <w:szCs w:val="24"/>
        </w:rPr>
        <w:t>The therapeutic potential of peptide 4 in leukemic mice.</w:t>
      </w:r>
      <w:proofErr w:type="gramEnd"/>
      <w:r w:rsidRPr="001B53A5">
        <w:rPr>
          <w:rFonts w:ascii="Arial" w:eastAsiaTheme="minorHAnsi" w:hAnsi="Arial" w:cs="Arial"/>
          <w:sz w:val="24"/>
          <w:szCs w:val="24"/>
        </w:rPr>
        <w:t xml:space="preserve"> The expression of lymphoid lineage cells is shown in the PB, BM, and spleen tissue of leukemic mice (n=4)</w:t>
      </w:r>
      <w:r w:rsidRPr="001B53A5">
        <w:rPr>
          <w:rFonts w:ascii="Arial" w:hAnsi="Arial" w:cs="Arial"/>
          <w:kern w:val="0"/>
          <w:sz w:val="24"/>
          <w:szCs w:val="24"/>
        </w:rPr>
        <w:t xml:space="preserve">. </w:t>
      </w:r>
      <w:r w:rsidRPr="001B53A5">
        <w:rPr>
          <w:rFonts w:ascii="Arial" w:eastAsiaTheme="minorHAnsi" w:hAnsi="Arial" w:cs="Arial"/>
          <w:sz w:val="24"/>
          <w:szCs w:val="24"/>
        </w:rPr>
        <w:t xml:space="preserve">The data shown represent the means of independent experiments. </w:t>
      </w:r>
      <w:r w:rsidRPr="001B53A5">
        <w:rPr>
          <w:rFonts w:ascii="Arial" w:eastAsia="BSGulliver" w:hAnsi="Arial" w:cs="Arial"/>
          <w:kern w:val="0"/>
          <w:sz w:val="24"/>
          <w:szCs w:val="24"/>
        </w:rPr>
        <w:t>Asterisks indicate statistically significant differences</w:t>
      </w:r>
      <w:r w:rsidRPr="001B53A5">
        <w:rPr>
          <w:rFonts w:ascii="Arial" w:hAnsi="Arial" w:cs="Arial"/>
          <w:kern w:val="0"/>
          <w:sz w:val="24"/>
          <w:szCs w:val="24"/>
        </w:rPr>
        <w:t xml:space="preserve"> </w:t>
      </w:r>
      <w:r w:rsidRPr="001B53A5">
        <w:rPr>
          <w:rFonts w:ascii="Arial" w:eastAsia="BSGulliver" w:hAnsi="Arial" w:cs="Arial"/>
          <w:kern w:val="0"/>
          <w:sz w:val="24"/>
          <w:szCs w:val="24"/>
        </w:rPr>
        <w:t xml:space="preserve">compared with the </w:t>
      </w:r>
      <w:r w:rsidRPr="001B53A5">
        <w:rPr>
          <w:rFonts w:ascii="Arial" w:hAnsi="Arial" w:cs="Arial"/>
          <w:kern w:val="0"/>
          <w:sz w:val="24"/>
          <w:szCs w:val="24"/>
        </w:rPr>
        <w:t xml:space="preserve">leukemic </w:t>
      </w:r>
      <w:r w:rsidRPr="001B53A5">
        <w:rPr>
          <w:rFonts w:ascii="Arial" w:eastAsia="BSGulliver" w:hAnsi="Arial" w:cs="Arial"/>
          <w:kern w:val="0"/>
          <w:sz w:val="24"/>
          <w:szCs w:val="24"/>
        </w:rPr>
        <w:t xml:space="preserve">groups </w:t>
      </w:r>
      <w:r w:rsidRPr="001B53A5">
        <w:rPr>
          <w:rFonts w:ascii="Arial" w:hAnsi="Arial" w:cs="Arial"/>
          <w:kern w:val="0"/>
          <w:sz w:val="24"/>
          <w:szCs w:val="24"/>
        </w:rPr>
        <w:t>(</w:t>
      </w:r>
      <w:r w:rsidRPr="001B53A5">
        <w:rPr>
          <w:rFonts w:ascii="Arial" w:eastAsia="BSGulliver" w:hAnsi="Arial" w:cs="Arial"/>
          <w:kern w:val="0"/>
          <w:sz w:val="24"/>
          <w:szCs w:val="24"/>
        </w:rPr>
        <w:t>*</w:t>
      </w:r>
      <w:r w:rsidRPr="001B53A5">
        <w:rPr>
          <w:rFonts w:ascii="Arial" w:hAnsi="Arial" w:cs="Arial"/>
          <w:kern w:val="0"/>
          <w:sz w:val="24"/>
          <w:szCs w:val="24"/>
        </w:rPr>
        <w:t>**</w:t>
      </w:r>
      <w:r w:rsidRPr="001B53A5">
        <w:rPr>
          <w:rFonts w:ascii="Arial" w:eastAsia="BSGulliver-Italic" w:hAnsi="Arial" w:cs="Arial"/>
          <w:i/>
          <w:iCs/>
          <w:kern w:val="0"/>
          <w:sz w:val="24"/>
          <w:szCs w:val="24"/>
        </w:rPr>
        <w:t xml:space="preserve">P </w:t>
      </w:r>
      <w:r w:rsidRPr="001B53A5">
        <w:rPr>
          <w:rFonts w:ascii="Arial" w:eastAsia="BSSymbol-Medium" w:hAnsi="Arial" w:cs="Arial"/>
          <w:kern w:val="0"/>
          <w:sz w:val="24"/>
          <w:szCs w:val="24"/>
        </w:rPr>
        <w:t xml:space="preserve">&lt; </w:t>
      </w:r>
      <w:r w:rsidRPr="001B53A5">
        <w:rPr>
          <w:rFonts w:ascii="Arial" w:eastAsia="BSGulliver" w:hAnsi="Arial" w:cs="Arial"/>
          <w:kern w:val="0"/>
          <w:sz w:val="24"/>
          <w:szCs w:val="24"/>
        </w:rPr>
        <w:t>0.0</w:t>
      </w:r>
      <w:r w:rsidRPr="001B53A5">
        <w:rPr>
          <w:rFonts w:ascii="Arial" w:hAnsi="Arial" w:cs="Arial"/>
          <w:kern w:val="0"/>
          <w:sz w:val="24"/>
          <w:szCs w:val="24"/>
        </w:rPr>
        <w:t xml:space="preserve">01, </w:t>
      </w:r>
      <w:r w:rsidRPr="001B53A5">
        <w:rPr>
          <w:rFonts w:ascii="Arial" w:eastAsia="BSGulliver" w:hAnsi="Arial" w:cs="Arial"/>
          <w:kern w:val="0"/>
          <w:sz w:val="24"/>
          <w:szCs w:val="24"/>
        </w:rPr>
        <w:t>*</w:t>
      </w:r>
      <w:r w:rsidRPr="001B53A5">
        <w:rPr>
          <w:rFonts w:ascii="Arial" w:hAnsi="Arial" w:cs="Arial"/>
          <w:kern w:val="0"/>
          <w:sz w:val="24"/>
          <w:szCs w:val="24"/>
        </w:rPr>
        <w:t>*</w:t>
      </w:r>
      <w:r w:rsidRPr="001B53A5">
        <w:rPr>
          <w:rFonts w:ascii="Arial" w:eastAsia="BSGulliver-Italic" w:hAnsi="Arial" w:cs="Arial"/>
          <w:i/>
          <w:iCs/>
          <w:kern w:val="0"/>
          <w:sz w:val="24"/>
          <w:szCs w:val="24"/>
        </w:rPr>
        <w:t xml:space="preserve">P </w:t>
      </w:r>
      <w:r w:rsidRPr="001B53A5">
        <w:rPr>
          <w:rFonts w:ascii="Arial" w:eastAsia="BSSymbol-Medium" w:hAnsi="Arial" w:cs="Arial"/>
          <w:kern w:val="0"/>
          <w:sz w:val="24"/>
          <w:szCs w:val="24"/>
        </w:rPr>
        <w:t xml:space="preserve">&lt; </w:t>
      </w:r>
      <w:r w:rsidRPr="001B53A5">
        <w:rPr>
          <w:rFonts w:ascii="Arial" w:eastAsia="BSGulliver" w:hAnsi="Arial" w:cs="Arial"/>
          <w:kern w:val="0"/>
          <w:sz w:val="24"/>
          <w:szCs w:val="24"/>
        </w:rPr>
        <w:t>0.0</w:t>
      </w:r>
      <w:r w:rsidRPr="001B53A5">
        <w:rPr>
          <w:rFonts w:ascii="Arial" w:hAnsi="Arial" w:cs="Arial"/>
          <w:kern w:val="0"/>
          <w:sz w:val="24"/>
          <w:szCs w:val="24"/>
        </w:rPr>
        <w:t xml:space="preserve">1, </w:t>
      </w:r>
      <w:r w:rsidRPr="001B53A5">
        <w:rPr>
          <w:rFonts w:ascii="Arial" w:eastAsia="BSGulliver" w:hAnsi="Arial" w:cs="Arial"/>
          <w:kern w:val="0"/>
          <w:sz w:val="24"/>
          <w:szCs w:val="24"/>
        </w:rPr>
        <w:t>*</w:t>
      </w:r>
      <w:r w:rsidRPr="001B53A5">
        <w:rPr>
          <w:rFonts w:ascii="Arial" w:eastAsia="BSGulliver-Italic" w:hAnsi="Arial" w:cs="Arial"/>
          <w:i/>
          <w:iCs/>
          <w:kern w:val="0"/>
          <w:sz w:val="24"/>
          <w:szCs w:val="24"/>
        </w:rPr>
        <w:t xml:space="preserve">P </w:t>
      </w:r>
      <w:r w:rsidRPr="001B53A5">
        <w:rPr>
          <w:rFonts w:ascii="Arial" w:eastAsia="BSSymbol-Medium" w:hAnsi="Arial" w:cs="Arial"/>
          <w:kern w:val="0"/>
          <w:sz w:val="24"/>
          <w:szCs w:val="24"/>
        </w:rPr>
        <w:t xml:space="preserve">&lt; </w:t>
      </w:r>
      <w:r w:rsidRPr="001B53A5">
        <w:rPr>
          <w:rFonts w:ascii="Arial" w:eastAsia="BSGulliver" w:hAnsi="Arial" w:cs="Arial"/>
          <w:kern w:val="0"/>
          <w:sz w:val="24"/>
          <w:szCs w:val="24"/>
        </w:rPr>
        <w:t>0.0</w:t>
      </w:r>
      <w:r w:rsidRPr="001B53A5">
        <w:rPr>
          <w:rFonts w:ascii="Arial" w:hAnsi="Arial" w:cs="Arial"/>
          <w:kern w:val="0"/>
          <w:sz w:val="24"/>
          <w:szCs w:val="24"/>
        </w:rPr>
        <w:t xml:space="preserve">5). The numbers for each group are as follows: </w:t>
      </w:r>
      <w:r w:rsidRPr="001B53A5">
        <w:rPr>
          <w:rFonts w:ascii="Arial" w:eastAsiaTheme="minorHAnsi" w:hAnsi="Arial" w:cs="Arial"/>
          <w:sz w:val="24"/>
          <w:szCs w:val="24"/>
        </w:rPr>
        <w:t xml:space="preserve">1, C1498-injected group; 2, ara-C group; 3, peptide-only group; 4, ara-C and peptide combination group; 5, </w:t>
      </w:r>
      <w:r w:rsidRPr="001B53A5">
        <w:rPr>
          <w:rFonts w:ascii="Arial" w:eastAsiaTheme="minorHAnsi" w:hAnsi="Arial" w:cs="Arial"/>
          <w:i/>
          <w:iCs/>
          <w:sz w:val="24"/>
          <w:szCs w:val="24"/>
        </w:rPr>
        <w:t>Ex vivo</w:t>
      </w:r>
      <w:r w:rsidRPr="001B53A5">
        <w:rPr>
          <w:rFonts w:ascii="Arial" w:eastAsiaTheme="minorHAnsi" w:hAnsi="Arial" w:cs="Arial"/>
          <w:sz w:val="24"/>
          <w:szCs w:val="24"/>
        </w:rPr>
        <w:t xml:space="preserve"> non-cultured NK, ara-C, and peptide group; 6, </w:t>
      </w:r>
      <w:r w:rsidRPr="001B53A5">
        <w:rPr>
          <w:rFonts w:ascii="Arial" w:eastAsiaTheme="minorHAnsi" w:hAnsi="Arial" w:cs="Arial"/>
          <w:i/>
          <w:iCs/>
          <w:sz w:val="24"/>
          <w:szCs w:val="24"/>
        </w:rPr>
        <w:t>Ex vivo</w:t>
      </w:r>
      <w:r w:rsidRPr="001B53A5">
        <w:rPr>
          <w:rFonts w:ascii="Arial" w:eastAsiaTheme="minorHAnsi" w:hAnsi="Arial" w:cs="Arial"/>
          <w:sz w:val="24"/>
          <w:szCs w:val="24"/>
        </w:rPr>
        <w:t xml:space="preserve"> cultured NK, ara-C, and peptide group.</w:t>
      </w:r>
    </w:p>
    <w:p w:rsidR="00AE6EE6" w:rsidRPr="001B53A5" w:rsidRDefault="00AE6EE6" w:rsidP="001B53A5">
      <w:pPr>
        <w:spacing w:line="360" w:lineRule="auto"/>
        <w:rPr>
          <w:rFonts w:ascii="Arial" w:eastAsiaTheme="minorHAnsi" w:hAnsi="Arial" w:cs="Arial"/>
          <w:sz w:val="24"/>
          <w:szCs w:val="24"/>
        </w:rPr>
      </w:pPr>
    </w:p>
    <w:p w:rsidR="004C5D56" w:rsidRDefault="004C5D56">
      <w:pPr>
        <w:rPr>
          <w:sz w:val="24"/>
          <w:szCs w:val="24"/>
        </w:rPr>
      </w:pPr>
    </w:p>
    <w:p w:rsidR="0075024B" w:rsidRDefault="0075024B">
      <w:pPr>
        <w:rPr>
          <w:sz w:val="24"/>
          <w:szCs w:val="24"/>
        </w:rPr>
      </w:pPr>
    </w:p>
    <w:p w:rsidR="0075024B" w:rsidRDefault="0075024B">
      <w:pPr>
        <w:rPr>
          <w:sz w:val="24"/>
          <w:szCs w:val="24"/>
        </w:rPr>
      </w:pPr>
    </w:p>
    <w:p w:rsidR="0075024B" w:rsidRDefault="0075024B">
      <w:pPr>
        <w:rPr>
          <w:sz w:val="24"/>
          <w:szCs w:val="24"/>
        </w:rPr>
      </w:pPr>
    </w:p>
    <w:p w:rsidR="0075024B" w:rsidRDefault="0075024B">
      <w:pPr>
        <w:rPr>
          <w:sz w:val="24"/>
          <w:szCs w:val="24"/>
        </w:rPr>
      </w:pPr>
    </w:p>
    <w:tbl>
      <w:tblPr>
        <w:tblW w:w="7760" w:type="dxa"/>
        <w:tblInd w:w="84" w:type="dxa"/>
        <w:tblCellMar>
          <w:left w:w="99" w:type="dxa"/>
          <w:right w:w="99" w:type="dxa"/>
        </w:tblCellMar>
        <w:tblLook w:val="04A0" w:firstRow="1" w:lastRow="0" w:firstColumn="1" w:lastColumn="0" w:noHBand="0" w:noVBand="1"/>
      </w:tblPr>
      <w:tblGrid>
        <w:gridCol w:w="2280"/>
        <w:gridCol w:w="5480"/>
      </w:tblGrid>
      <w:tr w:rsidR="00AE6EE6" w:rsidRPr="00CD6917" w:rsidTr="00BF6CCF">
        <w:trPr>
          <w:trHeight w:val="345"/>
        </w:trPr>
        <w:tc>
          <w:tcPr>
            <w:tcW w:w="7760" w:type="dxa"/>
            <w:gridSpan w:val="2"/>
            <w:tcBorders>
              <w:top w:val="nil"/>
              <w:left w:val="nil"/>
              <w:bottom w:val="nil"/>
              <w:right w:val="nil"/>
            </w:tcBorders>
            <w:shd w:val="clear" w:color="auto" w:fill="auto"/>
            <w:noWrap/>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1B53A5">
              <w:rPr>
                <w:rFonts w:ascii="Arial" w:eastAsia="맑은 고딕" w:hAnsi="Arial" w:cs="Arial"/>
                <w:b/>
                <w:color w:val="000000"/>
                <w:kern w:val="0"/>
                <w:sz w:val="24"/>
                <w:szCs w:val="24"/>
              </w:rPr>
              <w:lastRenderedPageBreak/>
              <w:t xml:space="preserve">Supplementary Table 1. </w:t>
            </w:r>
            <w:r w:rsidRPr="00CD6917">
              <w:rPr>
                <w:rFonts w:ascii="Arial" w:eastAsia="맑은 고딕" w:hAnsi="Arial" w:cs="Arial"/>
                <w:color w:val="000000"/>
                <w:kern w:val="0"/>
                <w:sz w:val="24"/>
                <w:szCs w:val="24"/>
              </w:rPr>
              <w:t>Sequence of the peptides selected by binding to FLT4</w:t>
            </w:r>
          </w:p>
        </w:tc>
      </w:tr>
      <w:tr w:rsidR="00AE6EE6" w:rsidRPr="00CD6917" w:rsidTr="00BF6CCF">
        <w:trPr>
          <w:trHeight w:val="345"/>
        </w:trPr>
        <w:tc>
          <w:tcPr>
            <w:tcW w:w="2280" w:type="dxa"/>
            <w:tcBorders>
              <w:top w:val="single" w:sz="8" w:space="0" w:color="000000"/>
              <w:left w:val="nil"/>
              <w:bottom w:val="single" w:sz="8" w:space="0" w:color="000000"/>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Peptide ID</w:t>
            </w:r>
          </w:p>
        </w:tc>
        <w:tc>
          <w:tcPr>
            <w:tcW w:w="5480" w:type="dxa"/>
            <w:tcBorders>
              <w:top w:val="single" w:sz="8" w:space="0" w:color="000000"/>
              <w:left w:val="nil"/>
              <w:bottom w:val="single" w:sz="8" w:space="0" w:color="000000"/>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Peptide Sequence</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P1</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CNYSHLFYC</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P2</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CYYGQSKYC</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P3</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SHMKYSHLFYC</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P5</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RQATAYGVP</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P7</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EFVEGKNKTVSKL</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P8</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EFVEGKNTVSKL</w:t>
            </w:r>
          </w:p>
        </w:tc>
      </w:tr>
      <w:tr w:rsidR="00AE6EE6" w:rsidRPr="00CD6917" w:rsidTr="00BF6CCF">
        <w:trPr>
          <w:trHeight w:val="330"/>
        </w:trPr>
        <w:tc>
          <w:tcPr>
            <w:tcW w:w="22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P9</w:t>
            </w:r>
          </w:p>
        </w:tc>
        <w:tc>
          <w:tcPr>
            <w:tcW w:w="5480" w:type="dxa"/>
            <w:tcBorders>
              <w:top w:val="nil"/>
              <w:left w:val="nil"/>
              <w:bottom w:val="nil"/>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EFVEGKNLTVSKL</w:t>
            </w:r>
          </w:p>
        </w:tc>
      </w:tr>
      <w:tr w:rsidR="00AE6EE6" w:rsidRPr="00CD6917" w:rsidTr="00BF6CCF">
        <w:trPr>
          <w:trHeight w:val="345"/>
        </w:trPr>
        <w:tc>
          <w:tcPr>
            <w:tcW w:w="2280" w:type="dxa"/>
            <w:tcBorders>
              <w:top w:val="nil"/>
              <w:left w:val="nil"/>
              <w:bottom w:val="single" w:sz="8" w:space="0" w:color="auto"/>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P10</w:t>
            </w:r>
          </w:p>
        </w:tc>
        <w:tc>
          <w:tcPr>
            <w:tcW w:w="5480" w:type="dxa"/>
            <w:tcBorders>
              <w:top w:val="nil"/>
              <w:left w:val="nil"/>
              <w:bottom w:val="single" w:sz="8" w:space="0" w:color="auto"/>
              <w:right w:val="nil"/>
            </w:tcBorders>
            <w:shd w:val="clear" w:color="auto" w:fill="auto"/>
            <w:vAlign w:val="center"/>
            <w:hideMark/>
          </w:tcPr>
          <w:p w:rsidR="00AE6EE6" w:rsidRPr="00CD6917" w:rsidRDefault="00AE6EE6" w:rsidP="00BF6CCF">
            <w:pPr>
              <w:widowControl/>
              <w:wordWrap/>
              <w:autoSpaceDE/>
              <w:autoSpaceDN/>
              <w:jc w:val="left"/>
              <w:rPr>
                <w:rFonts w:ascii="Arial" w:eastAsia="맑은 고딕" w:hAnsi="Arial" w:cs="Arial"/>
                <w:color w:val="000000"/>
                <w:kern w:val="0"/>
                <w:sz w:val="24"/>
                <w:szCs w:val="24"/>
              </w:rPr>
            </w:pPr>
            <w:r w:rsidRPr="00CD6917">
              <w:rPr>
                <w:rFonts w:ascii="Arial" w:eastAsia="맑은 고딕" w:hAnsi="Arial" w:cs="Arial"/>
                <w:color w:val="000000"/>
                <w:kern w:val="0"/>
                <w:sz w:val="24"/>
                <w:szCs w:val="24"/>
              </w:rPr>
              <w:t>KSIDNEWRKTGCMPREVA</w:t>
            </w:r>
          </w:p>
        </w:tc>
      </w:tr>
    </w:tbl>
    <w:p w:rsidR="00AE6EE6" w:rsidRPr="00CD6917" w:rsidRDefault="00AE6EE6" w:rsidP="00AE6EE6">
      <w:pPr>
        <w:rPr>
          <w:rFonts w:ascii="Arial" w:hAnsi="Arial" w:cs="Arial"/>
          <w:sz w:val="24"/>
          <w:szCs w:val="24"/>
        </w:rPr>
      </w:pPr>
    </w:p>
    <w:p w:rsidR="00AE6EE6" w:rsidRPr="00AE6EE6" w:rsidRDefault="00AE6EE6">
      <w:pPr>
        <w:rPr>
          <w:sz w:val="24"/>
          <w:szCs w:val="24"/>
        </w:rPr>
      </w:pPr>
    </w:p>
    <w:sectPr w:rsidR="00AE6EE6" w:rsidRPr="00AE6EE6" w:rsidSect="001C0DE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028" w:rsidRDefault="00726028" w:rsidP="00E56E92">
      <w:r>
        <w:separator/>
      </w:r>
    </w:p>
  </w:endnote>
  <w:endnote w:type="continuationSeparator" w:id="0">
    <w:p w:rsidR="00726028" w:rsidRDefault="00726028" w:rsidP="00E5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SGulliver">
    <w:altName w:val="MS Gothic"/>
    <w:panose1 w:val="00000000000000000000"/>
    <w:charset w:val="80"/>
    <w:family w:val="auto"/>
    <w:notTrueType/>
    <w:pitch w:val="default"/>
    <w:sig w:usb0="00000001" w:usb1="08070000" w:usb2="00000010" w:usb3="00000000" w:csb0="00020000" w:csb1="00000000"/>
  </w:font>
  <w:font w:name="BSGulliver-Italic">
    <w:altName w:val="맑은 고딕"/>
    <w:panose1 w:val="00000000000000000000"/>
    <w:charset w:val="81"/>
    <w:family w:val="auto"/>
    <w:notTrueType/>
    <w:pitch w:val="default"/>
    <w:sig w:usb0="00000001" w:usb1="09060000" w:usb2="00000010" w:usb3="00000000" w:csb0="00080000" w:csb1="00000000"/>
  </w:font>
  <w:font w:name="BSSymbol-Medium">
    <w:altName w:val="맑은 고딕"/>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028" w:rsidRDefault="00726028" w:rsidP="00E56E92">
      <w:r>
        <w:separator/>
      </w:r>
    </w:p>
  </w:footnote>
  <w:footnote w:type="continuationSeparator" w:id="0">
    <w:p w:rsidR="00726028" w:rsidRDefault="00726028" w:rsidP="00E56E9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J Kim">
    <w15:presenceInfo w15:providerId="Windows Live" w15:userId="e68a973055069d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E6"/>
    <w:rsid w:val="000B0440"/>
    <w:rsid w:val="000B4658"/>
    <w:rsid w:val="000F3CB3"/>
    <w:rsid w:val="0013171F"/>
    <w:rsid w:val="001B53A5"/>
    <w:rsid w:val="001C0DE6"/>
    <w:rsid w:val="00217BC4"/>
    <w:rsid w:val="0026436E"/>
    <w:rsid w:val="002A022A"/>
    <w:rsid w:val="004C5D56"/>
    <w:rsid w:val="004C7C2B"/>
    <w:rsid w:val="005235D2"/>
    <w:rsid w:val="0056403E"/>
    <w:rsid w:val="00717C9C"/>
    <w:rsid w:val="00726028"/>
    <w:rsid w:val="0075024B"/>
    <w:rsid w:val="008007B5"/>
    <w:rsid w:val="00801B75"/>
    <w:rsid w:val="00855B28"/>
    <w:rsid w:val="0097499C"/>
    <w:rsid w:val="00A62D36"/>
    <w:rsid w:val="00AB0D69"/>
    <w:rsid w:val="00AC28F5"/>
    <w:rsid w:val="00AC33F9"/>
    <w:rsid w:val="00AE6EE6"/>
    <w:rsid w:val="00B86D6A"/>
    <w:rsid w:val="00C61DAE"/>
    <w:rsid w:val="00E100EE"/>
    <w:rsid w:val="00E35313"/>
    <w:rsid w:val="00E56E92"/>
    <w:rsid w:val="00E753A7"/>
    <w:rsid w:val="00F042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DE6"/>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E6EE6"/>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AE6EE6"/>
    <w:rPr>
      <w:rFonts w:asciiTheme="majorHAnsi" w:eastAsiaTheme="majorEastAsia" w:hAnsiTheme="majorHAnsi" w:cstheme="majorBidi"/>
      <w:sz w:val="18"/>
      <w:szCs w:val="18"/>
    </w:rPr>
  </w:style>
  <w:style w:type="paragraph" w:styleId="a4">
    <w:name w:val="header"/>
    <w:basedOn w:val="a"/>
    <w:link w:val="Char0"/>
    <w:uiPriority w:val="99"/>
    <w:unhideWhenUsed/>
    <w:rsid w:val="00E56E92"/>
    <w:pPr>
      <w:tabs>
        <w:tab w:val="center" w:pos="4513"/>
        <w:tab w:val="right" w:pos="9026"/>
      </w:tabs>
      <w:snapToGrid w:val="0"/>
    </w:pPr>
  </w:style>
  <w:style w:type="character" w:customStyle="1" w:styleId="Char0">
    <w:name w:val="머리글 Char"/>
    <w:basedOn w:val="a0"/>
    <w:link w:val="a4"/>
    <w:uiPriority w:val="99"/>
    <w:rsid w:val="00E56E92"/>
  </w:style>
  <w:style w:type="paragraph" w:styleId="a5">
    <w:name w:val="footer"/>
    <w:basedOn w:val="a"/>
    <w:link w:val="Char1"/>
    <w:uiPriority w:val="99"/>
    <w:unhideWhenUsed/>
    <w:rsid w:val="00E56E92"/>
    <w:pPr>
      <w:tabs>
        <w:tab w:val="center" w:pos="4513"/>
        <w:tab w:val="right" w:pos="9026"/>
      </w:tabs>
      <w:snapToGrid w:val="0"/>
    </w:pPr>
  </w:style>
  <w:style w:type="character" w:customStyle="1" w:styleId="Char1">
    <w:name w:val="바닥글 Char"/>
    <w:basedOn w:val="a0"/>
    <w:link w:val="a5"/>
    <w:uiPriority w:val="99"/>
    <w:rsid w:val="00E56E92"/>
  </w:style>
  <w:style w:type="paragraph" w:styleId="a6">
    <w:name w:val="Revision"/>
    <w:hidden/>
    <w:uiPriority w:val="99"/>
    <w:semiHidden/>
    <w:rsid w:val="008007B5"/>
  </w:style>
  <w:style w:type="paragraph" w:styleId="a7">
    <w:name w:val="List Paragraph"/>
    <w:basedOn w:val="a"/>
    <w:uiPriority w:val="34"/>
    <w:qFormat/>
    <w:rsid w:val="00AC33F9"/>
    <w:pPr>
      <w:widowControl/>
      <w:wordWrap/>
      <w:autoSpaceDE/>
      <w:autoSpaceDN/>
      <w:spacing w:after="200" w:line="276" w:lineRule="auto"/>
      <w:ind w:left="720"/>
      <w:contextualSpacing/>
      <w:jc w:val="left"/>
    </w:pPr>
    <w:rPr>
      <w:kern w:val="0"/>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DE6"/>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E6EE6"/>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AE6EE6"/>
    <w:rPr>
      <w:rFonts w:asciiTheme="majorHAnsi" w:eastAsiaTheme="majorEastAsia" w:hAnsiTheme="majorHAnsi" w:cstheme="majorBidi"/>
      <w:sz w:val="18"/>
      <w:szCs w:val="18"/>
    </w:rPr>
  </w:style>
  <w:style w:type="paragraph" w:styleId="a4">
    <w:name w:val="header"/>
    <w:basedOn w:val="a"/>
    <w:link w:val="Char0"/>
    <w:uiPriority w:val="99"/>
    <w:unhideWhenUsed/>
    <w:rsid w:val="00E56E92"/>
    <w:pPr>
      <w:tabs>
        <w:tab w:val="center" w:pos="4513"/>
        <w:tab w:val="right" w:pos="9026"/>
      </w:tabs>
      <w:snapToGrid w:val="0"/>
    </w:pPr>
  </w:style>
  <w:style w:type="character" w:customStyle="1" w:styleId="Char0">
    <w:name w:val="머리글 Char"/>
    <w:basedOn w:val="a0"/>
    <w:link w:val="a4"/>
    <w:uiPriority w:val="99"/>
    <w:rsid w:val="00E56E92"/>
  </w:style>
  <w:style w:type="paragraph" w:styleId="a5">
    <w:name w:val="footer"/>
    <w:basedOn w:val="a"/>
    <w:link w:val="Char1"/>
    <w:uiPriority w:val="99"/>
    <w:unhideWhenUsed/>
    <w:rsid w:val="00E56E92"/>
    <w:pPr>
      <w:tabs>
        <w:tab w:val="center" w:pos="4513"/>
        <w:tab w:val="right" w:pos="9026"/>
      </w:tabs>
      <w:snapToGrid w:val="0"/>
    </w:pPr>
  </w:style>
  <w:style w:type="character" w:customStyle="1" w:styleId="Char1">
    <w:name w:val="바닥글 Char"/>
    <w:basedOn w:val="a0"/>
    <w:link w:val="a5"/>
    <w:uiPriority w:val="99"/>
    <w:rsid w:val="00E56E92"/>
  </w:style>
  <w:style w:type="paragraph" w:styleId="a6">
    <w:name w:val="Revision"/>
    <w:hidden/>
    <w:uiPriority w:val="99"/>
    <w:semiHidden/>
    <w:rsid w:val="008007B5"/>
  </w:style>
  <w:style w:type="paragraph" w:styleId="a7">
    <w:name w:val="List Paragraph"/>
    <w:basedOn w:val="a"/>
    <w:uiPriority w:val="34"/>
    <w:qFormat/>
    <w:rsid w:val="00AC33F9"/>
    <w:pPr>
      <w:widowControl/>
      <w:wordWrap/>
      <w:autoSpaceDE/>
      <w:autoSpaceDN/>
      <w:spacing w:after="200" w:line="276" w:lineRule="auto"/>
      <w:ind w:left="720"/>
      <w:contextualSpacing/>
      <w:jc w:val="left"/>
    </w:pPr>
    <w:rPr>
      <w:kern w:val="0"/>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665</Words>
  <Characters>3794</Characters>
  <Application>Microsoft Office Word</Application>
  <DocSecurity>0</DocSecurity>
  <Lines>31</Lines>
  <Paragraphs>8</Paragraphs>
  <ScaleCrop>false</ScaleCrop>
  <HeadingPairs>
    <vt:vector size="2" baseType="variant">
      <vt:variant>
        <vt:lpstr>제목</vt:lpstr>
      </vt:variant>
      <vt:variant>
        <vt:i4>1</vt:i4>
      </vt:variant>
    </vt:vector>
  </HeadingPairs>
  <TitlesOfParts>
    <vt:vector size="1" baseType="lpstr">
      <vt:lpstr/>
    </vt:vector>
  </TitlesOfParts>
  <Company>HP</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Leejiyoon</dc:creator>
  <cp:lastModifiedBy>user</cp:lastModifiedBy>
  <cp:revision>4</cp:revision>
  <dcterms:created xsi:type="dcterms:W3CDTF">2022-09-16T09:08:00Z</dcterms:created>
  <dcterms:modified xsi:type="dcterms:W3CDTF">2022-09-16T09:18:00Z</dcterms:modified>
</cp:coreProperties>
</file>