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9B0D" w14:textId="2DEE7759" w:rsidR="006B6C88" w:rsidRDefault="006B6C88" w:rsidP="006B6C88">
      <w:pPr>
        <w:spacing w:line="480" w:lineRule="auto"/>
        <w:jc w:val="center"/>
        <w:rPr>
          <w:rStyle w:val="nfasis"/>
          <w:b/>
          <w:bCs/>
          <w:i w:val="0"/>
          <w:iCs w:val="0"/>
          <w:sz w:val="36"/>
          <w:szCs w:val="36"/>
          <w:lang w:val="en-US"/>
        </w:rPr>
      </w:pPr>
      <w:r w:rsidRPr="006B6C88">
        <w:rPr>
          <w:rStyle w:val="nfasis"/>
          <w:b/>
          <w:bCs/>
          <w:i w:val="0"/>
          <w:iCs w:val="0"/>
          <w:sz w:val="36"/>
          <w:szCs w:val="36"/>
          <w:lang w:val="en-US"/>
        </w:rPr>
        <w:t>Supplementary material</w:t>
      </w:r>
    </w:p>
    <w:p w14:paraId="306552D2" w14:textId="77777777" w:rsidR="006B6C88" w:rsidRPr="006B6C88" w:rsidRDefault="006B6C88" w:rsidP="006B6C88">
      <w:pPr>
        <w:spacing w:line="480" w:lineRule="auto"/>
        <w:jc w:val="center"/>
        <w:rPr>
          <w:b/>
          <w:bCs/>
          <w:sz w:val="36"/>
          <w:szCs w:val="36"/>
          <w:lang w:val="en-US"/>
        </w:rPr>
      </w:pPr>
    </w:p>
    <w:p w14:paraId="51E42663" w14:textId="77777777" w:rsidR="006B6C88" w:rsidRPr="006B6C88" w:rsidRDefault="006B6C88" w:rsidP="006B6C88">
      <w:pPr>
        <w:spacing w:line="480" w:lineRule="auto"/>
        <w:rPr>
          <w:sz w:val="24"/>
          <w:szCs w:val="24"/>
          <w:lang w:val="en-US"/>
        </w:rPr>
      </w:pPr>
      <w:bookmarkStart w:id="0" w:name="_Hlk111636366"/>
      <w:r w:rsidRPr="006B6C88">
        <w:rPr>
          <w:sz w:val="24"/>
          <w:szCs w:val="24"/>
          <w:lang w:val="en-US"/>
        </w:rPr>
        <w:t xml:space="preserve">Table 1. Performance of biochemical markers at admission in predicting pancreatic necrosis: Triglyceride </w:t>
      </w:r>
      <w:r w:rsidRPr="006B6C88">
        <w:rPr>
          <w:rFonts w:cstheme="minorHAnsi"/>
          <w:sz w:val="24"/>
          <w:szCs w:val="24"/>
          <w:lang w:val="en-US"/>
        </w:rPr>
        <w:t>≥200mg/dL, Creatinine ≥1.8 mg/dL, Hematocrit ≥44%, BUN ≥20mg/dL, C-reactive protein ≥15mg/dL.</w:t>
      </w:r>
    </w:p>
    <w:tbl>
      <w:tblPr>
        <w:tblStyle w:val="Tablaconcuadrcula"/>
        <w:tblW w:w="80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"/>
        <w:gridCol w:w="1761"/>
        <w:gridCol w:w="630"/>
        <w:gridCol w:w="961"/>
        <w:gridCol w:w="955"/>
        <w:gridCol w:w="955"/>
        <w:gridCol w:w="955"/>
      </w:tblGrid>
      <w:tr w:rsidR="006B6C88" w:rsidRPr="00FE4575" w14:paraId="354BB5F8" w14:textId="77777777" w:rsidTr="002C2F41"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14:paraId="38A17CE8" w14:textId="77777777" w:rsidR="006B6C88" w:rsidRPr="00FE4575" w:rsidRDefault="006B6C88" w:rsidP="006B6C88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14:paraId="26419B10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AUC (CI 95%)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DE672EE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4CD3DE31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8E571F">
              <w:rPr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6FFCD72" w14:textId="77777777" w:rsidR="006B6C88" w:rsidRPr="008E571F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B81C77">
              <w:rPr>
                <w:sz w:val="18"/>
                <w:szCs w:val="18"/>
                <w:lang w:val="en-US"/>
              </w:rPr>
              <w:t>Speciﬁcity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E7991D6" w14:textId="77777777" w:rsidR="006B6C88" w:rsidRPr="00B81C77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PPV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8DCAFA9" w14:textId="77777777" w:rsidR="006B6C88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NPV</w:t>
            </w:r>
          </w:p>
        </w:tc>
      </w:tr>
      <w:tr w:rsidR="006B6C88" w:rsidRPr="00FE4575" w14:paraId="6C064FDB" w14:textId="77777777" w:rsidTr="002C2F41">
        <w:tc>
          <w:tcPr>
            <w:tcW w:w="1789" w:type="dxa"/>
            <w:tcBorders>
              <w:top w:val="single" w:sz="4" w:space="0" w:color="auto"/>
            </w:tcBorders>
          </w:tcPr>
          <w:p w14:paraId="3490C130" w14:textId="77777777" w:rsidR="006B6C88" w:rsidRPr="00FE4575" w:rsidRDefault="006B6C88" w:rsidP="006B6C88">
            <w:pPr>
              <w:spacing w:line="480" w:lineRule="auto"/>
              <w:rPr>
                <w:b/>
                <w:bCs/>
                <w:sz w:val="18"/>
                <w:szCs w:val="18"/>
                <w:lang w:val="en-US"/>
              </w:rPr>
            </w:pPr>
            <w:r w:rsidRPr="00FE4575">
              <w:rPr>
                <w:b/>
                <w:bCs/>
                <w:sz w:val="18"/>
                <w:szCs w:val="18"/>
                <w:lang w:val="en-US"/>
              </w:rPr>
              <w:t>Biochemical markers</w:t>
            </w:r>
          </w:p>
        </w:tc>
        <w:tc>
          <w:tcPr>
            <w:tcW w:w="1761" w:type="dxa"/>
            <w:tcBorders>
              <w:top w:val="single" w:sz="4" w:space="0" w:color="auto"/>
            </w:tcBorders>
          </w:tcPr>
          <w:p w14:paraId="30501CF7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C73F0FF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56F12221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7BB72E5E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3D7AB8F2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2815EBDD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B6C88" w:rsidRPr="00FE4575" w14:paraId="24DE4D43" w14:textId="77777777" w:rsidTr="002C2F41">
        <w:tc>
          <w:tcPr>
            <w:tcW w:w="1789" w:type="dxa"/>
          </w:tcPr>
          <w:p w14:paraId="493264D7" w14:textId="77777777" w:rsidR="006B6C88" w:rsidRPr="00FE4575" w:rsidRDefault="006B6C88" w:rsidP="006B6C88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Triglyceride</w:t>
            </w:r>
          </w:p>
        </w:tc>
        <w:tc>
          <w:tcPr>
            <w:tcW w:w="1761" w:type="dxa"/>
          </w:tcPr>
          <w:p w14:paraId="2D5375AE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 xml:space="preserve">601 </w:t>
            </w:r>
            <w:r w:rsidRPr="00FE4575">
              <w:rPr>
                <w:sz w:val="18"/>
                <w:szCs w:val="18"/>
                <w:lang w:val="en-US"/>
              </w:rPr>
              <w:t>(0.519-0.6</w:t>
            </w:r>
            <w:r>
              <w:rPr>
                <w:sz w:val="18"/>
                <w:szCs w:val="18"/>
                <w:lang w:val="en-US"/>
              </w:rPr>
              <w:t>84</w:t>
            </w:r>
            <w:r w:rsidRPr="00FE457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630" w:type="dxa"/>
          </w:tcPr>
          <w:p w14:paraId="75D66B6D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0.01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61" w:type="dxa"/>
          </w:tcPr>
          <w:p w14:paraId="3DE41EEC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38.7%</w:t>
            </w:r>
          </w:p>
        </w:tc>
        <w:tc>
          <w:tcPr>
            <w:tcW w:w="955" w:type="dxa"/>
          </w:tcPr>
          <w:p w14:paraId="738313FB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83.8%</w:t>
            </w:r>
          </w:p>
        </w:tc>
        <w:tc>
          <w:tcPr>
            <w:tcW w:w="955" w:type="dxa"/>
          </w:tcPr>
          <w:p w14:paraId="06A272A2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56.9%</w:t>
            </w:r>
          </w:p>
        </w:tc>
        <w:tc>
          <w:tcPr>
            <w:tcW w:w="955" w:type="dxa"/>
          </w:tcPr>
          <w:p w14:paraId="21145A70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71.3%</w:t>
            </w:r>
          </w:p>
        </w:tc>
      </w:tr>
      <w:tr w:rsidR="006B6C88" w:rsidRPr="00FE4575" w14:paraId="3C846358" w14:textId="77777777" w:rsidTr="002C2F41">
        <w:tc>
          <w:tcPr>
            <w:tcW w:w="1789" w:type="dxa"/>
          </w:tcPr>
          <w:p w14:paraId="7F46BD42" w14:textId="77777777" w:rsidR="006B6C88" w:rsidRPr="00FE4575" w:rsidRDefault="006B6C88" w:rsidP="006B6C88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 xml:space="preserve">Creatinine </w:t>
            </w:r>
          </w:p>
        </w:tc>
        <w:tc>
          <w:tcPr>
            <w:tcW w:w="1761" w:type="dxa"/>
          </w:tcPr>
          <w:p w14:paraId="57D77679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 xml:space="preserve">611 </w:t>
            </w:r>
            <w:r w:rsidRPr="00FE4575">
              <w:rPr>
                <w:sz w:val="18"/>
                <w:szCs w:val="18"/>
                <w:lang w:val="en-US"/>
              </w:rPr>
              <w:t>(0.5</w:t>
            </w:r>
            <w:r>
              <w:rPr>
                <w:sz w:val="18"/>
                <w:szCs w:val="18"/>
                <w:lang w:val="en-US"/>
              </w:rPr>
              <w:t>3</w:t>
            </w:r>
            <w:r w:rsidRPr="00FE4575">
              <w:rPr>
                <w:sz w:val="18"/>
                <w:szCs w:val="18"/>
                <w:lang w:val="en-US"/>
              </w:rPr>
              <w:t>-0.6</w:t>
            </w:r>
            <w:r>
              <w:rPr>
                <w:sz w:val="18"/>
                <w:szCs w:val="18"/>
                <w:lang w:val="en-US"/>
              </w:rPr>
              <w:t>92</w:t>
            </w:r>
            <w:r w:rsidRPr="00FE457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630" w:type="dxa"/>
          </w:tcPr>
          <w:p w14:paraId="7FE8F691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0.0</w:t>
            </w:r>
            <w:r>
              <w:rPr>
                <w:sz w:val="18"/>
                <w:szCs w:val="18"/>
                <w:lang w:val="en-US"/>
              </w:rPr>
              <w:t>0</w:t>
            </w:r>
            <w:r w:rsidRPr="00FE4575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61" w:type="dxa"/>
          </w:tcPr>
          <w:p w14:paraId="2748071F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6.8%</w:t>
            </w:r>
          </w:p>
        </w:tc>
        <w:tc>
          <w:tcPr>
            <w:tcW w:w="955" w:type="dxa"/>
          </w:tcPr>
          <w:p w14:paraId="11460037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93.3%</w:t>
            </w:r>
          </w:p>
        </w:tc>
        <w:tc>
          <w:tcPr>
            <w:tcW w:w="955" w:type="dxa"/>
          </w:tcPr>
          <w:p w14:paraId="4582EA30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35.7%</w:t>
            </w:r>
          </w:p>
        </w:tc>
        <w:tc>
          <w:tcPr>
            <w:tcW w:w="955" w:type="dxa"/>
          </w:tcPr>
          <w:p w14:paraId="4A5F13B8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64.6%</w:t>
            </w:r>
          </w:p>
        </w:tc>
      </w:tr>
      <w:tr w:rsidR="006B6C88" w:rsidRPr="00FE4575" w14:paraId="5731608B" w14:textId="77777777" w:rsidTr="002C2F41">
        <w:tc>
          <w:tcPr>
            <w:tcW w:w="1789" w:type="dxa"/>
          </w:tcPr>
          <w:p w14:paraId="3DE3F738" w14:textId="77777777" w:rsidR="006B6C88" w:rsidRPr="00FE4575" w:rsidRDefault="006B6C88" w:rsidP="006B6C88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Hematocrit</w:t>
            </w:r>
          </w:p>
        </w:tc>
        <w:tc>
          <w:tcPr>
            <w:tcW w:w="1761" w:type="dxa"/>
          </w:tcPr>
          <w:p w14:paraId="6D8FE76C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0.6</w:t>
            </w:r>
            <w:r>
              <w:rPr>
                <w:sz w:val="18"/>
                <w:szCs w:val="18"/>
                <w:lang w:val="en-US"/>
              </w:rPr>
              <w:t xml:space="preserve">44 </w:t>
            </w:r>
            <w:r w:rsidRPr="00FE4575">
              <w:rPr>
                <w:sz w:val="18"/>
                <w:szCs w:val="18"/>
                <w:lang w:val="en-US"/>
              </w:rPr>
              <w:t>(0.5</w:t>
            </w:r>
            <w:r>
              <w:rPr>
                <w:sz w:val="18"/>
                <w:szCs w:val="18"/>
                <w:lang w:val="en-US"/>
              </w:rPr>
              <w:t>62</w:t>
            </w:r>
            <w:r w:rsidRPr="00FE4575">
              <w:rPr>
                <w:sz w:val="18"/>
                <w:szCs w:val="18"/>
                <w:lang w:val="en-US"/>
              </w:rPr>
              <w:t>-0.72</w:t>
            </w:r>
            <w:r>
              <w:rPr>
                <w:sz w:val="18"/>
                <w:szCs w:val="18"/>
                <w:lang w:val="en-US"/>
              </w:rPr>
              <w:t>7</w:t>
            </w:r>
            <w:r w:rsidRPr="00FE457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630" w:type="dxa"/>
          </w:tcPr>
          <w:p w14:paraId="44AE1065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0.001</w:t>
            </w:r>
          </w:p>
        </w:tc>
        <w:tc>
          <w:tcPr>
            <w:tcW w:w="961" w:type="dxa"/>
          </w:tcPr>
          <w:p w14:paraId="64B7DDC3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53.3%</w:t>
            </w:r>
          </w:p>
        </w:tc>
        <w:tc>
          <w:tcPr>
            <w:tcW w:w="955" w:type="dxa"/>
          </w:tcPr>
          <w:p w14:paraId="7CC37154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74.3%</w:t>
            </w:r>
          </w:p>
        </w:tc>
        <w:tc>
          <w:tcPr>
            <w:tcW w:w="955" w:type="dxa"/>
          </w:tcPr>
          <w:p w14:paraId="70DFAE81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53.3%</w:t>
            </w:r>
          </w:p>
        </w:tc>
        <w:tc>
          <w:tcPr>
            <w:tcW w:w="955" w:type="dxa"/>
          </w:tcPr>
          <w:p w14:paraId="503688F8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74.3%</w:t>
            </w:r>
          </w:p>
        </w:tc>
      </w:tr>
      <w:tr w:rsidR="006B6C88" w:rsidRPr="00FE4575" w14:paraId="6FC18B3A" w14:textId="77777777" w:rsidTr="002C2F41">
        <w:tc>
          <w:tcPr>
            <w:tcW w:w="1789" w:type="dxa"/>
          </w:tcPr>
          <w:p w14:paraId="1C519528" w14:textId="77777777" w:rsidR="006B6C88" w:rsidRPr="00FE4575" w:rsidRDefault="006B6C88" w:rsidP="006B6C88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BUN</w:t>
            </w:r>
          </w:p>
        </w:tc>
        <w:tc>
          <w:tcPr>
            <w:tcW w:w="1761" w:type="dxa"/>
          </w:tcPr>
          <w:p w14:paraId="00D3DF26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0.5</w:t>
            </w:r>
            <w:r>
              <w:rPr>
                <w:sz w:val="18"/>
                <w:szCs w:val="18"/>
                <w:lang w:val="en-US"/>
              </w:rPr>
              <w:t xml:space="preserve">6 </w:t>
            </w:r>
            <w:r w:rsidRPr="00FE4575">
              <w:rPr>
                <w:sz w:val="18"/>
                <w:szCs w:val="18"/>
                <w:lang w:val="en-US"/>
              </w:rPr>
              <w:t>(0.4</w:t>
            </w:r>
            <w:r>
              <w:rPr>
                <w:sz w:val="18"/>
                <w:szCs w:val="18"/>
                <w:lang w:val="en-US"/>
              </w:rPr>
              <w:t>77</w:t>
            </w:r>
            <w:r w:rsidRPr="00FE4575">
              <w:rPr>
                <w:sz w:val="18"/>
                <w:szCs w:val="18"/>
                <w:lang w:val="en-US"/>
              </w:rPr>
              <w:t>-0.6</w:t>
            </w:r>
            <w:r>
              <w:rPr>
                <w:sz w:val="18"/>
                <w:szCs w:val="18"/>
                <w:lang w:val="en-US"/>
              </w:rPr>
              <w:t>43</w:t>
            </w:r>
            <w:r w:rsidRPr="00FE457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630" w:type="dxa"/>
          </w:tcPr>
          <w:p w14:paraId="5B247072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152</w:t>
            </w:r>
          </w:p>
        </w:tc>
        <w:tc>
          <w:tcPr>
            <w:tcW w:w="961" w:type="dxa"/>
          </w:tcPr>
          <w:p w14:paraId="1FFAB5BC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A80DFE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  <w:lang w:val="en-US"/>
              </w:rPr>
              <w:t>2.7%</w:t>
            </w:r>
          </w:p>
        </w:tc>
        <w:tc>
          <w:tcPr>
            <w:tcW w:w="955" w:type="dxa"/>
          </w:tcPr>
          <w:p w14:paraId="701AB6F3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55.6%</w:t>
            </w:r>
          </w:p>
        </w:tc>
        <w:tc>
          <w:tcPr>
            <w:tcW w:w="955" w:type="dxa"/>
          </w:tcPr>
          <w:p w14:paraId="4BE97752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39.4%</w:t>
            </w:r>
          </w:p>
        </w:tc>
        <w:tc>
          <w:tcPr>
            <w:tcW w:w="955" w:type="dxa"/>
          </w:tcPr>
          <w:p w14:paraId="5693661F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68.2%</w:t>
            </w:r>
          </w:p>
        </w:tc>
      </w:tr>
      <w:tr w:rsidR="006B6C88" w:rsidRPr="00FE4575" w14:paraId="26322B77" w14:textId="77777777" w:rsidTr="002C2F41">
        <w:tc>
          <w:tcPr>
            <w:tcW w:w="1789" w:type="dxa"/>
            <w:tcBorders>
              <w:bottom w:val="single" w:sz="4" w:space="0" w:color="auto"/>
            </w:tcBorders>
          </w:tcPr>
          <w:p w14:paraId="6F071359" w14:textId="77777777" w:rsidR="006B6C88" w:rsidRPr="00FE4575" w:rsidRDefault="006B6C88" w:rsidP="006B6C88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C-reactive protein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7D7E3118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0.57</w:t>
            </w:r>
            <w:r>
              <w:rPr>
                <w:sz w:val="18"/>
                <w:szCs w:val="18"/>
                <w:lang w:val="en-US"/>
              </w:rPr>
              <w:t xml:space="preserve">9 </w:t>
            </w:r>
            <w:r w:rsidRPr="00FE4575">
              <w:rPr>
                <w:sz w:val="18"/>
                <w:szCs w:val="18"/>
                <w:lang w:val="en-US"/>
              </w:rPr>
              <w:t>(0.49</w:t>
            </w:r>
            <w:r>
              <w:rPr>
                <w:sz w:val="18"/>
                <w:szCs w:val="18"/>
                <w:lang w:val="en-US"/>
              </w:rPr>
              <w:t>4</w:t>
            </w:r>
            <w:r w:rsidRPr="00FE4575">
              <w:rPr>
                <w:sz w:val="18"/>
                <w:szCs w:val="18"/>
                <w:lang w:val="en-US"/>
              </w:rPr>
              <w:t>-0.6</w:t>
            </w:r>
            <w:r>
              <w:rPr>
                <w:sz w:val="18"/>
                <w:szCs w:val="18"/>
                <w:lang w:val="en-US"/>
              </w:rPr>
              <w:t>63</w:t>
            </w:r>
            <w:r w:rsidRPr="00FE457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D2E57FB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E4575">
              <w:rPr>
                <w:sz w:val="18"/>
                <w:szCs w:val="18"/>
                <w:lang w:val="en-US"/>
              </w:rPr>
              <w:t>0.06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14:paraId="25F2388A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9D5622">
              <w:rPr>
                <w:sz w:val="18"/>
                <w:szCs w:val="18"/>
                <w:lang w:val="en-US"/>
              </w:rPr>
              <w:t>23</w:t>
            </w:r>
            <w:r>
              <w:rPr>
                <w:sz w:val="18"/>
                <w:szCs w:val="18"/>
                <w:lang w:val="en-US"/>
              </w:rPr>
              <w:t>.9%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586FBF74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88.3%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52109D41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53.1%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626DB7D4" w14:textId="77777777" w:rsidR="006B6C88" w:rsidRPr="00FE4575" w:rsidRDefault="006B6C88" w:rsidP="006B6C88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67.7%</w:t>
            </w:r>
          </w:p>
        </w:tc>
      </w:tr>
    </w:tbl>
    <w:p w14:paraId="3E283B35" w14:textId="2B096593" w:rsidR="006B6C88" w:rsidRPr="006B6C88" w:rsidRDefault="006B6C88" w:rsidP="006B6C88">
      <w:pPr>
        <w:spacing w:line="480" w:lineRule="auto"/>
        <w:rPr>
          <w:i/>
          <w:iCs/>
          <w:sz w:val="20"/>
          <w:szCs w:val="20"/>
          <w:lang w:val="en-US"/>
        </w:rPr>
      </w:pPr>
      <w:r w:rsidRPr="006B6C88">
        <w:rPr>
          <w:i/>
          <w:iCs/>
          <w:sz w:val="20"/>
          <w:szCs w:val="20"/>
          <w:lang w:val="en-US"/>
        </w:rPr>
        <w:t>AUC: area under the curve, BUN:</w:t>
      </w:r>
      <w:r w:rsidRPr="006B6C88">
        <w:rPr>
          <w:sz w:val="20"/>
          <w:szCs w:val="20"/>
          <w:lang w:val="en-US"/>
        </w:rPr>
        <w:t xml:space="preserve"> </w:t>
      </w:r>
      <w:r w:rsidRPr="006B6C88">
        <w:rPr>
          <w:rStyle w:val="nfasis"/>
          <w:sz w:val="20"/>
          <w:szCs w:val="20"/>
          <w:lang w:val="en-US"/>
        </w:rPr>
        <w:t>Blood urea nitrogen.</w:t>
      </w:r>
      <w:bookmarkEnd w:id="0"/>
    </w:p>
    <w:p w14:paraId="287423C4" w14:textId="77777777" w:rsidR="006B6C88" w:rsidRPr="00FE4575" w:rsidRDefault="006B6C88" w:rsidP="006B6C88">
      <w:pPr>
        <w:spacing w:line="480" w:lineRule="auto"/>
        <w:rPr>
          <w:sz w:val="20"/>
          <w:szCs w:val="20"/>
          <w:lang w:val="en-US"/>
        </w:rPr>
      </w:pPr>
      <w:r w:rsidRPr="00606AA9"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425CB055" wp14:editId="1023087D">
            <wp:extent cx="5069711" cy="4062207"/>
            <wp:effectExtent l="0" t="0" r="0" b="0"/>
            <wp:docPr id="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líneas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3021" cy="406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CE2EF" w14:textId="77777777" w:rsidR="006B6C88" w:rsidRPr="009049AE" w:rsidRDefault="006B6C88" w:rsidP="006B6C88">
      <w:pPr>
        <w:spacing w:line="480" w:lineRule="auto"/>
        <w:rPr>
          <w:sz w:val="24"/>
          <w:szCs w:val="24"/>
          <w:lang w:val="en-US"/>
        </w:rPr>
      </w:pPr>
      <w:bookmarkStart w:id="1" w:name="_Hlk99331082"/>
      <w:r w:rsidRPr="009049AE">
        <w:rPr>
          <w:sz w:val="24"/>
          <w:szCs w:val="24"/>
          <w:lang w:val="en-US"/>
        </w:rPr>
        <w:t>Figure 1. Receiver operating characteristic (ROC) curve for pancreatic necrosis of triglycerides and biochemical markers at admission.</w:t>
      </w:r>
    </w:p>
    <w:bookmarkEnd w:id="1"/>
    <w:p w14:paraId="59EA9E4C" w14:textId="77777777" w:rsidR="006B6C88" w:rsidRPr="00FE4575" w:rsidRDefault="006B6C88" w:rsidP="006B6C88">
      <w:pPr>
        <w:spacing w:line="480" w:lineRule="auto"/>
        <w:rPr>
          <w:sz w:val="20"/>
          <w:szCs w:val="20"/>
          <w:lang w:val="en-US"/>
        </w:rPr>
      </w:pPr>
    </w:p>
    <w:p w14:paraId="18C7C1A6" w14:textId="77777777" w:rsidR="006B6C88" w:rsidRPr="00FE4575" w:rsidRDefault="006B6C88" w:rsidP="006B6C88">
      <w:pPr>
        <w:spacing w:line="480" w:lineRule="auto"/>
        <w:rPr>
          <w:sz w:val="20"/>
          <w:szCs w:val="20"/>
          <w:lang w:val="en-US"/>
        </w:rPr>
      </w:pPr>
    </w:p>
    <w:p w14:paraId="7C597A6F" w14:textId="77777777" w:rsidR="001C2951" w:rsidRDefault="001C2951" w:rsidP="006B6C88">
      <w:pPr>
        <w:spacing w:line="480" w:lineRule="auto"/>
      </w:pPr>
    </w:p>
    <w:sectPr w:rsidR="001C29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zNDQ3MTIyMjMwNDNU0lEKTi0uzszPAykwrAUAMpgLlSwAAAA="/>
  </w:docVars>
  <w:rsids>
    <w:rsidRoot w:val="00BA0F24"/>
    <w:rsid w:val="001C2951"/>
    <w:rsid w:val="006B6C88"/>
    <w:rsid w:val="00BA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8690"/>
  <w15:chartTrackingRefBased/>
  <w15:docId w15:val="{9E2631E4-C373-401C-BB09-3C5400FC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8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6C8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6B6C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71028-8E48-4442-92B4-A7A72A48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Hidalgo</dc:creator>
  <cp:keywords/>
  <dc:description/>
  <cp:lastModifiedBy>Nils Hidalgo</cp:lastModifiedBy>
  <cp:revision>2</cp:revision>
  <dcterms:created xsi:type="dcterms:W3CDTF">2022-08-23T01:29:00Z</dcterms:created>
  <dcterms:modified xsi:type="dcterms:W3CDTF">2022-08-23T01:32:00Z</dcterms:modified>
</cp:coreProperties>
</file>