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AA1" w:rsidRDefault="00F74AA1" w:rsidP="00F74A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Table. S1. One-way ANOVA analysis (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values) of three factors (sterilization, </w:t>
      </w:r>
      <w:r>
        <w:rPr>
          <w:rFonts w:ascii="Times New Roman" w:hAnsi="Times New Roman" w:cs="Times New Roman"/>
          <w:szCs w:val="21"/>
        </w:rPr>
        <w:t>plant,</w:t>
      </w:r>
      <w:r>
        <w:rPr>
          <w:rFonts w:ascii="Times New Roman" w:hAnsi="Times New Roman" w:cs="Times New Roman"/>
        </w:rPr>
        <w:t xml:space="preserve"> and microbial inoculant) on soil nutrient and enzyme activities. Note: ns indicates no significant effect, * indicates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MS Gothic" w:eastAsia="MS Gothic" w:hAnsi="MS Gothic" w:cs="MS Gothic" w:hint="eastAsia"/>
        </w:rPr>
        <w:t>＜</w:t>
      </w:r>
      <w:r>
        <w:rPr>
          <w:rFonts w:ascii="Times New Roman" w:hAnsi="Times New Roman" w:cs="Times New Roman"/>
        </w:rPr>
        <w:t xml:space="preserve">0.05, **indicates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MS Gothic" w:eastAsia="MS Gothic" w:hAnsi="MS Gothic" w:cs="MS Gothic" w:hint="eastAsia"/>
        </w:rPr>
        <w:t>＜</w:t>
      </w:r>
      <w:r>
        <w:rPr>
          <w:rFonts w:ascii="Times New Roman" w:hAnsi="Times New Roman" w:cs="Times New Roman"/>
        </w:rPr>
        <w:t xml:space="preserve">0.01, and ** indicates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MS Gothic" w:eastAsia="MS Gothic" w:hAnsi="MS Gothic" w:cs="MS Gothic" w:hint="eastAsia"/>
        </w:rPr>
        <w:t>＜</w:t>
      </w:r>
      <w:r>
        <w:rPr>
          <w:rFonts w:ascii="Times New Roman" w:hAnsi="Times New Roman" w:cs="Times New Roman"/>
        </w:rPr>
        <w:t>0.001.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1275"/>
        <w:gridCol w:w="1276"/>
        <w:gridCol w:w="1276"/>
        <w:gridCol w:w="1512"/>
        <w:gridCol w:w="1512"/>
        <w:gridCol w:w="1512"/>
        <w:gridCol w:w="2410"/>
      </w:tblGrid>
      <w:tr w:rsidR="00F74AA1" w:rsidTr="00F74AA1">
        <w:tc>
          <w:tcPr>
            <w:tcW w:w="311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Sterilization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Plant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Microbial inoculant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Sterilization</w:t>
            </w:r>
            <w:r>
              <w:rPr>
                <w:rFonts w:ascii="Times New Roman" w:hAnsi="Times New Roman" w:cs="Times New Roman" w:hint="eastAsia"/>
                <w:szCs w:val="21"/>
              </w:rPr>
              <w:t>×</w:t>
            </w:r>
          </w:p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Plant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Sterilization</w:t>
            </w:r>
            <w:r>
              <w:rPr>
                <w:rFonts w:ascii="Times New Roman" w:hAnsi="Times New Roman" w:cs="Times New Roman" w:hint="eastAsia"/>
                <w:szCs w:val="21"/>
              </w:rPr>
              <w:t>×</w:t>
            </w:r>
          </w:p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Microbial inoculant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Plant</w:t>
            </w:r>
            <w:r>
              <w:rPr>
                <w:rFonts w:ascii="Times New Roman" w:hAnsi="Times New Roman" w:cs="Times New Roman" w:hint="eastAsia"/>
                <w:szCs w:val="21"/>
              </w:rPr>
              <w:t>×</w:t>
            </w:r>
          </w:p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Microbial inoculant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Sterilization</w:t>
            </w:r>
            <w:r>
              <w:rPr>
                <w:rFonts w:ascii="Times New Roman" w:hAnsi="Times New Roman" w:cs="Times New Roman" w:hint="eastAsia"/>
                <w:szCs w:val="21"/>
              </w:rPr>
              <w:t>×</w:t>
            </w:r>
          </w:p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Plant</w:t>
            </w:r>
            <w:r>
              <w:rPr>
                <w:rFonts w:ascii="Times New Roman" w:hAnsi="Times New Roman" w:cs="Times New Roman" w:hint="eastAsia"/>
                <w:szCs w:val="21"/>
              </w:rPr>
              <w:t>×</w:t>
            </w:r>
          </w:p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Microbial inoculant</w:t>
            </w:r>
          </w:p>
        </w:tc>
      </w:tr>
      <w:tr w:rsidR="00F74AA1" w:rsidTr="00F74AA1">
        <w:tc>
          <w:tcPr>
            <w:tcW w:w="3114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Aboveground length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×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×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×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×</w:t>
            </w:r>
          </w:p>
        </w:tc>
      </w:tr>
      <w:tr w:rsidR="00F74AA1" w:rsidTr="00F74AA1">
        <w:tc>
          <w:tcPr>
            <w:tcW w:w="3114" w:type="dxa"/>
            <w:vAlign w:val="center"/>
            <w:hideMark/>
          </w:tcPr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Underground length</w:t>
            </w:r>
          </w:p>
        </w:tc>
        <w:tc>
          <w:tcPr>
            <w:tcW w:w="1275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×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×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×</w:t>
            </w:r>
          </w:p>
        </w:tc>
        <w:tc>
          <w:tcPr>
            <w:tcW w:w="2410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×</w:t>
            </w:r>
          </w:p>
        </w:tc>
      </w:tr>
      <w:tr w:rsidR="00F74AA1" w:rsidTr="00F74AA1">
        <w:tc>
          <w:tcPr>
            <w:tcW w:w="3114" w:type="dxa"/>
            <w:hideMark/>
          </w:tcPr>
          <w:p w:rsidR="00F74AA1" w:rsidRDefault="00F74AA1">
            <w:pP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Plant length</w:t>
            </w:r>
          </w:p>
        </w:tc>
        <w:tc>
          <w:tcPr>
            <w:tcW w:w="1275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×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×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×</w:t>
            </w:r>
          </w:p>
        </w:tc>
        <w:tc>
          <w:tcPr>
            <w:tcW w:w="2410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×</w:t>
            </w:r>
          </w:p>
        </w:tc>
      </w:tr>
      <w:tr w:rsidR="00F74AA1" w:rsidTr="00F74AA1">
        <w:tc>
          <w:tcPr>
            <w:tcW w:w="3114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Aboveground dry weight</w:t>
            </w:r>
          </w:p>
        </w:tc>
        <w:tc>
          <w:tcPr>
            <w:tcW w:w="1275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×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×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×</w:t>
            </w:r>
          </w:p>
        </w:tc>
        <w:tc>
          <w:tcPr>
            <w:tcW w:w="2410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×</w:t>
            </w:r>
          </w:p>
        </w:tc>
      </w:tr>
      <w:tr w:rsidR="00F74AA1" w:rsidTr="00F74AA1">
        <w:tc>
          <w:tcPr>
            <w:tcW w:w="3114" w:type="dxa"/>
            <w:vAlign w:val="center"/>
            <w:hideMark/>
          </w:tcPr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Underground dry weight</w:t>
            </w:r>
          </w:p>
        </w:tc>
        <w:tc>
          <w:tcPr>
            <w:tcW w:w="1275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×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×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×</w:t>
            </w:r>
          </w:p>
        </w:tc>
        <w:tc>
          <w:tcPr>
            <w:tcW w:w="2410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×</w:t>
            </w:r>
          </w:p>
        </w:tc>
      </w:tr>
      <w:tr w:rsidR="00F74AA1" w:rsidTr="00F74AA1">
        <w:tc>
          <w:tcPr>
            <w:tcW w:w="3114" w:type="dxa"/>
            <w:hideMark/>
          </w:tcPr>
          <w:p w:rsidR="00F74AA1" w:rsidRDefault="00F74AA1">
            <w:pP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Plant </w:t>
            </w:r>
            <w:r>
              <w:rPr>
                <w:rFonts w:ascii="Times New Roman" w:hAnsi="Times New Roman" w:cs="Times New Roman"/>
                <w:szCs w:val="21"/>
              </w:rPr>
              <w:t>dry weight</w:t>
            </w:r>
          </w:p>
        </w:tc>
        <w:tc>
          <w:tcPr>
            <w:tcW w:w="1275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×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×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×</w:t>
            </w:r>
          </w:p>
        </w:tc>
        <w:tc>
          <w:tcPr>
            <w:tcW w:w="2410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×</w:t>
            </w:r>
          </w:p>
        </w:tc>
      </w:tr>
      <w:tr w:rsidR="00F74AA1" w:rsidTr="00F74AA1">
        <w:tc>
          <w:tcPr>
            <w:tcW w:w="3114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pH</w:t>
            </w:r>
          </w:p>
        </w:tc>
        <w:tc>
          <w:tcPr>
            <w:tcW w:w="1275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2410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</w:tr>
      <w:tr w:rsidR="00F74AA1" w:rsidTr="00F74AA1">
        <w:tc>
          <w:tcPr>
            <w:tcW w:w="3114" w:type="dxa"/>
            <w:vAlign w:val="center"/>
            <w:hideMark/>
          </w:tcPr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Total carbon</w:t>
            </w:r>
          </w:p>
        </w:tc>
        <w:tc>
          <w:tcPr>
            <w:tcW w:w="1275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</w:t>
            </w:r>
          </w:p>
        </w:tc>
        <w:tc>
          <w:tcPr>
            <w:tcW w:w="2410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****</w:t>
            </w:r>
          </w:p>
        </w:tc>
      </w:tr>
      <w:tr w:rsidR="00F74AA1" w:rsidTr="00F74AA1">
        <w:tc>
          <w:tcPr>
            <w:tcW w:w="3114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Soil organic carbon</w:t>
            </w:r>
          </w:p>
        </w:tc>
        <w:tc>
          <w:tcPr>
            <w:tcW w:w="1275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2410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</w:tr>
      <w:tr w:rsidR="00F74AA1" w:rsidTr="00F74AA1">
        <w:tc>
          <w:tcPr>
            <w:tcW w:w="3114" w:type="dxa"/>
            <w:vAlign w:val="center"/>
            <w:hideMark/>
          </w:tcPr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β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-1,4-glucosidase</w:t>
            </w:r>
          </w:p>
        </w:tc>
        <w:tc>
          <w:tcPr>
            <w:tcW w:w="1275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2410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</w:tr>
      <w:tr w:rsidR="00F74AA1" w:rsidTr="00F74AA1">
        <w:tc>
          <w:tcPr>
            <w:tcW w:w="3114" w:type="dxa"/>
            <w:vAlign w:val="center"/>
            <w:hideMark/>
          </w:tcPr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Invertase</w:t>
            </w:r>
            <w:proofErr w:type="spellEnd"/>
          </w:p>
        </w:tc>
        <w:tc>
          <w:tcPr>
            <w:tcW w:w="1275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2410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</w:tr>
      <w:tr w:rsidR="00F74AA1" w:rsidTr="00F74AA1">
        <w:tc>
          <w:tcPr>
            <w:tcW w:w="3114" w:type="dxa"/>
            <w:vAlign w:val="center"/>
            <w:hideMark/>
          </w:tcPr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Polyphenol oxidase</w:t>
            </w:r>
          </w:p>
        </w:tc>
        <w:tc>
          <w:tcPr>
            <w:tcW w:w="1275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v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2410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</w:tr>
      <w:tr w:rsidR="00F74AA1" w:rsidTr="00F74AA1">
        <w:tc>
          <w:tcPr>
            <w:tcW w:w="3114" w:type="dxa"/>
            <w:vAlign w:val="center"/>
            <w:hideMark/>
          </w:tcPr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Peroxidase</w:t>
            </w:r>
          </w:p>
        </w:tc>
        <w:tc>
          <w:tcPr>
            <w:tcW w:w="1275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2410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</w:tr>
      <w:tr w:rsidR="00F74AA1" w:rsidTr="00F74AA1">
        <w:tc>
          <w:tcPr>
            <w:tcW w:w="3114" w:type="dxa"/>
            <w:vAlign w:val="center"/>
            <w:hideMark/>
          </w:tcPr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Total nitrogen</w:t>
            </w:r>
          </w:p>
        </w:tc>
        <w:tc>
          <w:tcPr>
            <w:tcW w:w="1275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2410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</w:tr>
      <w:tr w:rsidR="00F74AA1" w:rsidTr="00F74AA1">
        <w:tc>
          <w:tcPr>
            <w:tcW w:w="3114" w:type="dxa"/>
            <w:vAlign w:val="center"/>
            <w:hideMark/>
          </w:tcPr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NH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-N</w:t>
            </w:r>
          </w:p>
        </w:tc>
        <w:tc>
          <w:tcPr>
            <w:tcW w:w="1275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2410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</w:tr>
      <w:tr w:rsidR="00F74AA1" w:rsidTr="00F74AA1">
        <w:tc>
          <w:tcPr>
            <w:tcW w:w="3114" w:type="dxa"/>
            <w:vAlign w:val="center"/>
            <w:hideMark/>
          </w:tcPr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NO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-N</w:t>
            </w:r>
          </w:p>
        </w:tc>
        <w:tc>
          <w:tcPr>
            <w:tcW w:w="1275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2410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</w:tr>
      <w:tr w:rsidR="00F74AA1" w:rsidTr="00F74AA1">
        <w:tc>
          <w:tcPr>
            <w:tcW w:w="3114" w:type="dxa"/>
            <w:vAlign w:val="center"/>
            <w:hideMark/>
          </w:tcPr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β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-1,4-N-acetylglucosaminidase</w:t>
            </w:r>
          </w:p>
        </w:tc>
        <w:tc>
          <w:tcPr>
            <w:tcW w:w="1275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2410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</w:tr>
      <w:tr w:rsidR="00F74AA1" w:rsidTr="00F74AA1">
        <w:tc>
          <w:tcPr>
            <w:tcW w:w="3114" w:type="dxa"/>
            <w:vAlign w:val="center"/>
            <w:hideMark/>
          </w:tcPr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Urease</w:t>
            </w:r>
          </w:p>
        </w:tc>
        <w:tc>
          <w:tcPr>
            <w:tcW w:w="1275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2410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</w:tr>
      <w:tr w:rsidR="00F74AA1" w:rsidTr="00F74AA1">
        <w:tc>
          <w:tcPr>
            <w:tcW w:w="3114" w:type="dxa"/>
            <w:vAlign w:val="center"/>
            <w:hideMark/>
          </w:tcPr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</w:t>
            </w:r>
            <w:r>
              <w:rPr>
                <w:rFonts w:ascii="Times New Roman" w:hAnsi="Times New Roman" w:cs="Times New Roman"/>
                <w:bCs/>
                <w:szCs w:val="21"/>
              </w:rPr>
              <w:t>vailable phosphorus</w:t>
            </w:r>
          </w:p>
        </w:tc>
        <w:tc>
          <w:tcPr>
            <w:tcW w:w="1275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2410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</w:tr>
      <w:tr w:rsidR="00F74AA1" w:rsidTr="00F74AA1">
        <w:tc>
          <w:tcPr>
            <w:tcW w:w="3114" w:type="dxa"/>
            <w:vAlign w:val="center"/>
            <w:hideMark/>
          </w:tcPr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Acid phosphatase</w:t>
            </w:r>
          </w:p>
        </w:tc>
        <w:tc>
          <w:tcPr>
            <w:tcW w:w="1275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2410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</w:tr>
      <w:tr w:rsidR="00F74AA1" w:rsidTr="00F74AA1">
        <w:tc>
          <w:tcPr>
            <w:tcW w:w="3114" w:type="dxa"/>
            <w:vAlign w:val="center"/>
            <w:hideMark/>
          </w:tcPr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Neutral phosphatase</w:t>
            </w:r>
          </w:p>
        </w:tc>
        <w:tc>
          <w:tcPr>
            <w:tcW w:w="1275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2410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</w:tr>
      <w:tr w:rsidR="00F74AA1" w:rsidTr="00F74AA1">
        <w:tc>
          <w:tcPr>
            <w:tcW w:w="3114" w:type="dxa"/>
            <w:vAlign w:val="center"/>
            <w:hideMark/>
          </w:tcPr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Alkaline phosphatase</w:t>
            </w:r>
          </w:p>
        </w:tc>
        <w:tc>
          <w:tcPr>
            <w:tcW w:w="1275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2410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</w:tr>
      <w:tr w:rsidR="00F74AA1" w:rsidTr="00F74AA1">
        <w:tc>
          <w:tcPr>
            <w:tcW w:w="3114" w:type="dxa"/>
            <w:vAlign w:val="center"/>
            <w:hideMark/>
          </w:tcPr>
          <w:p w:rsidR="00F74AA1" w:rsidRDefault="00F74A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Total sulfur</w:t>
            </w:r>
          </w:p>
        </w:tc>
        <w:tc>
          <w:tcPr>
            <w:tcW w:w="1275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2410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</w:tr>
      <w:tr w:rsidR="00F74AA1" w:rsidTr="00F74AA1">
        <w:tc>
          <w:tcPr>
            <w:tcW w:w="3114" w:type="dxa"/>
            <w:vAlign w:val="center"/>
            <w:hideMark/>
          </w:tcPr>
          <w:p w:rsidR="00F74AA1" w:rsidRDefault="00F74AA1">
            <w:pP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lastRenderedPageBreak/>
              <w:t>Arylsulphatase</w:t>
            </w:r>
            <w:proofErr w:type="spellEnd"/>
          </w:p>
        </w:tc>
        <w:tc>
          <w:tcPr>
            <w:tcW w:w="1275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2410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</w:tr>
      <w:tr w:rsidR="00F74AA1" w:rsidTr="00F74AA1">
        <w:trPr>
          <w:trHeight w:val="47"/>
        </w:trPr>
        <w:tc>
          <w:tcPr>
            <w:tcW w:w="3114" w:type="dxa"/>
            <w:vAlign w:val="center"/>
            <w:hideMark/>
          </w:tcPr>
          <w:p w:rsidR="00F74AA1" w:rsidRDefault="00F74AA1">
            <w:pP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Total potassium</w:t>
            </w:r>
          </w:p>
        </w:tc>
        <w:tc>
          <w:tcPr>
            <w:tcW w:w="1275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2410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</w:tr>
      <w:tr w:rsidR="00F74AA1" w:rsidTr="00F74AA1">
        <w:tc>
          <w:tcPr>
            <w:tcW w:w="3114" w:type="dxa"/>
            <w:vAlign w:val="center"/>
            <w:hideMark/>
          </w:tcPr>
          <w:p w:rsidR="00F74AA1" w:rsidRDefault="00F74AA1">
            <w:pP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</w:t>
            </w:r>
            <w:r>
              <w:rPr>
                <w:rFonts w:ascii="Times New Roman" w:hAnsi="Times New Roman" w:cs="Times New Roman"/>
                <w:bCs/>
                <w:szCs w:val="21"/>
              </w:rPr>
              <w:t>vailable potassium</w:t>
            </w:r>
          </w:p>
        </w:tc>
        <w:tc>
          <w:tcPr>
            <w:tcW w:w="1275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276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512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2410" w:type="dxa"/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</w:tr>
      <w:tr w:rsidR="00F74AA1" w:rsidTr="00F74AA1">
        <w:tc>
          <w:tcPr>
            <w:tcW w:w="311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F74AA1" w:rsidRDefault="00F74AA1">
            <w:pP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Soil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multifunctionality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***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**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F74AA1" w:rsidRDefault="00F74AA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</w:tr>
    </w:tbl>
    <w:p w:rsidR="00F74AA1" w:rsidRDefault="00F74AA1" w:rsidP="00F74AA1">
      <w:pPr>
        <w:widowControl/>
        <w:jc w:val="left"/>
        <w:rPr>
          <w:rFonts w:ascii="Times New Roman" w:hAnsi="Times New Roman" w:cs="Times New Roman"/>
          <w:bCs/>
          <w:noProof/>
          <w:kern w:val="0"/>
          <w:szCs w:val="21"/>
        </w:rPr>
        <w:sectPr w:rsidR="00F74AA1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:rsidR="00F74AA1" w:rsidRDefault="00F74AA1" w:rsidP="00F74AA1">
      <w:pPr>
        <w:rPr>
          <w:rFonts w:ascii="Times New Roman" w:hAnsi="Times New Roman" w:cs="Times New Roman"/>
          <w:bCs/>
          <w:noProof/>
          <w:szCs w:val="21"/>
        </w:rPr>
      </w:pPr>
      <w:r>
        <w:rPr>
          <w:rFonts w:ascii="Times New Roman" w:hAnsi="Times New Roman" w:cs="Times New Roman"/>
          <w:bCs/>
          <w:noProof/>
          <w:szCs w:val="21"/>
        </w:rPr>
        <w:lastRenderedPageBreak/>
        <w:t xml:space="preserve">Fig. S1. Soil nutrient indexes in response to plant, sterilization, and microbial inoculant treatments. </w:t>
      </w:r>
      <w:r>
        <w:rPr>
          <w:rFonts w:ascii="Times New Roman" w:hAnsi="Times New Roman" w:cs="Times New Roman"/>
        </w:rPr>
        <w:t xml:space="preserve">Note: ns indicates no significant effect, * indicates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MS Gothic" w:eastAsia="MS Gothic" w:hAnsi="MS Gothic" w:cs="MS Gothic" w:hint="eastAsia"/>
        </w:rPr>
        <w:t>＜</w:t>
      </w:r>
      <w:r>
        <w:rPr>
          <w:rFonts w:ascii="Times New Roman" w:hAnsi="Times New Roman" w:cs="Times New Roman"/>
        </w:rPr>
        <w:t xml:space="preserve">0.05, **indicates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MS Gothic" w:eastAsia="MS Gothic" w:hAnsi="MS Gothic" w:cs="MS Gothic" w:hint="eastAsia"/>
        </w:rPr>
        <w:t>＜</w:t>
      </w:r>
      <w:r>
        <w:rPr>
          <w:rFonts w:ascii="Times New Roman" w:hAnsi="Times New Roman" w:cs="Times New Roman"/>
        </w:rPr>
        <w:t xml:space="preserve">0.01, and ** indicates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MS Gothic" w:eastAsia="MS Gothic" w:hAnsi="MS Gothic" w:cs="MS Gothic" w:hint="eastAsia"/>
        </w:rPr>
        <w:t>＜</w:t>
      </w:r>
      <w:r>
        <w:rPr>
          <w:rFonts w:ascii="Times New Roman" w:hAnsi="Times New Roman" w:cs="Times New Roman"/>
        </w:rPr>
        <w:t>0.001.</w:t>
      </w:r>
    </w:p>
    <w:p w:rsidR="00F74AA1" w:rsidRDefault="00F74AA1" w:rsidP="00F74AA1">
      <w:pPr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noProof/>
          <w:szCs w:val="21"/>
          <w:lang w:eastAsia="en-US"/>
        </w:rPr>
        <w:drawing>
          <wp:inline distT="0" distB="0" distL="0" distR="0">
            <wp:extent cx="4923155" cy="8156575"/>
            <wp:effectExtent l="0" t="0" r="0" b="0"/>
            <wp:docPr id="4" name="Picture 4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图示, 示意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155" cy="815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AA1" w:rsidRDefault="00F74AA1" w:rsidP="00F74AA1">
      <w:pPr>
        <w:widowControl/>
        <w:jc w:val="left"/>
        <w:rPr>
          <w:rFonts w:ascii="Times New Roman" w:hAnsi="Times New Roman" w:cs="Times New Roman"/>
          <w:bCs/>
          <w:kern w:val="0"/>
          <w:szCs w:val="21"/>
        </w:rPr>
        <w:sectPr w:rsidR="00F74AA1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F74AA1" w:rsidRDefault="00F74AA1" w:rsidP="00F74AA1">
      <w:pPr>
        <w:rPr>
          <w:rFonts w:ascii="Times New Roman" w:hAnsi="Times New Roman" w:cs="Times New Roman"/>
          <w:bCs/>
          <w:noProof/>
          <w:szCs w:val="21"/>
        </w:rPr>
      </w:pPr>
      <w:r>
        <w:rPr>
          <w:rFonts w:ascii="Times New Roman" w:hAnsi="Times New Roman" w:cs="Times New Roman"/>
          <w:bCs/>
          <w:noProof/>
          <w:szCs w:val="21"/>
        </w:rPr>
        <w:lastRenderedPageBreak/>
        <w:t xml:space="preserve">Fig. S2. Soil enzyme activity indexes in response to plant, sterilization, and microbial inoculant treatments. </w:t>
      </w:r>
      <w:r>
        <w:rPr>
          <w:rFonts w:ascii="Times New Roman" w:hAnsi="Times New Roman" w:cs="Times New Roman"/>
        </w:rPr>
        <w:t xml:space="preserve">Note: ns indicates no significant effect, * indicates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MS Gothic" w:eastAsia="MS Gothic" w:hAnsi="MS Gothic" w:cs="MS Gothic" w:hint="eastAsia"/>
        </w:rPr>
        <w:t>＜</w:t>
      </w:r>
      <w:r>
        <w:rPr>
          <w:rFonts w:ascii="Times New Roman" w:hAnsi="Times New Roman" w:cs="Times New Roman"/>
        </w:rPr>
        <w:t xml:space="preserve">0.05, **indicates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MS Gothic" w:eastAsia="MS Gothic" w:hAnsi="MS Gothic" w:cs="MS Gothic" w:hint="eastAsia"/>
        </w:rPr>
        <w:t>＜</w:t>
      </w:r>
      <w:r>
        <w:rPr>
          <w:rFonts w:ascii="Times New Roman" w:hAnsi="Times New Roman" w:cs="Times New Roman"/>
        </w:rPr>
        <w:t xml:space="preserve">0.01, and ** indicates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MS Gothic" w:eastAsia="MS Gothic" w:hAnsi="MS Gothic" w:cs="MS Gothic" w:hint="eastAsia"/>
        </w:rPr>
        <w:t>＜</w:t>
      </w:r>
      <w:r>
        <w:rPr>
          <w:rFonts w:ascii="Times New Roman" w:hAnsi="Times New Roman" w:cs="Times New Roman"/>
        </w:rPr>
        <w:t>0.001.</w:t>
      </w:r>
    </w:p>
    <w:p w:rsidR="00F74AA1" w:rsidRDefault="00F74AA1" w:rsidP="00F74AA1">
      <w:pPr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noProof/>
          <w:szCs w:val="21"/>
          <w:lang w:eastAsia="en-US"/>
        </w:rPr>
        <w:drawing>
          <wp:inline distT="0" distB="0" distL="0" distR="0">
            <wp:extent cx="4725670" cy="8156575"/>
            <wp:effectExtent l="0" t="0" r="0" b="0"/>
            <wp:docPr id="3" name="Picture 3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670" cy="815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AA1" w:rsidRDefault="00F74AA1" w:rsidP="00F74AA1">
      <w:pPr>
        <w:widowControl/>
        <w:jc w:val="left"/>
        <w:rPr>
          <w:rFonts w:ascii="Times New Roman" w:hAnsi="Times New Roman" w:cs="Times New Roman"/>
          <w:bCs/>
          <w:noProof/>
          <w:kern w:val="0"/>
          <w:szCs w:val="21"/>
        </w:rPr>
        <w:sectPr w:rsidR="00F74AA1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F74AA1" w:rsidRDefault="00F74AA1" w:rsidP="00F74AA1">
      <w:pPr>
        <w:rPr>
          <w:rFonts w:ascii="Times New Roman" w:hAnsi="Times New Roman" w:cs="Times New Roman"/>
          <w:bCs/>
          <w:szCs w:val="21"/>
        </w:rPr>
      </w:pPr>
      <w:r>
        <w:rPr>
          <w:rStyle w:val="EndnoteReference"/>
          <w:rFonts w:ascii="Times New Roman" w:hAnsi="Times New Roman" w:cs="Times New Roman"/>
          <w:bCs/>
          <w:noProof/>
          <w:szCs w:val="21"/>
        </w:rPr>
        <w:lastRenderedPageBreak/>
        <w:t>F</w:t>
      </w:r>
      <w:r>
        <w:rPr>
          <w:rFonts w:ascii="Times New Roman" w:hAnsi="Times New Roman" w:cs="Times New Roman"/>
          <w:bCs/>
          <w:noProof/>
          <w:szCs w:val="21"/>
        </w:rPr>
        <w:t>ig. S3. Nonmetric multidimensional scaling (NMDS) analysis was based on Bray-Curtis dissimilarity.</w:t>
      </w:r>
    </w:p>
    <w:p w:rsidR="00F74AA1" w:rsidRDefault="00F74AA1" w:rsidP="00F74AA1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  <w:lang w:eastAsia="en-US"/>
        </w:rPr>
        <w:drawing>
          <wp:inline distT="0" distB="0" distL="0" distR="0">
            <wp:extent cx="5266690" cy="7212965"/>
            <wp:effectExtent l="0" t="0" r="0" b="6985"/>
            <wp:docPr id="2" name="Picture 2" descr="图示, 形状, 多边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图示, 形状, 多边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721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AA1" w:rsidRDefault="00F74AA1" w:rsidP="00F74AA1">
      <w:pPr>
        <w:widowControl/>
        <w:jc w:val="left"/>
        <w:rPr>
          <w:rFonts w:ascii="Times New Roman" w:hAnsi="Times New Roman" w:cs="Times New Roman"/>
          <w:kern w:val="0"/>
          <w:szCs w:val="21"/>
        </w:rPr>
        <w:sectPr w:rsidR="00F74AA1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F74AA1" w:rsidRDefault="00F74AA1" w:rsidP="00F74AA1">
      <w:pPr>
        <w:rPr>
          <w:rFonts w:ascii="Times New Roman" w:hAnsi="Times New Roman" w:cs="Times New Roman"/>
          <w:bCs/>
          <w:szCs w:val="21"/>
        </w:rPr>
      </w:pPr>
      <w:r>
        <w:rPr>
          <w:rStyle w:val="EndnoteReference"/>
          <w:rFonts w:ascii="Times New Roman" w:hAnsi="Times New Roman" w:cs="Times New Roman"/>
          <w:bCs/>
          <w:noProof/>
          <w:szCs w:val="21"/>
        </w:rPr>
        <w:lastRenderedPageBreak/>
        <w:t>F</w:t>
      </w:r>
      <w:r>
        <w:rPr>
          <w:rFonts w:ascii="Times New Roman" w:hAnsi="Times New Roman" w:cs="Times New Roman"/>
          <w:bCs/>
          <w:noProof/>
          <w:szCs w:val="21"/>
        </w:rPr>
        <w:t xml:space="preserve">ig. S4. The relationship among soil </w:t>
      </w:r>
      <w:proofErr w:type="spellStart"/>
      <w:r>
        <w:rPr>
          <w:rFonts w:ascii="Times New Roman" w:hAnsi="Times New Roman" w:cs="Times New Roman"/>
          <w:bCs/>
          <w:szCs w:val="21"/>
        </w:rPr>
        <w:t>multifunctionality</w:t>
      </w:r>
      <w:proofErr w:type="spellEnd"/>
      <w:r>
        <w:rPr>
          <w:rFonts w:ascii="Times New Roman" w:hAnsi="Times New Roman" w:cs="Times New Roman"/>
          <w:bCs/>
          <w:szCs w:val="21"/>
        </w:rPr>
        <w:t xml:space="preserve"> index,</w:t>
      </w:r>
      <w:r>
        <w:rPr>
          <w:rFonts w:ascii="Times New Roman" w:hAnsi="Times New Roman" w:cs="Times New Roman"/>
          <w:bCs/>
          <w:noProof/>
          <w:szCs w:val="21"/>
        </w:rPr>
        <w:t xml:space="preserve"> soil nutrient, and enzyme activity. In the square, the blue and red colors represent a positive and negative correlation, respectively, between the two variables. The association between the variables is stronger the deeper the hue.</w:t>
      </w:r>
    </w:p>
    <w:p w:rsidR="00F74AA1" w:rsidRDefault="00F74AA1" w:rsidP="00F74AA1">
      <w:pPr>
        <w:rPr>
          <w:rFonts w:ascii="Times New Roman" w:hAnsi="Times New Roman" w:cs="Times New Roman"/>
          <w:bCs/>
          <w:szCs w:val="21"/>
        </w:rPr>
      </w:pPr>
    </w:p>
    <w:p w:rsidR="00F74AA1" w:rsidRDefault="00F74AA1" w:rsidP="00F74AA1">
      <w:pPr>
        <w:rPr>
          <w:rFonts w:ascii="Times New Roman" w:hAnsi="Times New Roman" w:cs="Times New Roman"/>
          <w:bCs/>
          <w:szCs w:val="21"/>
        </w:rPr>
      </w:pPr>
    </w:p>
    <w:p w:rsidR="00F74AA1" w:rsidRDefault="00F74AA1" w:rsidP="00F74AA1">
      <w:pPr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noProof/>
          <w:szCs w:val="21"/>
          <w:lang w:eastAsia="en-US"/>
        </w:rPr>
        <w:drawing>
          <wp:inline distT="0" distB="0" distL="0" distR="0">
            <wp:extent cx="5274310" cy="4732655"/>
            <wp:effectExtent l="0" t="0" r="2540" b="0"/>
            <wp:docPr id="1" name="Picture 1" descr="图表, 日程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图表, 日程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3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AA1" w:rsidRDefault="00F74AA1" w:rsidP="00F74AA1">
      <w:pPr>
        <w:spacing w:line="360" w:lineRule="auto"/>
        <w:rPr>
          <w:rFonts w:ascii="Times New Roman" w:hAnsi="Times New Roman" w:cs="Times New Roman"/>
        </w:rPr>
      </w:pPr>
    </w:p>
    <w:p w:rsidR="00AD1398" w:rsidRDefault="00AD1398">
      <w:bookmarkStart w:id="0" w:name="_GoBack"/>
      <w:bookmarkEnd w:id="0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AA1"/>
    <w:rsid w:val="00AD1398"/>
    <w:rsid w:val="00F7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9DB44E-B766-45B4-96E4-7367A353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AA1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uiPriority w:val="99"/>
    <w:semiHidden/>
    <w:unhideWhenUsed/>
    <w:rsid w:val="00F74AA1"/>
    <w:rPr>
      <w:vertAlign w:val="superscript"/>
    </w:rPr>
  </w:style>
  <w:style w:type="table" w:styleId="TableGrid">
    <w:name w:val="Table Grid"/>
    <w:basedOn w:val="TableNormal"/>
    <w:uiPriority w:val="39"/>
    <w:rsid w:val="00F74AA1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8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2022-09-19T10:06:00Z</dcterms:created>
  <dcterms:modified xsi:type="dcterms:W3CDTF">2022-09-19T10:07:00Z</dcterms:modified>
</cp:coreProperties>
</file>