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E679B" w14:textId="36B72FCF" w:rsidR="00334983" w:rsidRDefault="00334983" w:rsidP="00334983">
      <w:pPr>
        <w:rPr>
          <w:rFonts w:ascii="Arial" w:hAnsi="Arial" w:cs="Arial"/>
          <w:b/>
          <w:color w:val="000000" w:themeColor="text1"/>
          <w:sz w:val="22"/>
          <w:szCs w:val="22"/>
        </w:rPr>
      </w:pPr>
      <w:r>
        <w:rPr>
          <w:rFonts w:ascii="Arial" w:hAnsi="Arial" w:cs="Arial"/>
          <w:b/>
          <w:color w:val="000000" w:themeColor="text1"/>
          <w:sz w:val="22"/>
          <w:szCs w:val="22"/>
        </w:rPr>
        <w:t xml:space="preserve">Supplemental Methods for </w:t>
      </w:r>
    </w:p>
    <w:p w14:paraId="6DC77CD2" w14:textId="77777777" w:rsidR="00334983" w:rsidRDefault="00334983" w:rsidP="00334983">
      <w:pPr>
        <w:rPr>
          <w:rFonts w:ascii="Arial" w:hAnsi="Arial" w:cs="Arial"/>
          <w:b/>
          <w:color w:val="000000" w:themeColor="text1"/>
          <w:sz w:val="22"/>
          <w:szCs w:val="22"/>
        </w:rPr>
      </w:pPr>
    </w:p>
    <w:p w14:paraId="257DA4DF" w14:textId="336967FF" w:rsidR="00334983" w:rsidRPr="00494F5D" w:rsidRDefault="00334983" w:rsidP="00334983">
      <w:pPr>
        <w:rPr>
          <w:rFonts w:ascii="Arial" w:hAnsi="Arial" w:cs="Arial"/>
          <w:b/>
          <w:color w:val="000000" w:themeColor="text1"/>
          <w:sz w:val="22"/>
          <w:szCs w:val="22"/>
        </w:rPr>
      </w:pPr>
      <w:r>
        <w:rPr>
          <w:rFonts w:ascii="Arial" w:hAnsi="Arial" w:cs="Arial"/>
          <w:b/>
          <w:color w:val="000000" w:themeColor="text1"/>
          <w:sz w:val="22"/>
          <w:szCs w:val="22"/>
        </w:rPr>
        <w:t>Kidney</w:t>
      </w:r>
      <w:r w:rsidRPr="00494F5D">
        <w:rPr>
          <w:rFonts w:ascii="Arial" w:hAnsi="Arial" w:cs="Arial"/>
          <w:b/>
          <w:color w:val="000000" w:themeColor="text1"/>
          <w:sz w:val="22"/>
          <w:szCs w:val="22"/>
        </w:rPr>
        <w:t xml:space="preserve"> </w:t>
      </w:r>
      <w:r>
        <w:rPr>
          <w:rFonts w:ascii="Arial" w:hAnsi="Arial" w:cs="Arial"/>
          <w:b/>
          <w:color w:val="000000" w:themeColor="text1"/>
          <w:sz w:val="22"/>
          <w:szCs w:val="22"/>
        </w:rPr>
        <w:t xml:space="preserve">tubular </w:t>
      </w:r>
      <w:r w:rsidRPr="00494F5D">
        <w:rPr>
          <w:rFonts w:ascii="Arial" w:hAnsi="Arial" w:cs="Arial"/>
          <w:b/>
          <w:color w:val="000000" w:themeColor="text1"/>
          <w:sz w:val="22"/>
          <w:szCs w:val="22"/>
        </w:rPr>
        <w:t>epithelial cell ferroptosis links glomerular</w:t>
      </w:r>
      <w:r>
        <w:rPr>
          <w:rFonts w:ascii="Arial" w:hAnsi="Arial" w:cs="Arial"/>
          <w:b/>
          <w:color w:val="000000" w:themeColor="text1"/>
          <w:sz w:val="22"/>
          <w:szCs w:val="22"/>
        </w:rPr>
        <w:t xml:space="preserve"> injury</w:t>
      </w:r>
      <w:r w:rsidRPr="00494F5D">
        <w:rPr>
          <w:rFonts w:ascii="Arial" w:hAnsi="Arial" w:cs="Arial"/>
          <w:b/>
          <w:color w:val="000000" w:themeColor="text1"/>
          <w:sz w:val="22"/>
          <w:szCs w:val="22"/>
        </w:rPr>
        <w:t xml:space="preserve"> to tubulointerstitial </w:t>
      </w:r>
      <w:r>
        <w:rPr>
          <w:rFonts w:ascii="Arial" w:hAnsi="Arial" w:cs="Arial"/>
          <w:b/>
          <w:color w:val="000000" w:themeColor="text1"/>
          <w:sz w:val="22"/>
          <w:szCs w:val="22"/>
        </w:rPr>
        <w:t>pathology</w:t>
      </w:r>
      <w:r w:rsidRPr="00494F5D">
        <w:rPr>
          <w:rFonts w:ascii="Arial" w:hAnsi="Arial" w:cs="Arial"/>
          <w:b/>
          <w:color w:val="000000" w:themeColor="text1"/>
          <w:sz w:val="22"/>
          <w:szCs w:val="22"/>
        </w:rPr>
        <w:t xml:space="preserve"> in </w:t>
      </w:r>
      <w:r>
        <w:rPr>
          <w:rFonts w:ascii="Arial" w:hAnsi="Arial" w:cs="Arial"/>
          <w:b/>
          <w:color w:val="000000" w:themeColor="text1"/>
          <w:sz w:val="22"/>
          <w:szCs w:val="22"/>
        </w:rPr>
        <w:t>lupus nephritis</w:t>
      </w:r>
      <w:r w:rsidRPr="00494F5D">
        <w:rPr>
          <w:rFonts w:ascii="Arial" w:hAnsi="Arial" w:cs="Arial"/>
          <w:b/>
          <w:color w:val="000000" w:themeColor="text1"/>
          <w:sz w:val="22"/>
          <w:szCs w:val="22"/>
        </w:rPr>
        <w:t>.</w:t>
      </w:r>
    </w:p>
    <w:p w14:paraId="602AC12C" w14:textId="77777777" w:rsidR="00334983" w:rsidRPr="00494F5D" w:rsidRDefault="00334983" w:rsidP="00334983">
      <w:pPr>
        <w:rPr>
          <w:rFonts w:ascii="Arial" w:hAnsi="Arial" w:cs="Arial"/>
          <w:b/>
          <w:color w:val="000000" w:themeColor="text1"/>
          <w:sz w:val="22"/>
          <w:szCs w:val="22"/>
        </w:rPr>
      </w:pPr>
    </w:p>
    <w:p w14:paraId="63419DBB" w14:textId="0F84153A" w:rsidR="00334983" w:rsidRPr="00494F5D" w:rsidRDefault="00334983" w:rsidP="00334983">
      <w:pPr>
        <w:rPr>
          <w:rFonts w:ascii="Arial" w:hAnsi="Arial" w:cs="Arial"/>
          <w:bCs/>
          <w:color w:val="000000" w:themeColor="text1"/>
          <w:sz w:val="22"/>
          <w:szCs w:val="22"/>
        </w:rPr>
      </w:pPr>
      <w:r w:rsidRPr="00494F5D">
        <w:rPr>
          <w:rFonts w:ascii="Arial" w:hAnsi="Arial" w:cs="Arial"/>
          <w:bCs/>
          <w:color w:val="000000" w:themeColor="text1"/>
          <w:sz w:val="22"/>
          <w:szCs w:val="22"/>
        </w:rPr>
        <w:t>Abdel</w:t>
      </w:r>
      <w:r>
        <w:rPr>
          <w:rFonts w:ascii="Arial" w:hAnsi="Arial" w:cs="Arial"/>
          <w:bCs/>
          <w:color w:val="000000" w:themeColor="text1"/>
          <w:sz w:val="22"/>
          <w:szCs w:val="22"/>
        </w:rPr>
        <w:t xml:space="preserve"> A</w:t>
      </w:r>
      <w:r w:rsidRPr="00494F5D">
        <w:rPr>
          <w:rFonts w:ascii="Arial" w:hAnsi="Arial" w:cs="Arial"/>
          <w:bCs/>
          <w:color w:val="000000" w:themeColor="text1"/>
          <w:sz w:val="22"/>
          <w:szCs w:val="22"/>
        </w:rPr>
        <w:t xml:space="preserve"> Alli</w:t>
      </w:r>
      <w:r w:rsidRPr="00494F5D">
        <w:rPr>
          <w:rFonts w:ascii="Arial" w:hAnsi="Arial" w:cs="Arial"/>
          <w:bCs/>
          <w:color w:val="000000" w:themeColor="text1"/>
          <w:sz w:val="22"/>
          <w:szCs w:val="22"/>
          <w:vertAlign w:val="superscript"/>
        </w:rPr>
        <w:t>1</w:t>
      </w:r>
      <w:r w:rsidRPr="00494F5D">
        <w:rPr>
          <w:rFonts w:ascii="Arial" w:hAnsi="Arial" w:cs="Arial"/>
          <w:bCs/>
          <w:color w:val="000000" w:themeColor="text1"/>
          <w:sz w:val="22"/>
          <w:szCs w:val="22"/>
        </w:rPr>
        <w:t>, Dhruv Desai</w:t>
      </w:r>
      <w:r w:rsidRPr="00494F5D">
        <w:rPr>
          <w:rFonts w:ascii="Arial" w:hAnsi="Arial" w:cs="Arial"/>
          <w:bCs/>
          <w:color w:val="000000" w:themeColor="text1"/>
          <w:sz w:val="22"/>
          <w:szCs w:val="22"/>
          <w:vertAlign w:val="superscript"/>
        </w:rPr>
        <w:t>2</w:t>
      </w:r>
      <w:r w:rsidRPr="00494F5D">
        <w:rPr>
          <w:rFonts w:ascii="Arial" w:hAnsi="Arial" w:cs="Arial"/>
          <w:bCs/>
          <w:color w:val="000000" w:themeColor="text1"/>
          <w:sz w:val="22"/>
          <w:szCs w:val="22"/>
        </w:rPr>
        <w:t>, Ahmed Elshika</w:t>
      </w:r>
      <w:r w:rsidRPr="00494F5D">
        <w:rPr>
          <w:rFonts w:ascii="Arial" w:hAnsi="Arial" w:cs="Arial"/>
          <w:bCs/>
          <w:color w:val="000000" w:themeColor="text1"/>
          <w:sz w:val="22"/>
          <w:szCs w:val="22"/>
          <w:vertAlign w:val="superscript"/>
        </w:rPr>
        <w:t>3</w:t>
      </w:r>
      <w:r w:rsidRPr="00494F5D">
        <w:rPr>
          <w:rFonts w:ascii="Arial" w:hAnsi="Arial" w:cs="Arial"/>
          <w:bCs/>
          <w:color w:val="000000" w:themeColor="text1"/>
          <w:sz w:val="22"/>
          <w:szCs w:val="22"/>
        </w:rPr>
        <w:t>, Marcus Conrad</w:t>
      </w:r>
      <w:r w:rsidRPr="00494F5D">
        <w:rPr>
          <w:rFonts w:ascii="Arial" w:hAnsi="Arial" w:cs="Arial"/>
          <w:bCs/>
          <w:color w:val="000000" w:themeColor="text1"/>
          <w:sz w:val="22"/>
          <w:szCs w:val="22"/>
          <w:vertAlign w:val="superscript"/>
        </w:rPr>
        <w:t>4</w:t>
      </w:r>
      <w:r w:rsidRPr="00494F5D">
        <w:rPr>
          <w:rFonts w:ascii="Arial" w:hAnsi="Arial" w:cs="Arial"/>
          <w:bCs/>
          <w:color w:val="000000" w:themeColor="text1"/>
          <w:sz w:val="22"/>
          <w:szCs w:val="22"/>
        </w:rPr>
        <w:t xml:space="preserve">, Bettina </w:t>
      </w:r>
      <w:r w:rsidRPr="005570DA">
        <w:rPr>
          <w:rFonts w:ascii="Arial" w:hAnsi="Arial" w:cs="Arial"/>
          <w:bCs/>
          <w:color w:val="000000" w:themeColor="text1"/>
          <w:sz w:val="22"/>
          <w:szCs w:val="22"/>
        </w:rPr>
        <w:t>Proneth</w:t>
      </w:r>
      <w:r w:rsidRPr="005570DA">
        <w:rPr>
          <w:rFonts w:ascii="Arial" w:hAnsi="Arial" w:cs="Arial"/>
          <w:bCs/>
          <w:color w:val="000000" w:themeColor="text1"/>
          <w:sz w:val="22"/>
          <w:szCs w:val="22"/>
          <w:vertAlign w:val="superscript"/>
        </w:rPr>
        <w:t>4</w:t>
      </w:r>
      <w:r>
        <w:rPr>
          <w:rFonts w:ascii="Arial" w:hAnsi="Arial" w:cs="Arial"/>
          <w:bCs/>
          <w:color w:val="000000" w:themeColor="text1"/>
          <w:sz w:val="22"/>
          <w:szCs w:val="22"/>
        </w:rPr>
        <w:t xml:space="preserve">, </w:t>
      </w:r>
      <w:r w:rsidRPr="005570DA">
        <w:rPr>
          <w:rFonts w:ascii="Arial" w:hAnsi="Arial" w:cs="Arial"/>
          <w:bCs/>
          <w:color w:val="000000" w:themeColor="text1"/>
          <w:sz w:val="22"/>
          <w:szCs w:val="22"/>
        </w:rPr>
        <w:t>William</w:t>
      </w:r>
      <w:r w:rsidRPr="00494F5D">
        <w:rPr>
          <w:rFonts w:ascii="Arial" w:hAnsi="Arial" w:cs="Arial"/>
          <w:bCs/>
          <w:color w:val="000000" w:themeColor="text1"/>
          <w:sz w:val="22"/>
          <w:szCs w:val="22"/>
        </w:rPr>
        <w:t xml:space="preserve"> Clapp</w:t>
      </w:r>
      <w:r>
        <w:rPr>
          <w:rFonts w:ascii="Arial" w:hAnsi="Arial" w:cs="Arial"/>
          <w:bCs/>
          <w:color w:val="000000" w:themeColor="text1"/>
          <w:sz w:val="22"/>
          <w:szCs w:val="22"/>
          <w:vertAlign w:val="superscript"/>
        </w:rPr>
        <w:t>3</w:t>
      </w:r>
      <w:r w:rsidRPr="00024B1E">
        <w:rPr>
          <w:rFonts w:ascii="Arial" w:hAnsi="Arial" w:cs="Arial"/>
          <w:bCs/>
          <w:color w:val="000000" w:themeColor="text1"/>
          <w:sz w:val="22"/>
          <w:szCs w:val="22"/>
        </w:rPr>
        <w:t>,</w:t>
      </w:r>
      <w:r w:rsidRPr="00494F5D">
        <w:rPr>
          <w:rFonts w:ascii="Arial" w:hAnsi="Arial" w:cs="Arial"/>
          <w:bCs/>
          <w:color w:val="000000" w:themeColor="text1"/>
          <w:sz w:val="22"/>
          <w:szCs w:val="22"/>
        </w:rPr>
        <w:t xml:space="preserve"> </w:t>
      </w:r>
      <w:r>
        <w:rPr>
          <w:rFonts w:ascii="Arial" w:hAnsi="Arial" w:cs="Arial"/>
          <w:bCs/>
          <w:color w:val="000000" w:themeColor="text1"/>
          <w:sz w:val="22"/>
          <w:szCs w:val="22"/>
        </w:rPr>
        <w:t>Carl Atkinson</w:t>
      </w:r>
      <w:r w:rsidRPr="00494F5D">
        <w:rPr>
          <w:rFonts w:ascii="Arial" w:hAnsi="Arial" w:cs="Arial"/>
          <w:bCs/>
          <w:color w:val="000000" w:themeColor="text1"/>
          <w:sz w:val="22"/>
          <w:szCs w:val="22"/>
          <w:vertAlign w:val="superscript"/>
        </w:rPr>
        <w:t>2</w:t>
      </w:r>
      <w:r>
        <w:rPr>
          <w:rFonts w:ascii="Arial" w:hAnsi="Arial" w:cs="Arial"/>
          <w:bCs/>
          <w:color w:val="000000" w:themeColor="text1"/>
          <w:sz w:val="22"/>
          <w:szCs w:val="22"/>
        </w:rPr>
        <w:t>,</w:t>
      </w:r>
      <w:r w:rsidRPr="00BF7CAD">
        <w:rPr>
          <w:rFonts w:ascii="Calibri" w:hAnsi="Calibri" w:cs="Calibri"/>
          <w:color w:val="000000"/>
          <w:shd w:val="clear" w:color="auto" w:fill="FFFFFF"/>
        </w:rPr>
        <w:t xml:space="preserve"> </w:t>
      </w:r>
      <w:r w:rsidRPr="00494F5D">
        <w:rPr>
          <w:rFonts w:ascii="Arial" w:hAnsi="Arial" w:cs="Arial"/>
          <w:bCs/>
          <w:color w:val="000000" w:themeColor="text1"/>
          <w:sz w:val="22"/>
          <w:szCs w:val="22"/>
        </w:rPr>
        <w:t xml:space="preserve">Mark </w:t>
      </w:r>
      <w:r w:rsidRPr="008518DE">
        <w:rPr>
          <w:rFonts w:ascii="Arial" w:hAnsi="Arial" w:cs="Arial"/>
          <w:bCs/>
          <w:color w:val="000000" w:themeColor="text1"/>
          <w:sz w:val="22"/>
          <w:szCs w:val="22"/>
        </w:rPr>
        <w:t>Segal</w:t>
      </w:r>
      <w:r w:rsidRPr="008518DE">
        <w:rPr>
          <w:rFonts w:ascii="Arial" w:hAnsi="Arial" w:cs="Arial"/>
          <w:bCs/>
          <w:color w:val="000000" w:themeColor="text1"/>
          <w:sz w:val="22"/>
          <w:szCs w:val="22"/>
          <w:vertAlign w:val="superscript"/>
        </w:rPr>
        <w:t>2</w:t>
      </w:r>
      <w:r>
        <w:rPr>
          <w:rFonts w:ascii="Arial" w:hAnsi="Arial" w:cs="Arial"/>
          <w:bCs/>
          <w:color w:val="000000" w:themeColor="text1"/>
          <w:sz w:val="22"/>
          <w:szCs w:val="22"/>
        </w:rPr>
        <w:t xml:space="preserve">, </w:t>
      </w:r>
      <w:r w:rsidRPr="008518DE">
        <w:rPr>
          <w:rFonts w:ascii="Calibri" w:hAnsi="Calibri" w:cs="Calibri"/>
          <w:color w:val="000000"/>
          <w:shd w:val="clear" w:color="auto" w:fill="FFFFFF"/>
        </w:rPr>
        <w:t>Louis</w:t>
      </w:r>
      <w:r>
        <w:rPr>
          <w:rFonts w:ascii="Calibri" w:hAnsi="Calibri" w:cs="Calibri"/>
          <w:color w:val="000000"/>
          <w:shd w:val="clear" w:color="auto" w:fill="FFFFFF"/>
        </w:rPr>
        <w:t xml:space="preserve"> A. Searcy</w:t>
      </w:r>
      <w:r w:rsidRPr="50A78C56">
        <w:rPr>
          <w:rFonts w:ascii="Arial" w:hAnsi="Arial" w:cs="Arial"/>
          <w:color w:val="000000" w:themeColor="text1"/>
          <w:sz w:val="22"/>
          <w:szCs w:val="22"/>
          <w:vertAlign w:val="superscript"/>
        </w:rPr>
        <w:t>5</w:t>
      </w:r>
      <w:r w:rsidRPr="50A78C56">
        <w:rPr>
          <w:rFonts w:ascii="Arial" w:hAnsi="Arial" w:cs="Arial"/>
          <w:color w:val="000000" w:themeColor="text1"/>
          <w:sz w:val="22"/>
          <w:szCs w:val="22"/>
        </w:rPr>
        <w:t>, Nancy D. Denslow</w:t>
      </w:r>
      <w:r w:rsidRPr="50A78C56">
        <w:rPr>
          <w:rFonts w:ascii="Arial" w:hAnsi="Arial" w:cs="Arial"/>
          <w:color w:val="000000" w:themeColor="text1"/>
          <w:sz w:val="22"/>
          <w:szCs w:val="22"/>
          <w:vertAlign w:val="superscript"/>
        </w:rPr>
        <w:t>5</w:t>
      </w:r>
      <w:r w:rsidRPr="00BF7CAD">
        <w:rPr>
          <w:rFonts w:ascii="Arial" w:hAnsi="Arial" w:cs="Arial"/>
          <w:color w:val="000000" w:themeColor="text1"/>
          <w:sz w:val="22"/>
          <w:szCs w:val="22"/>
        </w:rPr>
        <w:t>,</w:t>
      </w:r>
      <w:r>
        <w:rPr>
          <w:rFonts w:ascii="Arial" w:hAnsi="Arial" w:cs="Arial"/>
          <w:bCs/>
          <w:color w:val="000000" w:themeColor="text1"/>
          <w:sz w:val="22"/>
          <w:szCs w:val="22"/>
        </w:rPr>
        <w:t xml:space="preserve"> </w:t>
      </w:r>
      <w:proofErr w:type="spellStart"/>
      <w:r>
        <w:rPr>
          <w:rFonts w:ascii="Arial" w:hAnsi="Arial" w:cs="Arial"/>
          <w:bCs/>
          <w:color w:val="000000" w:themeColor="text1"/>
          <w:sz w:val="22"/>
          <w:szCs w:val="22"/>
        </w:rPr>
        <w:t>Subashini</w:t>
      </w:r>
      <w:proofErr w:type="spellEnd"/>
      <w:r>
        <w:rPr>
          <w:rFonts w:ascii="Arial" w:hAnsi="Arial" w:cs="Arial"/>
          <w:bCs/>
          <w:color w:val="000000" w:themeColor="text1"/>
          <w:sz w:val="22"/>
          <w:szCs w:val="22"/>
        </w:rPr>
        <w:t xml:space="preserve"> Bolisetty</w:t>
      </w:r>
      <w:r>
        <w:rPr>
          <w:rFonts w:ascii="Arial" w:hAnsi="Arial" w:cs="Arial"/>
          <w:bCs/>
          <w:color w:val="000000" w:themeColor="text1"/>
          <w:sz w:val="22"/>
          <w:szCs w:val="22"/>
          <w:vertAlign w:val="superscript"/>
        </w:rPr>
        <w:t>6</w:t>
      </w:r>
      <w:r w:rsidRPr="0008192E">
        <w:rPr>
          <w:rFonts w:ascii="Arial" w:hAnsi="Arial" w:cs="Arial"/>
          <w:bCs/>
          <w:color w:val="000000" w:themeColor="text1"/>
          <w:sz w:val="22"/>
          <w:szCs w:val="22"/>
        </w:rPr>
        <w:t>,</w:t>
      </w:r>
      <w:r w:rsidRPr="00494F5D">
        <w:rPr>
          <w:rFonts w:ascii="Arial" w:hAnsi="Arial" w:cs="Arial"/>
          <w:bCs/>
          <w:color w:val="000000" w:themeColor="text1"/>
          <w:sz w:val="22"/>
          <w:szCs w:val="22"/>
        </w:rPr>
        <w:t xml:space="preserve"> Borna Mehrad</w:t>
      </w:r>
      <w:r w:rsidRPr="00494F5D">
        <w:rPr>
          <w:rFonts w:ascii="Arial" w:hAnsi="Arial" w:cs="Arial"/>
          <w:bCs/>
          <w:color w:val="000000" w:themeColor="text1"/>
          <w:sz w:val="22"/>
          <w:szCs w:val="22"/>
          <w:vertAlign w:val="superscript"/>
        </w:rPr>
        <w:t>2</w:t>
      </w:r>
      <w:r>
        <w:rPr>
          <w:rFonts w:ascii="Arial" w:hAnsi="Arial" w:cs="Arial"/>
          <w:bCs/>
          <w:color w:val="000000" w:themeColor="text1"/>
          <w:sz w:val="22"/>
          <w:szCs w:val="22"/>
          <w:vertAlign w:val="superscript"/>
        </w:rPr>
        <w:t xml:space="preserve">, </w:t>
      </w:r>
      <w:r w:rsidR="00CC2A73" w:rsidRPr="00494F5D">
        <w:rPr>
          <w:rFonts w:ascii="Arial" w:hAnsi="Arial" w:cs="Arial"/>
          <w:bCs/>
          <w:color w:val="000000" w:themeColor="text1"/>
          <w:sz w:val="22"/>
          <w:szCs w:val="22"/>
        </w:rPr>
        <w:t>Laurence Morel</w:t>
      </w:r>
      <w:r w:rsidR="00CC2A73" w:rsidRPr="00494F5D">
        <w:rPr>
          <w:rFonts w:ascii="Arial" w:hAnsi="Arial" w:cs="Arial"/>
          <w:bCs/>
          <w:color w:val="000000" w:themeColor="text1"/>
          <w:sz w:val="22"/>
          <w:szCs w:val="22"/>
          <w:vertAlign w:val="superscript"/>
        </w:rPr>
        <w:t>3</w:t>
      </w:r>
      <w:r w:rsidRPr="00494F5D">
        <w:rPr>
          <w:rFonts w:ascii="Arial" w:hAnsi="Arial" w:cs="Arial"/>
          <w:bCs/>
          <w:color w:val="000000" w:themeColor="text1"/>
          <w:sz w:val="22"/>
          <w:szCs w:val="22"/>
        </w:rPr>
        <w:t>and Yogesh Scindia</w:t>
      </w:r>
      <w:r w:rsidRPr="00494F5D">
        <w:rPr>
          <w:rFonts w:ascii="Arial" w:hAnsi="Arial" w:cs="Arial"/>
          <w:bCs/>
          <w:color w:val="000000" w:themeColor="text1"/>
          <w:sz w:val="22"/>
          <w:szCs w:val="22"/>
          <w:vertAlign w:val="superscript"/>
        </w:rPr>
        <w:t>2,3</w:t>
      </w:r>
      <w:r w:rsidRPr="00494F5D">
        <w:rPr>
          <w:rFonts w:ascii="Arial" w:hAnsi="Arial" w:cs="Arial"/>
          <w:bCs/>
          <w:color w:val="000000" w:themeColor="text1"/>
          <w:sz w:val="32"/>
          <w:szCs w:val="32"/>
          <w:vertAlign w:val="superscript"/>
        </w:rPr>
        <w:t>*</w:t>
      </w:r>
      <w:r w:rsidRPr="00494F5D">
        <w:rPr>
          <w:rFonts w:ascii="Arial" w:hAnsi="Arial" w:cs="Arial"/>
          <w:bCs/>
          <w:color w:val="000000" w:themeColor="text1"/>
          <w:sz w:val="22"/>
          <w:szCs w:val="22"/>
        </w:rPr>
        <w:t xml:space="preserve"> </w:t>
      </w:r>
    </w:p>
    <w:p w14:paraId="674D0C96" w14:textId="77777777" w:rsidR="00334983" w:rsidRPr="00494F5D" w:rsidRDefault="00334983" w:rsidP="00334983">
      <w:pPr>
        <w:rPr>
          <w:rFonts w:ascii="Arial" w:hAnsi="Arial" w:cs="Arial"/>
          <w:b/>
          <w:color w:val="000000" w:themeColor="text1"/>
          <w:sz w:val="22"/>
          <w:szCs w:val="22"/>
        </w:rPr>
      </w:pPr>
    </w:p>
    <w:p w14:paraId="11E8C7C9" w14:textId="77777777" w:rsidR="00334983" w:rsidRPr="00494F5D" w:rsidRDefault="00334983" w:rsidP="00334983">
      <w:pPr>
        <w:rPr>
          <w:rFonts w:ascii="Arial" w:hAnsi="Arial" w:cs="Arial"/>
          <w:b/>
          <w:color w:val="000000" w:themeColor="text1"/>
          <w:sz w:val="22"/>
          <w:szCs w:val="22"/>
        </w:rPr>
      </w:pPr>
    </w:p>
    <w:p w14:paraId="2A453613" w14:textId="3F0A9199" w:rsidR="00334983" w:rsidRDefault="00334983" w:rsidP="00334983">
      <w:pPr>
        <w:spacing w:line="360" w:lineRule="auto"/>
        <w:jc w:val="both"/>
        <w:rPr>
          <w:rFonts w:ascii="Arial" w:hAnsi="Arial" w:cs="Arial"/>
          <w:bCs/>
          <w:color w:val="000000" w:themeColor="text1"/>
          <w:sz w:val="22"/>
          <w:szCs w:val="22"/>
        </w:rPr>
      </w:pPr>
      <w:r w:rsidRPr="00494F5D">
        <w:rPr>
          <w:rFonts w:ascii="Arial" w:hAnsi="Arial" w:cs="Arial"/>
          <w:bCs/>
          <w:color w:val="000000" w:themeColor="text1"/>
          <w:sz w:val="22"/>
          <w:szCs w:val="22"/>
        </w:rPr>
        <w:t>Abdel Alli and Dhruv Desai contributed equally to this work</w:t>
      </w:r>
    </w:p>
    <w:p w14:paraId="2B6BE51E" w14:textId="77777777" w:rsidR="00724037" w:rsidRPr="00334983" w:rsidRDefault="00724037">
      <w:pPr>
        <w:rPr>
          <w:rFonts w:ascii="Arial" w:hAnsi="Arial" w:cs="Arial"/>
          <w:bCs/>
          <w:color w:val="000000" w:themeColor="text1"/>
          <w:sz w:val="22"/>
          <w:szCs w:val="22"/>
        </w:rPr>
      </w:pPr>
    </w:p>
    <w:p w14:paraId="44E0CD8F" w14:textId="01CDA048" w:rsidR="00724037" w:rsidRDefault="00724037">
      <w:pPr>
        <w:rPr>
          <w:rFonts w:ascii="Arial" w:eastAsiaTheme="minorEastAsia" w:hAnsi="Arial" w:cs="Arial"/>
          <w:b/>
          <w:bCs/>
          <w:noProof/>
          <w:color w:val="000000" w:themeColor="text1"/>
          <w:sz w:val="22"/>
          <w:szCs w:val="22"/>
        </w:rPr>
      </w:pPr>
      <w:r>
        <w:rPr>
          <w:rFonts w:ascii="Arial" w:hAnsi="Arial" w:cs="Arial"/>
          <w:b/>
          <w:bCs/>
          <w:noProof/>
          <w:color w:val="000000" w:themeColor="text1"/>
          <w:sz w:val="22"/>
          <w:szCs w:val="22"/>
        </w:rPr>
        <w:br w:type="page"/>
      </w:r>
    </w:p>
    <w:p w14:paraId="2B894FDE" w14:textId="10764DF5" w:rsidR="00552F7C" w:rsidRDefault="00552F7C" w:rsidP="00522EE1">
      <w:pPr>
        <w:pStyle w:val="NoSpacing"/>
        <w:spacing w:line="360" w:lineRule="auto"/>
        <w:jc w:val="both"/>
        <w:rPr>
          <w:rFonts w:ascii="Arial" w:hAnsi="Arial" w:cs="Arial"/>
          <w:b/>
          <w:bCs/>
          <w:noProof/>
          <w:color w:val="000000" w:themeColor="text1"/>
          <w:sz w:val="22"/>
          <w:szCs w:val="22"/>
        </w:rPr>
      </w:pPr>
      <w:r>
        <w:rPr>
          <w:rFonts w:ascii="Arial" w:hAnsi="Arial" w:cs="Arial"/>
          <w:b/>
          <w:bCs/>
          <w:noProof/>
          <w:color w:val="000000" w:themeColor="text1"/>
          <w:sz w:val="22"/>
          <w:szCs w:val="22"/>
        </w:rPr>
        <w:lastRenderedPageBreak/>
        <w:t>Supplemental Methods</w:t>
      </w:r>
    </w:p>
    <w:p w14:paraId="36032118" w14:textId="085379BE" w:rsidR="00522EE1" w:rsidRPr="00522EE1" w:rsidRDefault="00522EE1" w:rsidP="00552F7C">
      <w:pPr>
        <w:pStyle w:val="NoSpacing"/>
        <w:spacing w:line="360" w:lineRule="auto"/>
        <w:jc w:val="both"/>
        <w:rPr>
          <w:rFonts w:ascii="Arial" w:hAnsi="Arial" w:cs="Arial"/>
          <w:b/>
          <w:bCs/>
          <w:noProof/>
          <w:color w:val="000000" w:themeColor="text1"/>
          <w:sz w:val="22"/>
          <w:szCs w:val="22"/>
        </w:rPr>
      </w:pPr>
      <w:r w:rsidRPr="00522EE1">
        <w:rPr>
          <w:rFonts w:ascii="Arial" w:hAnsi="Arial" w:cs="Arial"/>
          <w:b/>
          <w:bCs/>
          <w:noProof/>
          <w:color w:val="000000" w:themeColor="text1"/>
          <w:sz w:val="22"/>
          <w:szCs w:val="22"/>
        </w:rPr>
        <w:t>Immunohistochemistry</w:t>
      </w:r>
    </w:p>
    <w:p w14:paraId="6528E0D6" w14:textId="6ACA2BF1" w:rsidR="00552F7C" w:rsidRDefault="00522EE1" w:rsidP="00552F7C">
      <w:pPr>
        <w:pStyle w:val="NoSpacing"/>
        <w:spacing w:line="360" w:lineRule="auto"/>
        <w:ind w:firstLine="720"/>
        <w:jc w:val="both"/>
        <w:rPr>
          <w:rFonts w:ascii="Arial" w:hAnsi="Arial" w:cs="Arial"/>
          <w:noProof/>
          <w:color w:val="000000" w:themeColor="text1"/>
          <w:sz w:val="22"/>
          <w:szCs w:val="22"/>
        </w:rPr>
      </w:pPr>
      <w:r w:rsidRPr="00522EE1">
        <w:rPr>
          <w:rFonts w:ascii="Arial" w:hAnsi="Arial" w:cs="Arial"/>
          <w:noProof/>
          <w:color w:val="000000" w:themeColor="text1"/>
          <w:sz w:val="22"/>
          <w:szCs w:val="22"/>
        </w:rPr>
        <w:t xml:space="preserve">Paraffin-embedded human biopsies or mouse kidney sections (3 μm) were stained for acyl-CoA synthetase long-chain family member 4 (ACSL4) or 4-hydroxynonenal (4-HNE)  using standard protocols. </w:t>
      </w:r>
      <w:r w:rsidR="00334983">
        <w:rPr>
          <w:rFonts w:ascii="Arial" w:hAnsi="Arial" w:cs="Arial"/>
          <w:noProof/>
          <w:color w:val="000000" w:themeColor="text1"/>
          <w:sz w:val="22"/>
          <w:szCs w:val="22"/>
        </w:rPr>
        <w:t>S</w:t>
      </w:r>
      <w:r w:rsidRPr="00522EE1">
        <w:rPr>
          <w:rFonts w:ascii="Arial" w:hAnsi="Arial" w:cs="Arial"/>
          <w:noProof/>
          <w:color w:val="000000" w:themeColor="text1"/>
          <w:sz w:val="22"/>
          <w:szCs w:val="22"/>
        </w:rPr>
        <w:t>ections were deparaffinized in xylenes, rehydrated in a series of ethanol rinses (100%–70%), and washed in distilled water. Sections were then incubated in 3% H</w:t>
      </w:r>
      <w:r w:rsidRPr="00522EE1">
        <w:rPr>
          <w:rFonts w:ascii="Arial" w:hAnsi="Arial" w:cs="Arial"/>
          <w:noProof/>
          <w:color w:val="000000" w:themeColor="text1"/>
          <w:sz w:val="22"/>
          <w:szCs w:val="22"/>
          <w:vertAlign w:val="subscript"/>
        </w:rPr>
        <w:t>2</w:t>
      </w:r>
      <w:r w:rsidRPr="00522EE1">
        <w:rPr>
          <w:rFonts w:ascii="Arial" w:hAnsi="Arial" w:cs="Arial"/>
          <w:noProof/>
          <w:color w:val="000000" w:themeColor="text1"/>
          <w:sz w:val="22"/>
          <w:szCs w:val="22"/>
        </w:rPr>
        <w:t>O</w:t>
      </w:r>
      <w:r w:rsidRPr="00522EE1">
        <w:rPr>
          <w:rFonts w:ascii="Arial" w:hAnsi="Arial" w:cs="Arial"/>
          <w:noProof/>
          <w:color w:val="000000" w:themeColor="text1"/>
          <w:sz w:val="22"/>
          <w:szCs w:val="22"/>
          <w:vertAlign w:val="subscript"/>
        </w:rPr>
        <w:t>2</w:t>
      </w:r>
      <w:r w:rsidRPr="00522EE1">
        <w:rPr>
          <w:rFonts w:ascii="Arial" w:hAnsi="Arial" w:cs="Arial"/>
          <w:noProof/>
          <w:color w:val="000000" w:themeColor="text1"/>
          <w:sz w:val="22"/>
          <w:szCs w:val="22"/>
        </w:rPr>
        <w:t xml:space="preserve"> in methanol for 20 minutes. After antigen retrieval by heating in citrate buffer and treating with avidin and biotin for 15 minutes each (Avidin/Biotin Blocking Kit; Vector Laboratories), the sections were incubated in blocking buffer containing 10% donkey serum in 0.1 M sodium phosphate buffer pH 7.4 (phosphate buffer) at room temperature for 30 minutes. Next, sections were incubated with anti-ACSL4 (1: 500, in 1% BSA/phosphate buffer;  sc-271800, Santa Cruz) or  4-HNE antibody (1:1000 in 1% BSA/phosphate buffer; Abcam, </w:t>
      </w:r>
      <w:r w:rsidRPr="00522EE1">
        <w:rPr>
          <w:rFonts w:ascii="Arial" w:hAnsi="Arial" w:cs="Arial"/>
          <w:sz w:val="22"/>
          <w:szCs w:val="22"/>
        </w:rPr>
        <w:t>Boston, MA</w:t>
      </w:r>
      <w:r w:rsidRPr="00522EE1">
        <w:rPr>
          <w:rFonts w:ascii="Arial" w:hAnsi="Arial" w:cs="Arial"/>
          <w:noProof/>
          <w:color w:val="000000" w:themeColor="text1"/>
          <w:sz w:val="22"/>
          <w:szCs w:val="22"/>
        </w:rPr>
        <w:t>) overnight at 4°C. After three washes with phosphate buffer for 5 minutes each, sections were incubated with biotinylated donkey anti-mouse or donkey anti-goat secondary antibody (1:400 dilution; Vector Laboratories) for 1 hour. After three washes in phosphate buffer, sections were incubated with ABC ready-to-use reagent (VECTASTAIN Elite ABC Kit; Vector Laboratories) for 30 minutes. After another three washes with phosphate buffer, the sections were incubated with 3,3′-diaminobenzidine for 5 minutes, followed by washing with distilled water. Finally, the sections were counterstained with 1% methylene blue solution, washed in water, and dehydrated with xylene. Sections were imaged using a Nikon microscope.</w:t>
      </w:r>
    </w:p>
    <w:p w14:paraId="6904AA8B" w14:textId="77777777" w:rsidR="00552F7C" w:rsidRDefault="00552F7C" w:rsidP="00552F7C">
      <w:pPr>
        <w:pStyle w:val="NoSpacing"/>
        <w:spacing w:line="360" w:lineRule="auto"/>
        <w:ind w:firstLine="720"/>
        <w:jc w:val="both"/>
        <w:rPr>
          <w:rFonts w:ascii="Arial" w:hAnsi="Arial" w:cs="Arial"/>
          <w:noProof/>
          <w:color w:val="000000" w:themeColor="text1"/>
          <w:sz w:val="22"/>
          <w:szCs w:val="22"/>
        </w:rPr>
      </w:pPr>
    </w:p>
    <w:p w14:paraId="374ADCB3" w14:textId="77777777" w:rsidR="00552F7C" w:rsidRPr="00552F7C" w:rsidRDefault="00552F7C" w:rsidP="00552F7C">
      <w:pPr>
        <w:rPr>
          <w:rFonts w:ascii="Arial" w:hAnsi="Arial" w:cs="Arial"/>
          <w:b/>
          <w:bCs/>
          <w:sz w:val="22"/>
          <w:szCs w:val="22"/>
        </w:rPr>
      </w:pPr>
      <w:r w:rsidRPr="00552F7C">
        <w:rPr>
          <w:rFonts w:ascii="Arial" w:hAnsi="Arial" w:cs="Arial"/>
          <w:b/>
          <w:bCs/>
          <w:sz w:val="22"/>
          <w:szCs w:val="22"/>
        </w:rPr>
        <w:t>Immunofluorescence and detection of immune complex.</w:t>
      </w:r>
    </w:p>
    <w:p w14:paraId="4E019FAF" w14:textId="77777777" w:rsidR="00552F7C" w:rsidRPr="00552F7C" w:rsidRDefault="00552F7C" w:rsidP="00552F7C">
      <w:pPr>
        <w:ind w:left="360"/>
        <w:rPr>
          <w:rFonts w:ascii="Arial" w:hAnsi="Arial" w:cs="Arial"/>
          <w:sz w:val="22"/>
          <w:szCs w:val="22"/>
        </w:rPr>
      </w:pPr>
    </w:p>
    <w:p w14:paraId="2F57E28E" w14:textId="77777777" w:rsidR="00552F7C" w:rsidRPr="00522EE1" w:rsidRDefault="00552F7C" w:rsidP="00552F7C">
      <w:pPr>
        <w:pStyle w:val="NoSpacing"/>
        <w:spacing w:line="360" w:lineRule="auto"/>
        <w:ind w:firstLine="720"/>
        <w:jc w:val="both"/>
        <w:rPr>
          <w:rFonts w:ascii="Arial" w:hAnsi="Arial" w:cs="Arial"/>
          <w:bCs/>
          <w:noProof/>
          <w:color w:val="000000" w:themeColor="text1"/>
          <w:sz w:val="22"/>
          <w:szCs w:val="22"/>
        </w:rPr>
      </w:pPr>
      <w:r w:rsidRPr="00522EE1">
        <w:rPr>
          <w:rFonts w:ascii="Arial" w:hAnsi="Arial" w:cs="Arial"/>
          <w:bCs/>
          <w:noProof/>
          <w:color w:val="000000" w:themeColor="text1"/>
          <w:sz w:val="22"/>
          <w:szCs w:val="22"/>
        </w:rPr>
        <w:t xml:space="preserve">Three to five micron cryostat-cut kidney sections were used for the immunofluorescence detection of </w:t>
      </w:r>
      <w:r w:rsidRPr="00522EE1">
        <w:rPr>
          <w:rFonts w:ascii="Arial" w:hAnsi="Arial" w:cs="Arial"/>
          <w:noProof/>
          <w:color w:val="000000" w:themeColor="text1"/>
          <w:sz w:val="22"/>
          <w:szCs w:val="22"/>
        </w:rPr>
        <w:sym w:font="Symbol" w:char="F061"/>
      </w:r>
      <w:r w:rsidRPr="00522EE1">
        <w:rPr>
          <w:rFonts w:ascii="Arial" w:hAnsi="Arial" w:cs="Arial"/>
          <w:noProof/>
          <w:color w:val="000000" w:themeColor="text1"/>
          <w:sz w:val="22"/>
          <w:szCs w:val="22"/>
        </w:rPr>
        <w:t xml:space="preserve"> smooth muscle actin (</w:t>
      </w:r>
      <w:r w:rsidRPr="00522EE1">
        <w:rPr>
          <w:rFonts w:ascii="Arial" w:hAnsi="Arial" w:cs="Arial"/>
          <w:noProof/>
          <w:color w:val="000000" w:themeColor="text1"/>
          <w:sz w:val="22"/>
          <w:szCs w:val="22"/>
        </w:rPr>
        <w:sym w:font="Symbol" w:char="F061"/>
      </w:r>
      <w:r w:rsidRPr="00522EE1">
        <w:rPr>
          <w:rFonts w:ascii="Arial" w:hAnsi="Arial" w:cs="Arial"/>
          <w:noProof/>
          <w:color w:val="000000" w:themeColor="text1"/>
          <w:sz w:val="22"/>
          <w:szCs w:val="22"/>
        </w:rPr>
        <w:t>SMA), F4/80+ macrophages, CD4+ T cells and immune complexes</w:t>
      </w:r>
      <w:r w:rsidRPr="00522EE1">
        <w:rPr>
          <w:rFonts w:ascii="Arial" w:hAnsi="Arial" w:cs="Arial"/>
          <w:bCs/>
          <w:noProof/>
          <w:color w:val="000000" w:themeColor="text1"/>
          <w:sz w:val="22"/>
          <w:szCs w:val="22"/>
        </w:rPr>
        <w:t xml:space="preserve">. Detailed method is provided in the supplemental methods sections. Briefly, the kidney sections were air-dried and incubated in PBS with 0.3% TritonX-100/10% horse serum. After washing with PBS, FC receptors were blocked with anti-CD16/32 (2.4g2, ThermoFisher, </w:t>
      </w:r>
      <w:r w:rsidRPr="00522EE1">
        <w:rPr>
          <w:rFonts w:ascii="Arial" w:hAnsi="Arial" w:cs="Arial"/>
          <w:sz w:val="22"/>
          <w:szCs w:val="22"/>
        </w:rPr>
        <w:t>Waltham, MA USA</w:t>
      </w:r>
      <w:r w:rsidRPr="00522EE1">
        <w:rPr>
          <w:rFonts w:ascii="Arial" w:hAnsi="Arial" w:cs="Arial"/>
          <w:bCs/>
          <w:noProof/>
          <w:color w:val="000000" w:themeColor="text1"/>
          <w:sz w:val="22"/>
          <w:szCs w:val="22"/>
        </w:rPr>
        <w:t>) antibody. This was followed by incubation with FITC-labeled anti-</w:t>
      </w:r>
      <w:r w:rsidRPr="00522EE1">
        <w:rPr>
          <w:rFonts w:ascii="Arial" w:hAnsi="Arial" w:cs="Arial"/>
          <w:noProof/>
          <w:color w:val="000000" w:themeColor="text1"/>
          <w:sz w:val="22"/>
          <w:szCs w:val="22"/>
        </w:rPr>
        <w:sym w:font="Symbol" w:char="F061"/>
      </w:r>
      <w:r w:rsidRPr="00522EE1">
        <w:rPr>
          <w:rFonts w:ascii="Arial" w:hAnsi="Arial" w:cs="Arial"/>
          <w:noProof/>
          <w:color w:val="000000" w:themeColor="text1"/>
          <w:sz w:val="22"/>
          <w:szCs w:val="22"/>
        </w:rPr>
        <w:t>SMA</w:t>
      </w:r>
      <w:r w:rsidRPr="00522EE1" w:rsidDel="00D12DAE">
        <w:rPr>
          <w:rFonts w:ascii="Arial" w:hAnsi="Arial" w:cs="Arial"/>
          <w:bCs/>
          <w:noProof/>
          <w:color w:val="000000" w:themeColor="text1"/>
          <w:sz w:val="22"/>
          <w:szCs w:val="22"/>
        </w:rPr>
        <w:t xml:space="preserve"> </w:t>
      </w:r>
      <w:r w:rsidRPr="00522EE1">
        <w:rPr>
          <w:rFonts w:ascii="Arial" w:hAnsi="Arial" w:cs="Arial"/>
          <w:bCs/>
          <w:noProof/>
          <w:color w:val="000000" w:themeColor="text1"/>
          <w:sz w:val="22"/>
          <w:szCs w:val="22"/>
        </w:rPr>
        <w:t xml:space="preserve">(1A4, 1:30; Sigma, </w:t>
      </w:r>
      <w:r w:rsidRPr="00522EE1">
        <w:rPr>
          <w:rFonts w:ascii="Arial" w:hAnsi="Arial" w:cs="Arial"/>
          <w:sz w:val="22"/>
          <w:szCs w:val="22"/>
        </w:rPr>
        <w:t>St. Louis, MO</w:t>
      </w:r>
      <w:r w:rsidRPr="00522EE1">
        <w:rPr>
          <w:rFonts w:ascii="Arial" w:hAnsi="Arial" w:cs="Arial"/>
          <w:bCs/>
          <w:noProof/>
          <w:color w:val="000000" w:themeColor="text1"/>
          <w:sz w:val="22"/>
          <w:szCs w:val="22"/>
        </w:rPr>
        <w:t>), PE-labeled F4/80 (BM8, 1:20; ThermoFisher), PE-labeled CD4 (GK1.5, 1:20; ThermoFisher) in 10% horse serum/PBS for 1.5 hrs. The sections were then washed in PBS and mounted with ProLong Gold antifade agent with DAPI (ThermoFisher).</w:t>
      </w:r>
    </w:p>
    <w:p w14:paraId="599B1D3A" w14:textId="77777777" w:rsidR="00552F7C" w:rsidRDefault="00552F7C" w:rsidP="00552F7C">
      <w:pPr>
        <w:pStyle w:val="NoSpacing"/>
        <w:spacing w:line="360" w:lineRule="auto"/>
        <w:jc w:val="both"/>
        <w:rPr>
          <w:rFonts w:ascii="Arial" w:hAnsi="Arial" w:cs="Arial"/>
          <w:noProof/>
          <w:color w:val="000000" w:themeColor="text1"/>
          <w:sz w:val="22"/>
          <w:szCs w:val="22"/>
        </w:rPr>
      </w:pPr>
      <w:r w:rsidRPr="00522EE1">
        <w:rPr>
          <w:rFonts w:ascii="Arial" w:hAnsi="Arial" w:cs="Arial"/>
          <w:noProof/>
          <w:color w:val="000000" w:themeColor="text1"/>
          <w:sz w:val="22"/>
          <w:szCs w:val="22"/>
        </w:rPr>
        <w:t xml:space="preserve">To examine glomerular immune complex deposits, 5 mm snap-frozen kidney sections were fixed in acetone, washed in PBS, incubated in 3 % hydrogen peroxide for 10 min, and rinsed in PBS. Slides were incubated in FITC–conjugated monoclonal anti-IgG antibody  (Santa Cruz, Dallas, </w:t>
      </w:r>
      <w:r w:rsidRPr="00522EE1">
        <w:rPr>
          <w:rFonts w:ascii="Arial" w:hAnsi="Arial" w:cs="Arial"/>
          <w:noProof/>
          <w:color w:val="000000" w:themeColor="text1"/>
          <w:sz w:val="22"/>
          <w:szCs w:val="22"/>
        </w:rPr>
        <w:lastRenderedPageBreak/>
        <w:t>Tx) at a 1:50 dilution in PBS for 1 hr at room temperature. Slides were then rinsed in PBS and mounted with a coverslip using Vectashield hard set medium (Vector H-1400, Vector Laboratories, Burlingame, CA). Fluorescence was detected using a Nikon microscope.</w:t>
      </w:r>
    </w:p>
    <w:p w14:paraId="50F20B11" w14:textId="6E796ED0" w:rsidR="00522EE1" w:rsidRPr="00522EE1" w:rsidRDefault="00522EE1" w:rsidP="00522EE1">
      <w:pPr>
        <w:rPr>
          <w:rFonts w:ascii="Arial" w:hAnsi="Arial" w:cs="Arial"/>
          <w:sz w:val="22"/>
          <w:szCs w:val="22"/>
        </w:rPr>
      </w:pPr>
    </w:p>
    <w:p w14:paraId="589FBC10" w14:textId="48FF44FF" w:rsidR="00552F7C" w:rsidRPr="00552F7C" w:rsidRDefault="00552F7C" w:rsidP="00552F7C">
      <w:pPr>
        <w:rPr>
          <w:rFonts w:ascii="Arial" w:hAnsi="Arial" w:cs="Arial"/>
          <w:b/>
          <w:bCs/>
          <w:sz w:val="22"/>
          <w:szCs w:val="22"/>
        </w:rPr>
      </w:pPr>
      <w:r w:rsidRPr="00552F7C">
        <w:rPr>
          <w:rFonts w:ascii="Arial" w:hAnsi="Arial" w:cs="Arial"/>
          <w:b/>
          <w:bCs/>
          <w:sz w:val="22"/>
          <w:szCs w:val="22"/>
        </w:rPr>
        <w:t>Western Blotting</w:t>
      </w:r>
    </w:p>
    <w:p w14:paraId="02FE8C8E" w14:textId="77777777" w:rsidR="00552F7C" w:rsidRPr="00552F7C" w:rsidRDefault="00552F7C" w:rsidP="00552F7C">
      <w:pPr>
        <w:pStyle w:val="ListParagraph"/>
        <w:rPr>
          <w:rFonts w:ascii="Arial" w:hAnsi="Arial" w:cs="Arial"/>
          <w:b/>
          <w:bCs/>
          <w:sz w:val="22"/>
          <w:szCs w:val="22"/>
        </w:rPr>
      </w:pPr>
    </w:p>
    <w:p w14:paraId="7A62D5C9" w14:textId="12C68F47" w:rsidR="00552F7C" w:rsidRDefault="003F4F8E" w:rsidP="00552F7C">
      <w:pPr>
        <w:pStyle w:val="NoSpacing"/>
        <w:spacing w:line="360" w:lineRule="auto"/>
        <w:ind w:firstLine="360"/>
        <w:jc w:val="both"/>
        <w:rPr>
          <w:rFonts w:ascii="Arial" w:hAnsi="Arial" w:cs="Arial"/>
          <w:noProof/>
          <w:color w:val="000000" w:themeColor="text1"/>
          <w:sz w:val="22"/>
          <w:szCs w:val="22"/>
        </w:rPr>
      </w:pPr>
      <w:r>
        <w:rPr>
          <w:rFonts w:ascii="Arial" w:hAnsi="Arial" w:cs="Arial"/>
          <w:noProof/>
          <w:color w:val="000000" w:themeColor="text1"/>
          <w:sz w:val="22"/>
          <w:szCs w:val="22"/>
        </w:rPr>
        <w:t>Cells (HK-2) or s</w:t>
      </w:r>
      <w:r w:rsidR="00552F7C" w:rsidRPr="00522EE1">
        <w:rPr>
          <w:rFonts w:ascii="Arial" w:hAnsi="Arial" w:cs="Arial"/>
          <w:noProof/>
          <w:color w:val="000000" w:themeColor="text1"/>
          <w:sz w:val="22"/>
          <w:szCs w:val="22"/>
        </w:rPr>
        <w:t xml:space="preserve">nap-frozen tissue sections were homogenized in Tris-Triton tissue lysis buffer containing complete protease inhibitor cocktail (Halt Protease and Phosphatase Inhibitor Cocktail; Thermo Fisher Scientific, Rockford, IL) using a Dounce Homogenizer. GPX4 and ACSL4 expression were measured in whole lysates. Protein content in the homogenate was estimated using the Pierce BCA protein estimation kit (Thermo Fisher Scientific). </w:t>
      </w:r>
      <w:r>
        <w:rPr>
          <w:rFonts w:ascii="Arial" w:hAnsi="Arial" w:cs="Arial"/>
          <w:noProof/>
          <w:color w:val="000000" w:themeColor="text1"/>
          <w:sz w:val="22"/>
          <w:szCs w:val="22"/>
        </w:rPr>
        <w:t>Ten</w:t>
      </w:r>
      <w:r w:rsidR="00552F7C" w:rsidRPr="00522EE1">
        <w:rPr>
          <w:rFonts w:ascii="Arial" w:hAnsi="Arial" w:cs="Arial"/>
          <w:noProof/>
          <w:color w:val="000000" w:themeColor="text1"/>
          <w:sz w:val="22"/>
          <w:szCs w:val="22"/>
        </w:rPr>
        <w:t xml:space="preserve"> micrograms of protein per sample were loaded on a 4-12% NuPage Bis-Tris gel under reducing conditions. The resolved proteins were transferred onto a nitrocellulose membrane (LI-COR Biotechnology, Lincoln, NE) and probed with rabbit monoclonal  anti-GPX4 (1:1000, ab125066, Abcam), mouse monoclonal anti-ACSL4 (1:100, sc-271800, Santa Cruz), rabbit monoclonal anti-FtH1 (1:1000, ab183781, Abcam) and mouse monoclonal anti-</w:t>
      </w:r>
      <w:r w:rsidR="00552F7C" w:rsidRPr="00522EE1">
        <w:rPr>
          <w:rFonts w:ascii="Arial" w:hAnsi="Arial" w:cs="Arial"/>
          <w:noProof/>
          <w:color w:val="000000" w:themeColor="text1"/>
          <w:sz w:val="22"/>
          <w:szCs w:val="22"/>
        </w:rPr>
        <w:sym w:font="Symbol" w:char="F062"/>
      </w:r>
      <w:r w:rsidR="00552F7C" w:rsidRPr="00522EE1">
        <w:rPr>
          <w:rFonts w:ascii="Arial" w:hAnsi="Arial" w:cs="Arial"/>
          <w:noProof/>
          <w:color w:val="000000" w:themeColor="text1"/>
          <w:sz w:val="22"/>
          <w:szCs w:val="22"/>
        </w:rPr>
        <w:t>actin (1:7000, ab8226, Abcam) antibodies. The primary antibodies were detected using donkey anti-rabbit Alexa 800 and donkey anti-mouse Alexa 800 antibodies (LI-COR). Mouse monoclonal anti-β-actin (Abcam) was used as the loading control and detected using donkey anti-mouse Alexa 680 antibody (LI-COR). Data were quantified using densitometry software (LI-COR).</w:t>
      </w:r>
    </w:p>
    <w:p w14:paraId="5B8C9D4A" w14:textId="77777777" w:rsidR="00552F7C" w:rsidRDefault="00552F7C" w:rsidP="00552F7C">
      <w:pPr>
        <w:pStyle w:val="NoSpacing"/>
        <w:spacing w:line="360" w:lineRule="auto"/>
        <w:jc w:val="both"/>
        <w:rPr>
          <w:rFonts w:ascii="Arial" w:hAnsi="Arial" w:cs="Arial"/>
          <w:noProof/>
          <w:color w:val="000000" w:themeColor="text1"/>
          <w:sz w:val="22"/>
          <w:szCs w:val="22"/>
        </w:rPr>
      </w:pPr>
    </w:p>
    <w:p w14:paraId="5879474C" w14:textId="77777777" w:rsidR="00552F7C" w:rsidRPr="00552F7C" w:rsidRDefault="00552F7C" w:rsidP="00552F7C">
      <w:pPr>
        <w:pStyle w:val="NoSpacing"/>
        <w:spacing w:line="360" w:lineRule="auto"/>
        <w:jc w:val="both"/>
        <w:rPr>
          <w:rFonts w:ascii="Arial" w:hAnsi="Arial" w:cs="Arial"/>
          <w:noProof/>
          <w:color w:val="000000" w:themeColor="text1"/>
          <w:sz w:val="22"/>
          <w:szCs w:val="22"/>
        </w:rPr>
      </w:pPr>
      <w:r w:rsidRPr="00552F7C">
        <w:rPr>
          <w:rFonts w:ascii="Arial" w:hAnsi="Arial" w:cs="Arial"/>
          <w:b/>
          <w:noProof/>
          <w:color w:val="000000" w:themeColor="text1"/>
          <w:sz w:val="22"/>
          <w:szCs w:val="22"/>
        </w:rPr>
        <w:t>RT-PCR</w:t>
      </w:r>
    </w:p>
    <w:p w14:paraId="3FB113C3" w14:textId="77777777" w:rsidR="00552F7C" w:rsidRPr="00334983" w:rsidRDefault="00552F7C" w:rsidP="00552F7C">
      <w:pPr>
        <w:pStyle w:val="NoSpacing"/>
        <w:spacing w:line="360" w:lineRule="auto"/>
        <w:ind w:firstLine="360"/>
        <w:jc w:val="both"/>
        <w:rPr>
          <w:rFonts w:ascii="Arial" w:hAnsi="Arial" w:cs="Arial"/>
          <w:b/>
          <w:noProof/>
          <w:color w:val="000000" w:themeColor="text1"/>
          <w:sz w:val="22"/>
          <w:szCs w:val="22"/>
        </w:rPr>
      </w:pPr>
      <w:r w:rsidRPr="00494F5D">
        <w:rPr>
          <w:rFonts w:ascii="Arial" w:hAnsi="Arial" w:cs="Arial"/>
          <w:noProof/>
          <w:color w:val="000000" w:themeColor="text1"/>
          <w:sz w:val="22"/>
          <w:szCs w:val="22"/>
        </w:rPr>
        <w:t xml:space="preserve">For RNA isolation, frozen tissues or live cells were resuspended in RLT buffer (Qiagen, Valencia, CA) and homogenized using the TissueLyser system or Qiashredder (Qiagen). </w:t>
      </w:r>
      <w:r>
        <w:rPr>
          <w:rFonts w:ascii="Arial" w:hAnsi="Arial" w:cs="Arial"/>
          <w:noProof/>
          <w:color w:val="000000" w:themeColor="text1"/>
          <w:sz w:val="22"/>
          <w:szCs w:val="22"/>
        </w:rPr>
        <w:t>RT was performed as described in our previous publication</w:t>
      </w:r>
      <w:r>
        <w:rPr>
          <w:rFonts w:ascii="Arial" w:hAnsi="Arial" w:cs="Arial"/>
          <w:noProof/>
          <w:color w:val="000000" w:themeColor="text1"/>
          <w:sz w:val="22"/>
          <w:szCs w:val="22"/>
        </w:rPr>
        <w:fldChar w:fldCharType="begin">
          <w:fldData xml:space="preserve">PEVuZE5vdGU+PENpdGU+PEF1dGhvcj5TY2luZGlhPC9BdXRob3I+PFllYXI+MjAyMDwvWWVhcj48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</w:fldData>
        </w:fldChar>
      </w:r>
      <w:r>
        <w:rPr>
          <w:rFonts w:ascii="Arial" w:hAnsi="Arial" w:cs="Arial"/>
          <w:noProof/>
          <w:color w:val="000000" w:themeColor="text1"/>
          <w:sz w:val="22"/>
          <w:szCs w:val="22"/>
        </w:rPr>
        <w:instrText xml:space="preserve"> ADDIN EN.CITE </w:instrText>
      </w:r>
      <w:r>
        <w:rPr>
          <w:rFonts w:ascii="Arial" w:hAnsi="Arial" w:cs="Arial"/>
          <w:noProof/>
          <w:color w:val="000000" w:themeColor="text1"/>
          <w:sz w:val="22"/>
          <w:szCs w:val="22"/>
        </w:rPr>
        <w:fldChar w:fldCharType="begin">
          <w:fldData xml:space="preserve">PEVuZE5vdGU+PENpdGU+PEF1dGhvcj5TY2luZGlhPC9BdXRob3I+PFllYXI+MjAyMDwvWWVhcj48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</w:fldData>
        </w:fldChar>
      </w:r>
      <w:r>
        <w:rPr>
          <w:rFonts w:ascii="Arial" w:hAnsi="Arial" w:cs="Arial"/>
          <w:noProof/>
          <w:color w:val="000000" w:themeColor="text1"/>
          <w:sz w:val="22"/>
          <w:szCs w:val="22"/>
        </w:rPr>
        <w:instrText xml:space="preserve"> ADDIN EN.CITE.DATA </w:instrText>
      </w:r>
      <w:r>
        <w:rPr>
          <w:rFonts w:ascii="Arial" w:hAnsi="Arial" w:cs="Arial"/>
          <w:noProof/>
          <w:color w:val="000000" w:themeColor="text1"/>
          <w:sz w:val="22"/>
          <w:szCs w:val="22"/>
        </w:rPr>
      </w:r>
      <w:r>
        <w:rPr>
          <w:rFonts w:ascii="Arial" w:hAnsi="Arial" w:cs="Arial"/>
          <w:noProof/>
          <w:color w:val="000000" w:themeColor="text1"/>
          <w:sz w:val="22"/>
          <w:szCs w:val="22"/>
        </w:rPr>
        <w:fldChar w:fldCharType="end"/>
      </w:r>
      <w:r>
        <w:rPr>
          <w:rFonts w:ascii="Arial" w:hAnsi="Arial" w:cs="Arial"/>
          <w:noProof/>
          <w:color w:val="000000" w:themeColor="text1"/>
          <w:sz w:val="22"/>
          <w:szCs w:val="22"/>
        </w:rPr>
      </w:r>
      <w:r>
        <w:rPr>
          <w:rFonts w:ascii="Arial" w:hAnsi="Arial" w:cs="Arial"/>
          <w:noProof/>
          <w:color w:val="000000" w:themeColor="text1"/>
          <w:sz w:val="22"/>
          <w:szCs w:val="22"/>
        </w:rPr>
        <w:fldChar w:fldCharType="separate"/>
      </w:r>
      <w:r>
        <w:rPr>
          <w:rFonts w:ascii="Arial" w:hAnsi="Arial" w:cs="Arial"/>
          <w:noProof/>
          <w:color w:val="000000" w:themeColor="text1"/>
          <w:sz w:val="22"/>
          <w:szCs w:val="22"/>
        </w:rPr>
        <w:t>(1)</w:t>
      </w:r>
      <w:r>
        <w:rPr>
          <w:rFonts w:ascii="Arial" w:hAnsi="Arial" w:cs="Arial"/>
          <w:noProof/>
          <w:color w:val="000000" w:themeColor="text1"/>
          <w:sz w:val="22"/>
          <w:szCs w:val="22"/>
        </w:rPr>
        <w:fldChar w:fldCharType="end"/>
      </w:r>
      <w:r>
        <w:rPr>
          <w:rFonts w:ascii="Arial" w:hAnsi="Arial" w:cs="Arial"/>
          <w:b/>
          <w:noProof/>
          <w:color w:val="000000" w:themeColor="text1"/>
          <w:sz w:val="22"/>
          <w:szCs w:val="22"/>
        </w:rPr>
        <w:t xml:space="preserve">. </w:t>
      </w:r>
      <w:r w:rsidRPr="00494F5D">
        <w:rPr>
          <w:rFonts w:ascii="Arial" w:hAnsi="Arial" w:cs="Arial"/>
          <w:noProof/>
          <w:color w:val="000000" w:themeColor="text1"/>
          <w:sz w:val="22"/>
          <w:szCs w:val="22"/>
        </w:rPr>
        <w:t xml:space="preserve">Total RNA from homogenates was purified using the RNAeasy mini kit (Qiagen) following the </w:t>
      </w:r>
      <w:r>
        <w:rPr>
          <w:rFonts w:ascii="Arial" w:hAnsi="Arial" w:cs="Arial"/>
          <w:noProof/>
          <w:color w:val="000000" w:themeColor="text1"/>
          <w:sz w:val="22"/>
          <w:szCs w:val="22"/>
        </w:rPr>
        <w:t>manufacturer's</w:t>
      </w:r>
      <w:r w:rsidRPr="00494F5D">
        <w:rPr>
          <w:rFonts w:ascii="Arial" w:hAnsi="Arial" w:cs="Arial"/>
          <w:noProof/>
          <w:color w:val="000000" w:themeColor="text1"/>
          <w:sz w:val="22"/>
          <w:szCs w:val="22"/>
        </w:rPr>
        <w:t xml:space="preserve"> instructions. Then</w:t>
      </w:r>
      <w:r>
        <w:rPr>
          <w:rFonts w:ascii="Arial" w:hAnsi="Arial" w:cs="Arial"/>
          <w:noProof/>
          <w:color w:val="000000" w:themeColor="text1"/>
          <w:sz w:val="22"/>
          <w:szCs w:val="22"/>
        </w:rPr>
        <w:t>,</w:t>
      </w:r>
      <w:r w:rsidRPr="00494F5D">
        <w:rPr>
          <w:rFonts w:ascii="Arial" w:hAnsi="Arial" w:cs="Arial"/>
          <w:noProof/>
          <w:color w:val="000000" w:themeColor="text1"/>
          <w:sz w:val="22"/>
          <w:szCs w:val="22"/>
        </w:rPr>
        <w:t xml:space="preserve"> 0.2</w:t>
      </w:r>
      <w:r>
        <w:rPr>
          <w:rFonts w:ascii="Arial" w:hAnsi="Arial" w:cs="Arial"/>
          <w:noProof/>
          <w:color w:val="000000" w:themeColor="text1"/>
          <w:sz w:val="22"/>
          <w:szCs w:val="22"/>
        </w:rPr>
        <w:t>-1</w:t>
      </w:r>
      <w:r w:rsidRPr="00494F5D">
        <w:rPr>
          <w:rFonts w:ascii="Arial" w:hAnsi="Arial" w:cs="Arial"/>
          <w:noProof/>
          <w:color w:val="000000" w:themeColor="text1"/>
          <w:sz w:val="22"/>
          <w:szCs w:val="22"/>
        </w:rPr>
        <w:t xml:space="preserve"> μg of RNA was used to synthesize cDNA using the iScript cDNA synthesis kit (Bio-Rad, Hercules, CA). The cDNA template was mixed with iTAQ SYBR green universal </w:t>
      </w:r>
      <w:r>
        <w:rPr>
          <w:rFonts w:ascii="Arial" w:hAnsi="Arial" w:cs="Arial"/>
          <w:noProof/>
          <w:color w:val="000000" w:themeColor="text1"/>
          <w:sz w:val="22"/>
          <w:szCs w:val="22"/>
        </w:rPr>
        <w:t>supermix</w:t>
      </w:r>
      <w:r w:rsidRPr="00494F5D">
        <w:rPr>
          <w:rFonts w:ascii="Arial" w:hAnsi="Arial" w:cs="Arial"/>
          <w:noProof/>
          <w:color w:val="000000" w:themeColor="text1"/>
          <w:sz w:val="22"/>
          <w:szCs w:val="22"/>
        </w:rPr>
        <w:t xml:space="preserve"> (Bio-Rad), and quantitative PCR was </w:t>
      </w:r>
      <w:r>
        <w:rPr>
          <w:rFonts w:ascii="Arial" w:hAnsi="Arial" w:cs="Arial"/>
          <w:noProof/>
          <w:color w:val="000000" w:themeColor="text1"/>
          <w:sz w:val="22"/>
          <w:szCs w:val="22"/>
        </w:rPr>
        <w:t>performed</w:t>
      </w:r>
      <w:r w:rsidRPr="00494F5D">
        <w:rPr>
          <w:rFonts w:ascii="Arial" w:hAnsi="Arial" w:cs="Arial"/>
          <w:noProof/>
          <w:color w:val="000000" w:themeColor="text1"/>
          <w:sz w:val="22"/>
          <w:szCs w:val="22"/>
        </w:rPr>
        <w:t xml:space="preserve"> on a CFX Connect system (Bio-Rad). </w:t>
      </w:r>
      <w:r>
        <w:rPr>
          <w:rFonts w:ascii="Arial" w:hAnsi="Arial" w:cs="Arial"/>
          <w:noProof/>
          <w:color w:val="000000" w:themeColor="text1"/>
          <w:sz w:val="22"/>
          <w:szCs w:val="22"/>
        </w:rPr>
        <w:t>H</w:t>
      </w:r>
      <w:r w:rsidRPr="00494F5D">
        <w:rPr>
          <w:rFonts w:ascii="Arial" w:hAnsi="Arial" w:cs="Arial"/>
          <w:noProof/>
          <w:color w:val="000000" w:themeColor="text1"/>
          <w:sz w:val="22"/>
          <w:szCs w:val="22"/>
        </w:rPr>
        <w:t xml:space="preserve">uman or mouse </w:t>
      </w:r>
      <w:r>
        <w:rPr>
          <w:rFonts w:ascii="Arial" w:hAnsi="Arial" w:cs="Arial"/>
          <w:noProof/>
          <w:color w:val="000000" w:themeColor="text1"/>
          <w:sz w:val="22"/>
          <w:szCs w:val="22"/>
        </w:rPr>
        <w:t xml:space="preserve">predesigned </w:t>
      </w:r>
      <w:r w:rsidRPr="00494F5D">
        <w:rPr>
          <w:rFonts w:ascii="Arial" w:hAnsi="Arial" w:cs="Arial"/>
          <w:noProof/>
          <w:color w:val="000000" w:themeColor="text1"/>
          <w:sz w:val="22"/>
          <w:szCs w:val="22"/>
        </w:rPr>
        <w:t>gene primers were purchased from Bio-Rad. Human or mouse</w:t>
      </w:r>
      <w:r w:rsidRPr="00E56C7B">
        <w:rPr>
          <w:rFonts w:ascii="Arial" w:hAnsi="Arial" w:cs="Arial"/>
          <w:i/>
          <w:noProof/>
          <w:color w:val="000000" w:themeColor="text1"/>
          <w:sz w:val="22"/>
          <w:szCs w:val="22"/>
        </w:rPr>
        <w:t xml:space="preserve"> PPIA </w:t>
      </w:r>
      <w:r w:rsidRPr="00494F5D">
        <w:rPr>
          <w:rFonts w:ascii="Arial" w:hAnsi="Arial" w:cs="Arial"/>
          <w:noProof/>
          <w:color w:val="000000" w:themeColor="text1"/>
          <w:sz w:val="22"/>
          <w:szCs w:val="22"/>
        </w:rPr>
        <w:t>was amplified in parallel and used as the reference gene in quantification. Data are expressed as relative gene expression and were calculated using the 2</w:t>
      </w:r>
      <w:r>
        <w:rPr>
          <w:rFonts w:ascii="Arial" w:hAnsi="Arial" w:cs="Arial"/>
          <w:noProof/>
          <w:color w:val="000000" w:themeColor="text1"/>
          <w:sz w:val="22"/>
          <w:szCs w:val="22"/>
        </w:rPr>
        <w:t>^</w:t>
      </w:r>
      <w:r w:rsidRPr="00494F5D">
        <w:rPr>
          <w:rFonts w:ascii="Arial" w:hAnsi="Arial" w:cs="Arial"/>
          <w:noProof/>
          <w:color w:val="000000" w:themeColor="text1"/>
          <w:sz w:val="22"/>
          <w:szCs w:val="22"/>
        </w:rPr>
        <w:t>[−ΔC(T)] method.</w:t>
      </w:r>
    </w:p>
    <w:p w14:paraId="075001ED" w14:textId="77777777" w:rsidR="00552F7C" w:rsidRPr="00522EE1" w:rsidRDefault="00552F7C" w:rsidP="00552F7C">
      <w:pPr>
        <w:pStyle w:val="NoSpacing"/>
        <w:spacing w:line="360" w:lineRule="auto"/>
        <w:ind w:left="720"/>
        <w:jc w:val="both"/>
        <w:rPr>
          <w:rFonts w:ascii="Arial" w:hAnsi="Arial" w:cs="Arial"/>
          <w:b/>
          <w:noProof/>
          <w:color w:val="000000" w:themeColor="text1"/>
          <w:sz w:val="22"/>
          <w:szCs w:val="22"/>
        </w:rPr>
      </w:pPr>
    </w:p>
    <w:p w14:paraId="23E71338" w14:textId="79F6D76C" w:rsidR="00522EE1" w:rsidRPr="00522EE1" w:rsidRDefault="00522EE1" w:rsidP="00552F7C">
      <w:pPr>
        <w:pStyle w:val="NoSpacing"/>
        <w:spacing w:line="360" w:lineRule="auto"/>
        <w:jc w:val="both"/>
        <w:rPr>
          <w:rFonts w:ascii="Arial" w:hAnsi="Arial" w:cs="Arial"/>
          <w:b/>
          <w:noProof/>
          <w:color w:val="000000" w:themeColor="text1"/>
          <w:sz w:val="22"/>
          <w:szCs w:val="22"/>
        </w:rPr>
      </w:pPr>
      <w:r w:rsidRPr="00522EE1">
        <w:rPr>
          <w:rFonts w:ascii="Arial" w:hAnsi="Arial" w:cs="Arial"/>
          <w:b/>
          <w:noProof/>
          <w:color w:val="000000" w:themeColor="text1"/>
          <w:sz w:val="22"/>
          <w:szCs w:val="22"/>
        </w:rPr>
        <w:t>Cell Culture and siRNA knockdown studies</w:t>
      </w:r>
    </w:p>
    <w:p w14:paraId="067FF545" w14:textId="5F8E6BFB" w:rsidR="00AA1AFD" w:rsidRPr="000E1350" w:rsidRDefault="00AA1AFD" w:rsidP="00AA1AFD">
      <w:pPr>
        <w:pStyle w:val="NoSpacing"/>
        <w:spacing w:line="360" w:lineRule="auto"/>
        <w:jc w:val="both"/>
        <w:rPr>
          <w:rFonts w:ascii="Arial" w:hAnsi="Arial" w:cs="Arial"/>
          <w:bCs/>
          <w:iCs/>
          <w:noProof/>
          <w:color w:val="000000" w:themeColor="text1"/>
          <w:sz w:val="22"/>
          <w:szCs w:val="22"/>
        </w:rPr>
      </w:pPr>
      <w:r>
        <w:rPr>
          <w:rFonts w:ascii="Arial" w:hAnsi="Arial" w:cs="Arial"/>
          <w:sz w:val="22"/>
          <w:szCs w:val="22"/>
        </w:rPr>
        <w:lastRenderedPageBreak/>
        <w:t xml:space="preserve">HK-2 cells were </w:t>
      </w:r>
      <w:r w:rsidRPr="000E1350">
        <w:rPr>
          <w:rFonts w:ascii="Arial" w:hAnsi="Arial" w:cs="Arial"/>
          <w:noProof/>
          <w:color w:val="000000" w:themeColor="text1"/>
          <w:sz w:val="22"/>
          <w:szCs w:val="22"/>
        </w:rPr>
        <w:t xml:space="preserve">maintained in ATCC recommended keratinocyte serum-free medium with the addition of bovine pituitary extract (0.05 mg/mL) and human recombinant epidermal growth factor (5 ng/mL). </w:t>
      </w:r>
      <w:r w:rsidR="00522EE1" w:rsidRPr="00522EE1">
        <w:rPr>
          <w:rFonts w:ascii="Arial" w:hAnsi="Arial" w:cs="Arial"/>
          <w:bCs/>
          <w:iCs/>
          <w:noProof/>
          <w:color w:val="000000" w:themeColor="text1"/>
          <w:sz w:val="22"/>
          <w:szCs w:val="22"/>
        </w:rPr>
        <w:t xml:space="preserve">For gene knockdown studies, silencer select siRNA for human FtH1 and </w:t>
      </w:r>
      <w:r w:rsidR="00522EE1" w:rsidRPr="00522EE1">
        <w:rPr>
          <w:rFonts w:ascii="Arial" w:hAnsi="Arial" w:cs="Arial"/>
          <w:color w:val="222222"/>
          <w:sz w:val="22"/>
          <w:szCs w:val="22"/>
        </w:rPr>
        <w:t>negative control siRNA (</w:t>
      </w:r>
      <w:r w:rsidR="00334983">
        <w:rPr>
          <w:rFonts w:ascii="Arial" w:hAnsi="Arial" w:cs="Arial"/>
          <w:color w:val="222222"/>
          <w:sz w:val="22"/>
          <w:szCs w:val="22"/>
        </w:rPr>
        <w:t xml:space="preserve">Catalog number: </w:t>
      </w:r>
      <w:r w:rsidR="00522EE1" w:rsidRPr="00522EE1">
        <w:rPr>
          <w:rFonts w:ascii="Arial" w:hAnsi="Arial" w:cs="Arial"/>
          <w:color w:val="222222"/>
          <w:sz w:val="22"/>
          <w:szCs w:val="22"/>
        </w:rPr>
        <w:t xml:space="preserve">4392421 and 4390843 </w:t>
      </w:r>
      <w:r w:rsidR="00522EE1" w:rsidRPr="00522EE1">
        <w:rPr>
          <w:rFonts w:ascii="Arial" w:hAnsi="Arial" w:cs="Arial"/>
          <w:sz w:val="22"/>
          <w:szCs w:val="22"/>
        </w:rPr>
        <w:t xml:space="preserve">respectively, </w:t>
      </w:r>
      <w:proofErr w:type="spellStart"/>
      <w:r w:rsidR="00522EE1" w:rsidRPr="00522EE1">
        <w:rPr>
          <w:rFonts w:ascii="Arial" w:hAnsi="Arial" w:cs="Arial"/>
          <w:sz w:val="22"/>
          <w:szCs w:val="22"/>
        </w:rPr>
        <w:t>ThermoFisher</w:t>
      </w:r>
      <w:proofErr w:type="spellEnd"/>
      <w:r w:rsidR="00522EE1" w:rsidRPr="00522EE1">
        <w:rPr>
          <w:rFonts w:ascii="Arial" w:hAnsi="Arial" w:cs="Arial"/>
          <w:sz w:val="22"/>
          <w:szCs w:val="22"/>
        </w:rPr>
        <w:t xml:space="preserve"> Scientific) were used. HK-2 cells (2 X 10</w:t>
      </w:r>
      <w:r w:rsidR="00522EE1" w:rsidRPr="00522EE1">
        <w:rPr>
          <w:rFonts w:ascii="Arial" w:hAnsi="Arial" w:cs="Arial"/>
          <w:sz w:val="22"/>
          <w:szCs w:val="22"/>
          <w:vertAlign w:val="superscript"/>
        </w:rPr>
        <w:t>5</w:t>
      </w:r>
      <w:r w:rsidR="00522EE1" w:rsidRPr="00522EE1">
        <w:rPr>
          <w:rFonts w:ascii="Arial" w:hAnsi="Arial" w:cs="Arial"/>
          <w:sz w:val="22"/>
          <w:szCs w:val="22"/>
        </w:rPr>
        <w:t xml:space="preserve">/well) were transfected with the </w:t>
      </w:r>
      <w:r w:rsidR="00522EE1" w:rsidRPr="00522EE1">
        <w:rPr>
          <w:rFonts w:ascii="Arial" w:hAnsi="Arial" w:cs="Arial"/>
          <w:bCs/>
          <w:iCs/>
          <w:noProof/>
          <w:color w:val="000000" w:themeColor="text1"/>
          <w:sz w:val="22"/>
          <w:szCs w:val="22"/>
        </w:rPr>
        <w:t xml:space="preserve">FtH1 and </w:t>
      </w:r>
      <w:r w:rsidR="00522EE1" w:rsidRPr="00522EE1">
        <w:rPr>
          <w:rFonts w:ascii="Arial" w:hAnsi="Arial" w:cs="Arial"/>
          <w:color w:val="222222"/>
          <w:sz w:val="22"/>
          <w:szCs w:val="22"/>
        </w:rPr>
        <w:t>negative control siRNA, respectively,</w:t>
      </w:r>
      <w:r w:rsidR="00522EE1" w:rsidRPr="00522EE1">
        <w:rPr>
          <w:rFonts w:ascii="Arial" w:hAnsi="Arial" w:cs="Arial"/>
          <w:sz w:val="22"/>
          <w:szCs w:val="22"/>
        </w:rPr>
        <w:t xml:space="preserve"> using Opti-MEM reduced serum medium and Lipofectamine </w:t>
      </w:r>
      <w:proofErr w:type="spellStart"/>
      <w:r w:rsidR="00522EE1" w:rsidRPr="00522EE1">
        <w:rPr>
          <w:rFonts w:ascii="Arial" w:hAnsi="Arial" w:cs="Arial"/>
          <w:sz w:val="22"/>
          <w:szCs w:val="22"/>
        </w:rPr>
        <w:t>RNAiMAX</w:t>
      </w:r>
      <w:proofErr w:type="spellEnd"/>
      <w:r w:rsidR="00522EE1" w:rsidRPr="00522EE1">
        <w:rPr>
          <w:rFonts w:ascii="Arial" w:hAnsi="Arial" w:cs="Arial"/>
          <w:sz w:val="22"/>
          <w:szCs w:val="22"/>
        </w:rPr>
        <w:t xml:space="preserve"> Transfection Reagent (</w:t>
      </w:r>
      <w:proofErr w:type="spellStart"/>
      <w:r w:rsidR="00522EE1" w:rsidRPr="00522EE1">
        <w:rPr>
          <w:rFonts w:ascii="Arial" w:hAnsi="Arial" w:cs="Arial"/>
          <w:sz w:val="22"/>
          <w:szCs w:val="22"/>
        </w:rPr>
        <w:t>ThermoFisher</w:t>
      </w:r>
      <w:proofErr w:type="spellEnd"/>
      <w:r w:rsidR="00522EE1" w:rsidRPr="00522EE1">
        <w:rPr>
          <w:rFonts w:ascii="Arial" w:hAnsi="Arial" w:cs="Arial"/>
          <w:sz w:val="22"/>
          <w:szCs w:val="22"/>
        </w:rPr>
        <w:t xml:space="preserve"> Scientific) in 12 well plates as per the </w:t>
      </w:r>
      <w:r w:rsidRPr="00522EE1">
        <w:rPr>
          <w:rFonts w:ascii="Arial" w:hAnsi="Arial" w:cs="Arial"/>
          <w:sz w:val="22"/>
          <w:szCs w:val="22"/>
        </w:rPr>
        <w:t>manufacturer’s</w:t>
      </w:r>
      <w:r w:rsidR="00522EE1" w:rsidRPr="00522EE1">
        <w:rPr>
          <w:rFonts w:ascii="Arial" w:hAnsi="Arial" w:cs="Arial"/>
          <w:sz w:val="22"/>
          <w:szCs w:val="22"/>
        </w:rPr>
        <w:t xml:space="preserve"> instructions. Gene knockdown efficiency was measured after 52 </w:t>
      </w:r>
      <w:proofErr w:type="spellStart"/>
      <w:r w:rsidR="00522EE1" w:rsidRPr="00522EE1">
        <w:rPr>
          <w:rFonts w:ascii="Arial" w:hAnsi="Arial" w:cs="Arial"/>
          <w:sz w:val="22"/>
          <w:szCs w:val="22"/>
        </w:rPr>
        <w:t>hrs</w:t>
      </w:r>
      <w:proofErr w:type="spellEnd"/>
      <w:r w:rsidR="00522EE1" w:rsidRPr="00522EE1">
        <w:rPr>
          <w:rFonts w:ascii="Arial" w:hAnsi="Arial" w:cs="Arial"/>
          <w:sz w:val="22"/>
          <w:szCs w:val="22"/>
        </w:rPr>
        <w:t xml:space="preserve"> by RT-PCR. At this time point medium was changed and cells were incubated for 12 </w:t>
      </w:r>
      <w:proofErr w:type="spellStart"/>
      <w:r w:rsidR="00522EE1" w:rsidRPr="00522EE1">
        <w:rPr>
          <w:rFonts w:ascii="Arial" w:hAnsi="Arial" w:cs="Arial"/>
          <w:sz w:val="22"/>
          <w:szCs w:val="22"/>
        </w:rPr>
        <w:t>hrs</w:t>
      </w:r>
      <w:proofErr w:type="spellEnd"/>
      <w:r w:rsidR="00522EE1" w:rsidRPr="00522EE1">
        <w:rPr>
          <w:rFonts w:ascii="Arial" w:hAnsi="Arial" w:cs="Arial"/>
          <w:sz w:val="22"/>
          <w:szCs w:val="22"/>
        </w:rPr>
        <w:t xml:space="preserve"> with vehicle, 200 </w:t>
      </w:r>
      <w:r w:rsidR="00522EE1" w:rsidRPr="00522EE1">
        <w:rPr>
          <w:rFonts w:ascii="Arial" w:hAnsi="Arial" w:cs="Arial"/>
          <w:sz w:val="22"/>
          <w:szCs w:val="22"/>
        </w:rPr>
        <w:sym w:font="Symbol" w:char="F06D"/>
      </w:r>
      <w:r w:rsidR="00522EE1" w:rsidRPr="00522EE1">
        <w:rPr>
          <w:rFonts w:ascii="Arial" w:hAnsi="Arial" w:cs="Arial"/>
          <w:sz w:val="22"/>
          <w:szCs w:val="22"/>
        </w:rPr>
        <w:t xml:space="preserve">M ferrous sulfate, 20 mg/mL human albumin or a mixture of 200 </w:t>
      </w:r>
      <w:r w:rsidR="00522EE1" w:rsidRPr="00522EE1">
        <w:rPr>
          <w:rFonts w:ascii="Arial" w:hAnsi="Arial" w:cs="Arial"/>
          <w:sz w:val="22"/>
          <w:szCs w:val="22"/>
        </w:rPr>
        <w:sym w:font="Symbol" w:char="F06D"/>
      </w:r>
      <w:r w:rsidR="00522EE1" w:rsidRPr="00522EE1">
        <w:rPr>
          <w:rFonts w:ascii="Arial" w:hAnsi="Arial" w:cs="Arial"/>
          <w:sz w:val="22"/>
          <w:szCs w:val="22"/>
        </w:rPr>
        <w:t>M ferrous sulfate and 20 mg/mL human albumin. Lactate dehydrogenase (LDH) content in the cell culture supernatant was used to measure cell death (Cayman Chemical).</w:t>
      </w:r>
      <w:r>
        <w:rPr>
          <w:rFonts w:ascii="Arial" w:hAnsi="Arial" w:cs="Arial"/>
          <w:sz w:val="22"/>
          <w:szCs w:val="22"/>
        </w:rPr>
        <w:t xml:space="preserve"> Markers of ferroptosis</w:t>
      </w:r>
      <w:r w:rsidR="0016139A">
        <w:rPr>
          <w:rFonts w:ascii="Arial" w:hAnsi="Arial" w:cs="Arial"/>
          <w:sz w:val="22"/>
          <w:szCs w:val="22"/>
        </w:rPr>
        <w:t xml:space="preserve"> (ACSL4 and GPX4)</w:t>
      </w:r>
      <w:r>
        <w:rPr>
          <w:rFonts w:ascii="Arial" w:hAnsi="Arial" w:cs="Arial"/>
          <w:sz w:val="22"/>
          <w:szCs w:val="22"/>
        </w:rPr>
        <w:t xml:space="preserve"> were </w:t>
      </w:r>
      <w:r w:rsidR="0016139A">
        <w:rPr>
          <w:rFonts w:ascii="Arial" w:hAnsi="Arial" w:cs="Arial"/>
          <w:sz w:val="22"/>
          <w:szCs w:val="22"/>
        </w:rPr>
        <w:t xml:space="preserve">measured by Western blotting. </w:t>
      </w:r>
      <w:r>
        <w:rPr>
          <w:rFonts w:ascii="Arial" w:hAnsi="Arial" w:cs="Arial"/>
          <w:sz w:val="22"/>
          <w:szCs w:val="22"/>
        </w:rPr>
        <w:t xml:space="preserve">To evaluate the efficacy of Liproxstatin-2 (ferroptosis inhibitor), </w:t>
      </w:r>
      <w:r w:rsidRPr="000E1350">
        <w:rPr>
          <w:rFonts w:ascii="Arial" w:hAnsi="Arial" w:cs="Arial"/>
          <w:noProof/>
          <w:color w:val="000000" w:themeColor="text1"/>
          <w:sz w:val="22"/>
          <w:szCs w:val="22"/>
        </w:rPr>
        <w:t>2 x 10</w:t>
      </w:r>
      <w:r w:rsidRPr="000E1350">
        <w:rPr>
          <w:rFonts w:ascii="Arial" w:hAnsi="Arial" w:cs="Arial"/>
          <w:noProof/>
          <w:color w:val="000000" w:themeColor="text1"/>
          <w:sz w:val="22"/>
          <w:szCs w:val="22"/>
          <w:vertAlign w:val="superscript"/>
        </w:rPr>
        <w:t>5</w:t>
      </w:r>
      <w:r w:rsidRPr="000E1350">
        <w:rPr>
          <w:rFonts w:ascii="Arial" w:hAnsi="Arial" w:cs="Arial"/>
          <w:noProof/>
          <w:color w:val="000000" w:themeColor="text1"/>
          <w:sz w:val="22"/>
          <w:szCs w:val="22"/>
        </w:rPr>
        <w:t xml:space="preserve"> </w:t>
      </w:r>
      <w:r w:rsidRPr="000E1350">
        <w:rPr>
          <w:rFonts w:ascii="Arial" w:hAnsi="Arial" w:cs="Arial"/>
          <w:bCs/>
          <w:iCs/>
          <w:noProof/>
          <w:color w:val="000000" w:themeColor="text1"/>
          <w:sz w:val="22"/>
          <w:szCs w:val="22"/>
        </w:rPr>
        <w:t>cells were pretreated with 100 ng/mL or DMSO for 12 hrs before serum treatment. In some experiments liproxstain-2 was added after 1 or 4 hours after the addition of patient serum. All data were analyzed 24 hrs after addition of patient or healthy donor serum.</w:t>
      </w:r>
    </w:p>
    <w:p w14:paraId="016C2781" w14:textId="77777777" w:rsidR="00334983" w:rsidRDefault="00334983" w:rsidP="00522EE1">
      <w:pPr>
        <w:rPr>
          <w:rFonts w:ascii="Arial" w:hAnsi="Arial" w:cs="Arial"/>
          <w:b/>
          <w:bCs/>
          <w:sz w:val="22"/>
          <w:szCs w:val="22"/>
        </w:rPr>
      </w:pPr>
    </w:p>
    <w:p w14:paraId="1A03C7F2" w14:textId="27A1D186" w:rsidR="006B65C8" w:rsidRPr="006B18C1" w:rsidRDefault="006B65C8" w:rsidP="006B65C8">
      <w:pPr>
        <w:pStyle w:val="NoSpacing"/>
        <w:spacing w:line="360" w:lineRule="auto"/>
        <w:jc w:val="both"/>
        <w:rPr>
          <w:rFonts w:ascii="Arial" w:hAnsi="Arial" w:cs="Arial"/>
          <w:b/>
          <w:bCs/>
          <w:noProof/>
          <w:sz w:val="22"/>
          <w:szCs w:val="22"/>
        </w:rPr>
      </w:pPr>
      <w:r>
        <w:rPr>
          <w:rFonts w:ascii="Arial" w:hAnsi="Arial" w:cs="Arial"/>
          <w:b/>
          <w:noProof/>
          <w:sz w:val="22"/>
          <w:szCs w:val="22"/>
        </w:rPr>
        <w:t xml:space="preserve">Preparation of membrane fractions and </w:t>
      </w:r>
      <w:r w:rsidRPr="006B18C1">
        <w:rPr>
          <w:rFonts w:ascii="Arial" w:hAnsi="Arial" w:cs="Arial"/>
          <w:b/>
          <w:bCs/>
          <w:noProof/>
          <w:sz w:val="22"/>
          <w:szCs w:val="22"/>
        </w:rPr>
        <w:t xml:space="preserve">liquid chromatography-mass spectrometric analysis </w:t>
      </w:r>
      <w:r>
        <w:rPr>
          <w:rFonts w:ascii="Arial" w:hAnsi="Arial" w:cs="Arial"/>
          <w:b/>
          <w:bCs/>
          <w:noProof/>
          <w:sz w:val="22"/>
          <w:szCs w:val="22"/>
        </w:rPr>
        <w:t>of renal lipids</w:t>
      </w:r>
      <w:r w:rsidRPr="006B18C1">
        <w:rPr>
          <w:rFonts w:ascii="Arial" w:hAnsi="Arial" w:cs="Arial"/>
          <w:b/>
          <w:bCs/>
          <w:noProof/>
          <w:sz w:val="22"/>
          <w:szCs w:val="22"/>
        </w:rPr>
        <w:t xml:space="preserve"> </w:t>
      </w:r>
    </w:p>
    <w:p w14:paraId="1E1A6130" w14:textId="40AB6F75" w:rsidR="006B65C8" w:rsidRPr="001D3339" w:rsidRDefault="006B65C8" w:rsidP="006B65C8">
      <w:pPr>
        <w:pStyle w:val="NoSpacing"/>
        <w:spacing w:line="360" w:lineRule="auto"/>
        <w:jc w:val="both"/>
        <w:rPr>
          <w:rFonts w:ascii="Arial" w:eastAsia="Times New Roman" w:hAnsi="Arial" w:cs="Arial"/>
          <w:sz w:val="22"/>
          <w:szCs w:val="22"/>
          <w:shd w:val="clear" w:color="auto" w:fill="FFFFFF"/>
        </w:rPr>
      </w:pPr>
      <w:r w:rsidRPr="001D3339">
        <w:rPr>
          <w:rFonts w:ascii="Arial" w:hAnsi="Arial" w:cs="Arial"/>
          <w:b/>
          <w:noProof/>
          <w:sz w:val="22"/>
          <w:szCs w:val="22"/>
        </w:rPr>
        <w:tab/>
      </w:r>
      <w:r w:rsidRPr="001D3339">
        <w:rPr>
          <w:rFonts w:ascii="Arial" w:hAnsi="Arial" w:cs="Arial"/>
          <w:noProof/>
          <w:sz w:val="22"/>
          <w:szCs w:val="22"/>
        </w:rPr>
        <w:t xml:space="preserve">For each animal, </w:t>
      </w:r>
      <w:r>
        <w:rPr>
          <w:rFonts w:ascii="Arial" w:hAnsi="Arial" w:cs="Arial"/>
          <w:noProof/>
          <w:sz w:val="22"/>
          <w:szCs w:val="22"/>
        </w:rPr>
        <w:t>10 mg</w:t>
      </w:r>
      <w:r w:rsidRPr="001D3339">
        <w:rPr>
          <w:rFonts w:ascii="Arial" w:eastAsia="Times New Roman" w:hAnsi="Arial" w:cs="Arial"/>
          <w:sz w:val="22"/>
          <w:szCs w:val="22"/>
          <w:shd w:val="clear" w:color="auto" w:fill="FFFFFF"/>
        </w:rPr>
        <w:t xml:space="preserve"> </w:t>
      </w:r>
      <w:r>
        <w:rPr>
          <w:rFonts w:ascii="Arial" w:eastAsia="Times New Roman" w:hAnsi="Arial" w:cs="Arial"/>
          <w:sz w:val="22"/>
          <w:szCs w:val="22"/>
          <w:shd w:val="clear" w:color="auto" w:fill="FFFFFF"/>
        </w:rPr>
        <w:t>kidney</w:t>
      </w:r>
      <w:r w:rsidRPr="001D3339">
        <w:rPr>
          <w:rFonts w:ascii="Arial" w:eastAsia="Times New Roman" w:hAnsi="Arial" w:cs="Arial"/>
          <w:sz w:val="22"/>
          <w:szCs w:val="22"/>
          <w:shd w:val="clear" w:color="auto" w:fill="FFFFFF"/>
        </w:rPr>
        <w:t xml:space="preserve"> tissue was washed with PBS before being subject to homogenization with an Omni TH homogenizer (Warrenton, VA)</w:t>
      </w:r>
      <w:r>
        <w:rPr>
          <w:rFonts w:ascii="Arial" w:eastAsia="Times New Roman" w:hAnsi="Arial" w:cs="Arial"/>
          <w:sz w:val="22"/>
          <w:szCs w:val="22"/>
          <w:shd w:val="clear" w:color="auto" w:fill="FFFFFF"/>
        </w:rPr>
        <w:t xml:space="preserve"> </w:t>
      </w:r>
      <w:r w:rsidRPr="001D3339">
        <w:rPr>
          <w:rFonts w:ascii="Arial" w:eastAsia="Times New Roman" w:hAnsi="Arial" w:cs="Arial"/>
          <w:sz w:val="22"/>
          <w:szCs w:val="22"/>
          <w:shd w:val="clear" w:color="auto" w:fill="FFFFFF"/>
        </w:rPr>
        <w:t>in tissue protein extraction reagent (TPER) (</w:t>
      </w:r>
      <w:r w:rsidRPr="001D3339">
        <w:rPr>
          <w:rFonts w:ascii="Arial" w:eastAsia="Times New Roman" w:hAnsi="Arial" w:cs="Arial"/>
          <w:sz w:val="22"/>
          <w:szCs w:val="22"/>
        </w:rPr>
        <w:t>Thermo Fisher Scientific; Waltham, Massachusetts</w:t>
      </w:r>
      <w:r w:rsidRPr="001D3339">
        <w:rPr>
          <w:rFonts w:ascii="Arial" w:eastAsia="Times New Roman" w:hAnsi="Arial" w:cs="Arial"/>
          <w:sz w:val="22"/>
          <w:szCs w:val="22"/>
          <w:shd w:val="clear" w:color="auto" w:fill="FFFFFF"/>
        </w:rPr>
        <w:t xml:space="preserve">) supplemented with Halt protease and phosphatase inhibitors (Thermo Fisher Scientific).  The lysate was incubated on ice for 30 minutes while </w:t>
      </w:r>
      <w:proofErr w:type="spellStart"/>
      <w:r w:rsidRPr="001D3339">
        <w:rPr>
          <w:rFonts w:ascii="Arial" w:eastAsia="Times New Roman" w:hAnsi="Arial" w:cs="Arial"/>
          <w:sz w:val="22"/>
          <w:szCs w:val="22"/>
          <w:shd w:val="clear" w:color="auto" w:fill="FFFFFF"/>
        </w:rPr>
        <w:t>vortexing</w:t>
      </w:r>
      <w:proofErr w:type="spellEnd"/>
      <w:r w:rsidRPr="001D3339">
        <w:rPr>
          <w:rFonts w:ascii="Arial" w:eastAsia="Times New Roman" w:hAnsi="Arial" w:cs="Arial"/>
          <w:sz w:val="22"/>
          <w:szCs w:val="22"/>
          <w:shd w:val="clear" w:color="auto" w:fill="FFFFFF"/>
        </w:rPr>
        <w:t xml:space="preserve"> every 10 minutes.  The lysates were </w:t>
      </w:r>
      <w:r>
        <w:rPr>
          <w:rFonts w:ascii="Arial" w:eastAsia="Times New Roman" w:hAnsi="Arial" w:cs="Arial"/>
          <w:sz w:val="22"/>
          <w:szCs w:val="22"/>
          <w:shd w:val="clear" w:color="auto" w:fill="FFFFFF"/>
        </w:rPr>
        <w:t xml:space="preserve">then </w:t>
      </w:r>
      <w:r w:rsidRPr="001D3339">
        <w:rPr>
          <w:rFonts w:ascii="Arial" w:eastAsia="Times New Roman" w:hAnsi="Arial" w:cs="Arial"/>
          <w:sz w:val="22"/>
          <w:szCs w:val="22"/>
          <w:shd w:val="clear" w:color="auto" w:fill="FFFFFF"/>
        </w:rPr>
        <w:t>subject to centrifugation at 13,000 rpm for 10 minut</w:t>
      </w:r>
      <w:r>
        <w:rPr>
          <w:rFonts w:ascii="Arial" w:eastAsia="Times New Roman" w:hAnsi="Arial" w:cs="Arial"/>
          <w:sz w:val="22"/>
          <w:szCs w:val="22"/>
          <w:shd w:val="clear" w:color="auto" w:fill="FFFFFF"/>
        </w:rPr>
        <w:t>e</w:t>
      </w:r>
      <w:r w:rsidRPr="001D3339">
        <w:rPr>
          <w:rFonts w:ascii="Arial" w:eastAsia="Times New Roman" w:hAnsi="Arial" w:cs="Arial"/>
          <w:sz w:val="22"/>
          <w:szCs w:val="22"/>
          <w:shd w:val="clear" w:color="auto" w:fill="FFFFFF"/>
        </w:rPr>
        <w:t xml:space="preserve">s </w:t>
      </w:r>
      <w:r>
        <w:rPr>
          <w:rFonts w:ascii="Arial" w:eastAsia="Times New Roman" w:hAnsi="Arial" w:cs="Arial"/>
          <w:sz w:val="22"/>
          <w:szCs w:val="22"/>
          <w:shd w:val="clear" w:color="auto" w:fill="FFFFFF"/>
        </w:rPr>
        <w:t>using</w:t>
      </w:r>
      <w:r w:rsidRPr="001D3339">
        <w:rPr>
          <w:rFonts w:ascii="Arial" w:eastAsia="Times New Roman" w:hAnsi="Arial" w:cs="Arial"/>
          <w:sz w:val="22"/>
          <w:szCs w:val="22"/>
          <w:shd w:val="clear" w:color="auto" w:fill="FFFFFF"/>
        </w:rPr>
        <w:t xml:space="preserve"> a tabletop centrifuge (Thermo IEC) before the supernatant was subject to ultracentrifugation </w:t>
      </w:r>
      <w:r w:rsidRPr="001238C6">
        <w:rPr>
          <w:rFonts w:ascii="Arial" w:hAnsi="Arial" w:cs="Arial"/>
          <w:color w:val="000000"/>
          <w:sz w:val="22"/>
          <w:szCs w:val="22"/>
        </w:rPr>
        <w:t xml:space="preserve">for 30 minutes at 34,000 rpm at 4º C </w:t>
      </w:r>
      <w:r w:rsidRPr="001D3339">
        <w:rPr>
          <w:rFonts w:ascii="Arial" w:hAnsi="Arial" w:cs="Arial"/>
          <w:color w:val="000000"/>
          <w:sz w:val="22"/>
          <w:szCs w:val="22"/>
        </w:rPr>
        <w:t xml:space="preserve">using </w:t>
      </w:r>
      <w:r>
        <w:rPr>
          <w:rFonts w:ascii="Arial" w:hAnsi="Arial" w:cs="Arial"/>
          <w:color w:val="000000"/>
          <w:sz w:val="22"/>
          <w:szCs w:val="22"/>
        </w:rPr>
        <w:t>an</w:t>
      </w:r>
      <w:r w:rsidRPr="001238C6">
        <w:rPr>
          <w:rFonts w:ascii="Arial" w:hAnsi="Arial" w:cs="Arial"/>
          <w:color w:val="000000"/>
          <w:sz w:val="22"/>
          <w:szCs w:val="22"/>
        </w:rPr>
        <w:t xml:space="preserve"> SW55.1 rotor </w:t>
      </w:r>
      <w:r>
        <w:rPr>
          <w:rFonts w:ascii="Arial" w:hAnsi="Arial" w:cs="Arial"/>
          <w:color w:val="000000"/>
          <w:sz w:val="22"/>
          <w:szCs w:val="22"/>
        </w:rPr>
        <w:t xml:space="preserve">and </w:t>
      </w:r>
      <w:r w:rsidRPr="001D3339">
        <w:rPr>
          <w:rFonts w:ascii="Arial" w:eastAsia="Times New Roman" w:hAnsi="Arial" w:cs="Arial"/>
          <w:sz w:val="22"/>
          <w:szCs w:val="22"/>
          <w:shd w:val="clear" w:color="auto" w:fill="FFFFFF"/>
        </w:rPr>
        <w:t>O</w:t>
      </w:r>
      <w:r w:rsidRPr="001238C6">
        <w:rPr>
          <w:rFonts w:ascii="Arial" w:hAnsi="Arial" w:cs="Arial"/>
          <w:color w:val="000000"/>
          <w:sz w:val="22"/>
          <w:szCs w:val="22"/>
        </w:rPr>
        <w:t>ptima L-90K ultracentrifuge</w:t>
      </w:r>
      <w:r w:rsidRPr="001D3339">
        <w:rPr>
          <w:rFonts w:ascii="Arial" w:hAnsi="Arial" w:cs="Arial"/>
          <w:color w:val="000000"/>
          <w:sz w:val="22"/>
          <w:szCs w:val="22"/>
        </w:rPr>
        <w:t xml:space="preserve"> </w:t>
      </w:r>
      <w:r w:rsidRPr="001238C6">
        <w:rPr>
          <w:rFonts w:ascii="Arial" w:hAnsi="Arial" w:cs="Arial"/>
          <w:color w:val="000000"/>
          <w:sz w:val="22"/>
          <w:szCs w:val="22"/>
        </w:rPr>
        <w:t>(Beckman Coulter; Schaumburg, IL).</w:t>
      </w:r>
      <w:r w:rsidRPr="001D3339">
        <w:rPr>
          <w:rFonts w:ascii="Arial" w:hAnsi="Arial" w:cs="Arial"/>
          <w:color w:val="000000"/>
          <w:sz w:val="22"/>
          <w:szCs w:val="22"/>
        </w:rPr>
        <w:t xml:space="preserve">  The pellet was reconstituted in TPER and then sonicated twice for </w:t>
      </w:r>
      <w:r>
        <w:rPr>
          <w:rFonts w:ascii="Arial" w:hAnsi="Arial" w:cs="Arial"/>
          <w:color w:val="000000"/>
          <w:sz w:val="22"/>
          <w:szCs w:val="22"/>
        </w:rPr>
        <w:t>5-second</w:t>
      </w:r>
      <w:r w:rsidRPr="001D3339">
        <w:rPr>
          <w:rFonts w:ascii="Arial" w:hAnsi="Arial" w:cs="Arial"/>
          <w:color w:val="000000"/>
          <w:sz w:val="22"/>
          <w:szCs w:val="22"/>
        </w:rPr>
        <w:t xml:space="preserve"> intervals. A BCA assay was performed to determine protein concentration.  </w:t>
      </w:r>
    </w:p>
    <w:p w14:paraId="247F6AE4" w14:textId="6FBAE939" w:rsidR="006B65C8" w:rsidRDefault="006B65C8" w:rsidP="006B65C8">
      <w:pPr>
        <w:pStyle w:val="NoSpacing"/>
        <w:spacing w:line="360" w:lineRule="auto"/>
        <w:jc w:val="both"/>
        <w:rPr>
          <w:rFonts w:ascii="Arial" w:hAnsi="Arial" w:cs="Arial"/>
          <w:noProof/>
          <w:sz w:val="22"/>
          <w:szCs w:val="22"/>
        </w:rPr>
      </w:pPr>
      <w:r>
        <w:rPr>
          <w:rFonts w:ascii="Arial" w:hAnsi="Arial" w:cs="Arial"/>
          <w:b/>
          <w:noProof/>
          <w:sz w:val="22"/>
          <w:szCs w:val="22"/>
        </w:rPr>
        <w:tab/>
      </w:r>
      <w:r>
        <w:rPr>
          <w:rFonts w:ascii="Arial" w:hAnsi="Arial" w:cs="Arial"/>
          <w:noProof/>
          <w:sz w:val="22"/>
          <w:szCs w:val="22"/>
        </w:rPr>
        <w:t>Lipids were extracted with a modified Bligh-Dyer protocol</w:t>
      </w:r>
      <w:r>
        <w:rPr>
          <w:rFonts w:ascii="Arial" w:hAnsi="Arial" w:cs="Arial"/>
          <w:noProof/>
          <w:sz w:val="22"/>
          <w:szCs w:val="22"/>
        </w:rPr>
        <w:fldChar w:fldCharType="begin"/>
      </w:r>
      <w:r w:rsidR="008F5C0B">
        <w:rPr>
          <w:rFonts w:ascii="Arial" w:hAnsi="Arial" w:cs="Arial"/>
          <w:noProof/>
          <w:sz w:val="22"/>
          <w:szCs w:val="22"/>
        </w:rPr>
        <w:instrText xml:space="preserve"> ADDIN EN.CITE &lt;EndNote&gt;&lt;Cite&gt;&lt;Author&gt;Bligh&lt;/Author&gt;&lt;Year&gt;1959&lt;/Year&gt;&lt;RecNum&gt;11256&lt;/RecNum&gt;&lt;DisplayText&gt;(2)&lt;/DisplayText&gt;&lt;record&gt;&lt;rec-number&gt;11256&lt;/rec-number&gt;&lt;foreign-keys&gt;&lt;key app="EN" db-id="t5pr9vetjzfew6ev2thpffeq5pswf2ztvaew" timestamp="1640436464" guid="420b74a7-8441-4b1f-8e09-ab2e75105531"&gt;11256&lt;/key&gt;&lt;/foreign-keys&gt;&lt;ref-type name="Journal Article"&gt;17&lt;/ref-type&gt;&lt;contributors&gt;&lt;authors&gt;&lt;author&gt;Bligh, E. G.&lt;/author&gt;&lt;author&gt;Dyer, W. J.&lt;/author&gt;&lt;/authors&gt;&lt;/contributors&gt;&lt;titles&gt;&lt;title&gt;A rapid method of total lipid extraction and purification&lt;/title&gt;&lt;secondary-title&gt;Can J Biochem Physiol&lt;/secondary-title&gt;&lt;/titles&gt;&lt;periodical&gt;&lt;full-title&gt;Can J Biochem Physiol&lt;/full-title&gt;&lt;/periodical&gt;&lt;pages&gt;911-7&lt;/pages&gt;&lt;volume&gt;37&lt;/volume&gt;&lt;number&gt;8&lt;/number&gt;&lt;edition&gt;1959/08/01&lt;/edition&gt;&lt;keywords&gt;&lt;keyword&gt;*Fishes&lt;/keyword&gt;&lt;keyword&gt;Lipids/*analysis&lt;/keyword&gt;&lt;keyword&gt;*fish&lt;/keyword&gt;&lt;keyword&gt;*LIPIDS/determination&lt;/keyword&gt;&lt;/keywords&gt;&lt;dates&gt;&lt;year&gt;1959&lt;/year&gt;&lt;pub-dates&gt;&lt;date&gt;Aug&lt;/date&gt;&lt;/pub-dates&gt;&lt;/dates&gt;&lt;accession-num&gt;13671378&lt;/accession-num&gt;&lt;urls&gt;&lt;related-urls&gt;&lt;url&gt;https://www.ncbi.nlm.nih.gov/pubmed/13671378&lt;/url&gt;&lt;/related-urls&gt;&lt;/urls&gt;&lt;electronic-resource-num&gt;10.1139/o59-099&lt;/electronic-resource-num&gt;&lt;/record&gt;&lt;/Cite&gt;&lt;/EndNote&gt;</w:instrText>
      </w:r>
      <w:r>
        <w:rPr>
          <w:rFonts w:ascii="Arial" w:hAnsi="Arial" w:cs="Arial"/>
          <w:noProof/>
          <w:sz w:val="22"/>
          <w:szCs w:val="22"/>
        </w:rPr>
        <w:fldChar w:fldCharType="separate"/>
      </w:r>
      <w:r w:rsidR="008F5C0B">
        <w:rPr>
          <w:rFonts w:ascii="Arial" w:hAnsi="Arial" w:cs="Arial"/>
          <w:noProof/>
          <w:sz w:val="22"/>
          <w:szCs w:val="22"/>
        </w:rPr>
        <w:t>(2)</w:t>
      </w:r>
      <w:r>
        <w:rPr>
          <w:rFonts w:ascii="Arial" w:hAnsi="Arial" w:cs="Arial"/>
          <w:noProof/>
          <w:sz w:val="22"/>
          <w:szCs w:val="22"/>
        </w:rPr>
        <w:fldChar w:fldCharType="end"/>
      </w:r>
      <w:r w:rsidRPr="00B94DCE">
        <w:rPr>
          <w:rFonts w:ascii="Arial" w:hAnsi="Arial" w:cs="Arial"/>
          <w:noProof/>
          <w:sz w:val="22"/>
          <w:szCs w:val="22"/>
        </w:rPr>
        <w:t xml:space="preserve">. </w:t>
      </w:r>
      <w:r>
        <w:rPr>
          <w:rFonts w:ascii="Arial" w:hAnsi="Arial" w:cs="Arial"/>
          <w:noProof/>
          <w:sz w:val="22"/>
          <w:szCs w:val="22"/>
        </w:rPr>
        <w:t xml:space="preserve">Two milliliters of methanol, 800 uL of dichloromethane, 20 uL of lipid membranes, 980 ul of water, and 50 ul of 1:5 diluted EquiSplash Lipidomix heavy isotope Standards </w:t>
      </w:r>
      <w:r w:rsidRPr="00475181">
        <w:rPr>
          <w:rFonts w:ascii="Arial" w:hAnsi="Arial" w:cs="Arial"/>
          <w:noProof/>
          <w:sz w:val="22"/>
          <w:szCs w:val="22"/>
        </w:rPr>
        <w:t>(</w:t>
      </w:r>
      <w:r>
        <w:rPr>
          <w:rFonts w:ascii="Arial" w:hAnsi="Arial" w:cs="Arial"/>
          <w:noProof/>
          <w:sz w:val="22"/>
          <w:szCs w:val="22"/>
        </w:rPr>
        <w:t xml:space="preserve">consisting of 20 ug/L each of a mixture of 13 deuterated lipids, </w:t>
      </w:r>
      <w:r w:rsidRPr="00475181">
        <w:rPr>
          <w:rFonts w:ascii="Arial" w:hAnsi="Arial" w:cs="Arial"/>
          <w:noProof/>
          <w:sz w:val="22"/>
          <w:szCs w:val="22"/>
        </w:rPr>
        <w:t xml:space="preserve">Avanti Polar Lipids, Inc., AL, USA) </w:t>
      </w:r>
      <w:r>
        <w:rPr>
          <w:rFonts w:ascii="Arial" w:hAnsi="Arial" w:cs="Arial"/>
          <w:noProof/>
          <w:sz w:val="22"/>
          <w:szCs w:val="22"/>
        </w:rPr>
        <w:t xml:space="preserve">were combined in 13x100 mm glass screw-cap tubes. The mixture was left at room temperature for thirty minutes. </w:t>
      </w:r>
      <w:r w:rsidRPr="005D29E5">
        <w:rPr>
          <w:rFonts w:ascii="Arial" w:hAnsi="Arial" w:cs="Arial"/>
          <w:noProof/>
          <w:sz w:val="22"/>
          <w:szCs w:val="22"/>
        </w:rPr>
        <w:t xml:space="preserve">1 mL water and 0.9 mL </w:t>
      </w:r>
      <w:r w:rsidRPr="005D29E5">
        <w:rPr>
          <w:rFonts w:ascii="Arial" w:hAnsi="Arial" w:cs="Arial"/>
          <w:noProof/>
          <w:sz w:val="22"/>
          <w:szCs w:val="22"/>
        </w:rPr>
        <w:lastRenderedPageBreak/>
        <w:t>methylene chloride were added and tubes were gently inverted 10 times</w:t>
      </w:r>
      <w:r w:rsidRPr="000B04D3">
        <w:rPr>
          <w:rFonts w:ascii="Arial" w:eastAsia="Times New Roman" w:hAnsi="Arial" w:cs="Arial"/>
        </w:rPr>
        <w:t xml:space="preserve"> and centrifuged at 200 g for 10 minutes.</w:t>
      </w:r>
      <w:r>
        <w:rPr>
          <w:rFonts w:ascii="Arial" w:hAnsi="Arial" w:cs="Arial"/>
          <w:noProof/>
          <w:sz w:val="22"/>
          <w:szCs w:val="22"/>
        </w:rPr>
        <w:t xml:space="preserve"> After centrifugation, the lower layer was collected. The samples were extracted with 800 ul of dichloromethane, vortexed, centrifuged before collecting the lower layer. Finally, the organic phase was dried under nitrogen gas and reconstituted in 50 uL of methanol. Targeted liquid chromatography-mass spectrometric analysis was performed on a QTRAP 6500+ triple quadrupole mass spectrometer (AB SCIEX) and a Nexera liquid chromatography system (Shimadzu). The column used was a Phenomenex luna 3µm 2.1x100 mm column with mobile phase A 1</w:t>
      </w:r>
      <w:r w:rsidRPr="00B94DCE">
        <w:rPr>
          <w:rFonts w:ascii="Arial" w:hAnsi="Arial" w:cs="Arial"/>
          <w:noProof/>
          <w:sz w:val="22"/>
          <w:szCs w:val="22"/>
        </w:rPr>
        <w:t xml:space="preserve"> mM </w:t>
      </w:r>
      <w:r>
        <w:rPr>
          <w:rFonts w:ascii="Arial" w:hAnsi="Arial" w:cs="Arial"/>
          <w:noProof/>
          <w:sz w:val="22"/>
          <w:szCs w:val="22"/>
        </w:rPr>
        <w:t>a</w:t>
      </w:r>
      <w:r w:rsidRPr="00B94DCE">
        <w:rPr>
          <w:rFonts w:ascii="Arial" w:hAnsi="Arial" w:cs="Arial"/>
          <w:noProof/>
          <w:sz w:val="22"/>
          <w:szCs w:val="22"/>
        </w:rPr>
        <w:t xml:space="preserve">mmonium </w:t>
      </w:r>
      <w:r>
        <w:rPr>
          <w:rFonts w:ascii="Arial" w:hAnsi="Arial" w:cs="Arial"/>
          <w:noProof/>
          <w:sz w:val="22"/>
          <w:szCs w:val="22"/>
        </w:rPr>
        <w:t>a</w:t>
      </w:r>
      <w:r w:rsidRPr="00B94DCE">
        <w:rPr>
          <w:rFonts w:ascii="Arial" w:hAnsi="Arial" w:cs="Arial"/>
          <w:noProof/>
          <w:sz w:val="22"/>
          <w:szCs w:val="22"/>
        </w:rPr>
        <w:t xml:space="preserve">cetate in 7/93 </w:t>
      </w:r>
      <w:r>
        <w:rPr>
          <w:rFonts w:ascii="Arial" w:hAnsi="Arial" w:cs="Arial"/>
          <w:noProof/>
          <w:sz w:val="22"/>
          <w:szCs w:val="22"/>
        </w:rPr>
        <w:t>dichloromethane</w:t>
      </w:r>
      <w:r w:rsidRPr="00B94DCE">
        <w:rPr>
          <w:rFonts w:ascii="Arial" w:hAnsi="Arial" w:cs="Arial"/>
          <w:noProof/>
          <w:sz w:val="22"/>
          <w:szCs w:val="22"/>
        </w:rPr>
        <w:t>/</w:t>
      </w:r>
      <w:r>
        <w:rPr>
          <w:rFonts w:ascii="Arial" w:hAnsi="Arial" w:cs="Arial"/>
          <w:noProof/>
          <w:sz w:val="22"/>
          <w:szCs w:val="22"/>
        </w:rPr>
        <w:t>a</w:t>
      </w:r>
      <w:r w:rsidRPr="00B94DCE">
        <w:rPr>
          <w:rFonts w:ascii="Arial" w:hAnsi="Arial" w:cs="Arial"/>
          <w:noProof/>
          <w:sz w:val="22"/>
          <w:szCs w:val="22"/>
        </w:rPr>
        <w:t>cetonitrile</w:t>
      </w:r>
      <w:r>
        <w:rPr>
          <w:rFonts w:ascii="Arial" w:hAnsi="Arial" w:cs="Arial"/>
          <w:noProof/>
          <w:sz w:val="22"/>
          <w:szCs w:val="22"/>
        </w:rPr>
        <w:t xml:space="preserve"> and mobile phase B consisting of 1 mM ammonium acetate</w:t>
      </w:r>
      <w:r w:rsidRPr="00B94DCE">
        <w:t xml:space="preserve"> </w:t>
      </w:r>
      <w:r w:rsidRPr="00B94DCE">
        <w:rPr>
          <w:rFonts w:ascii="Arial" w:hAnsi="Arial" w:cs="Arial"/>
          <w:noProof/>
          <w:sz w:val="22"/>
          <w:szCs w:val="22"/>
        </w:rPr>
        <w:t xml:space="preserve">in 50/50 </w:t>
      </w:r>
      <w:r>
        <w:rPr>
          <w:rFonts w:ascii="Arial" w:hAnsi="Arial" w:cs="Arial"/>
          <w:noProof/>
          <w:sz w:val="22"/>
          <w:szCs w:val="22"/>
        </w:rPr>
        <w:t>w</w:t>
      </w:r>
      <w:r w:rsidRPr="00B94DCE">
        <w:rPr>
          <w:rFonts w:ascii="Arial" w:hAnsi="Arial" w:cs="Arial"/>
          <w:noProof/>
          <w:sz w:val="22"/>
          <w:szCs w:val="22"/>
        </w:rPr>
        <w:t>ater/</w:t>
      </w:r>
      <w:r>
        <w:rPr>
          <w:rFonts w:ascii="Arial" w:hAnsi="Arial" w:cs="Arial"/>
          <w:noProof/>
          <w:sz w:val="22"/>
          <w:szCs w:val="22"/>
        </w:rPr>
        <w:t>a</w:t>
      </w:r>
      <w:r w:rsidRPr="00B94DCE">
        <w:rPr>
          <w:rFonts w:ascii="Arial" w:hAnsi="Arial" w:cs="Arial"/>
          <w:noProof/>
          <w:sz w:val="22"/>
          <w:szCs w:val="22"/>
        </w:rPr>
        <w:t>cetonitrile pH 8.2</w:t>
      </w:r>
      <w:r>
        <w:rPr>
          <w:rFonts w:ascii="Arial" w:hAnsi="Arial" w:cs="Arial"/>
          <w:noProof/>
          <w:sz w:val="22"/>
          <w:szCs w:val="22"/>
        </w:rPr>
        <w:t>. The gradient was 17.5 minutes long with a 5 ul injection volume. About 1,200 lipids were detected. Differentially regulated lipids of different classes were compared between non-nephritic and nephritic kidneys, and</w:t>
      </w:r>
      <w:r w:rsidRPr="00103D47">
        <w:rPr>
          <w:rFonts w:ascii="Arial" w:hAnsi="Arial" w:cs="Arial"/>
          <w:noProof/>
          <w:sz w:val="22"/>
          <w:szCs w:val="22"/>
        </w:rPr>
        <w:t xml:space="preserve"> p &lt; 0.05 was considered </w:t>
      </w:r>
      <w:r>
        <w:rPr>
          <w:rFonts w:ascii="Arial" w:hAnsi="Arial" w:cs="Arial"/>
          <w:noProof/>
          <w:sz w:val="22"/>
          <w:szCs w:val="22"/>
        </w:rPr>
        <w:t>significant</w:t>
      </w:r>
      <w:r w:rsidRPr="00103D47">
        <w:rPr>
          <w:rFonts w:ascii="Arial" w:hAnsi="Arial" w:cs="Arial"/>
          <w:noProof/>
          <w:sz w:val="22"/>
          <w:szCs w:val="22"/>
        </w:rPr>
        <w:t xml:space="preserve">. </w:t>
      </w:r>
      <w:r>
        <w:rPr>
          <w:rFonts w:ascii="Arial" w:hAnsi="Arial" w:cs="Arial"/>
          <w:noProof/>
          <w:sz w:val="22"/>
          <w:szCs w:val="22"/>
        </w:rPr>
        <w:t>A</w:t>
      </w:r>
      <w:r w:rsidRPr="00103D47">
        <w:rPr>
          <w:rFonts w:ascii="Arial" w:hAnsi="Arial" w:cs="Arial"/>
          <w:noProof/>
          <w:sz w:val="22"/>
          <w:szCs w:val="22"/>
        </w:rPr>
        <w:t xml:space="preserve"> heatmap was used to visualize the results.</w:t>
      </w:r>
    </w:p>
    <w:p w14:paraId="3176044A" w14:textId="77777777" w:rsidR="008F5C0B" w:rsidRDefault="008F5C0B" w:rsidP="006B65C8">
      <w:pPr>
        <w:pStyle w:val="NoSpacing"/>
        <w:spacing w:line="360" w:lineRule="auto"/>
        <w:ind w:firstLine="720"/>
        <w:jc w:val="both"/>
        <w:rPr>
          <w:rFonts w:ascii="Arial" w:hAnsi="Arial" w:cs="Arial"/>
          <w:noProof/>
          <w:color w:val="000000" w:themeColor="text1"/>
          <w:sz w:val="22"/>
          <w:szCs w:val="22"/>
        </w:rPr>
      </w:pPr>
    </w:p>
    <w:p w14:paraId="71127628" w14:textId="77777777" w:rsidR="008F5C0B" w:rsidRDefault="008F5C0B" w:rsidP="006B65C8">
      <w:pPr>
        <w:pStyle w:val="NoSpacing"/>
        <w:spacing w:line="360" w:lineRule="auto"/>
        <w:ind w:firstLine="720"/>
        <w:jc w:val="both"/>
        <w:rPr>
          <w:rFonts w:ascii="Arial" w:hAnsi="Arial" w:cs="Arial"/>
          <w:noProof/>
          <w:color w:val="000000" w:themeColor="text1"/>
          <w:sz w:val="22"/>
          <w:szCs w:val="22"/>
        </w:rPr>
      </w:pPr>
    </w:p>
    <w:p w14:paraId="755A125A" w14:textId="77777777" w:rsidR="008F5C0B" w:rsidRPr="008F5C0B" w:rsidRDefault="008F5C0B" w:rsidP="008F5C0B">
      <w:pPr>
        <w:pStyle w:val="EndNoteBibliography"/>
        <w:rPr>
          <w:noProof/>
        </w:rPr>
      </w:pPr>
      <w:r>
        <w:rPr>
          <w:rFonts w:ascii="Arial" w:hAnsi="Arial" w:cs="Arial"/>
          <w:noProof/>
          <w:color w:val="000000" w:themeColor="text1"/>
          <w:sz w:val="22"/>
          <w:szCs w:val="22"/>
        </w:rPr>
        <w:fldChar w:fldCharType="begin"/>
      </w:r>
      <w:r>
        <w:rPr>
          <w:rFonts w:ascii="Arial" w:hAnsi="Arial" w:cs="Arial"/>
          <w:noProof/>
          <w:color w:val="000000" w:themeColor="text1"/>
          <w:sz w:val="22"/>
          <w:szCs w:val="22"/>
        </w:rPr>
        <w:instrText xml:space="preserve"> ADDIN EN.REFLIST </w:instrText>
      </w:r>
      <w:r>
        <w:rPr>
          <w:rFonts w:ascii="Arial" w:hAnsi="Arial" w:cs="Arial"/>
          <w:noProof/>
          <w:color w:val="000000" w:themeColor="text1"/>
          <w:sz w:val="22"/>
          <w:szCs w:val="22"/>
        </w:rPr>
        <w:fldChar w:fldCharType="separate"/>
      </w:r>
      <w:r w:rsidRPr="008F5C0B">
        <w:rPr>
          <w:noProof/>
        </w:rPr>
        <w:t>1.</w:t>
      </w:r>
      <w:r w:rsidRPr="008F5C0B">
        <w:rPr>
          <w:noProof/>
        </w:rPr>
        <w:tab/>
        <w:t>Scindia Y, Wlazlo E, Ghias E, Cechova S, Loi V, Leeds J, et al. Modulation of iron homeostasis with hepcidin ameliorates spontaneous murine lupus nephritis. Kidney international. 2020;98(1):100-15.</w:t>
      </w:r>
    </w:p>
    <w:p w14:paraId="4282ECC0" w14:textId="77777777" w:rsidR="008F5C0B" w:rsidRPr="008F5C0B" w:rsidRDefault="008F5C0B" w:rsidP="008F5C0B">
      <w:pPr>
        <w:pStyle w:val="EndNoteBibliography"/>
        <w:rPr>
          <w:noProof/>
        </w:rPr>
      </w:pPr>
      <w:r w:rsidRPr="008F5C0B">
        <w:rPr>
          <w:noProof/>
        </w:rPr>
        <w:t>2.</w:t>
      </w:r>
      <w:r w:rsidRPr="008F5C0B">
        <w:rPr>
          <w:noProof/>
        </w:rPr>
        <w:tab/>
        <w:t>Bligh EG, Dyer WJ. A rapid method of total lipid extraction and purification. Can J Biochem Physiol. 1959;37(8):911-7.</w:t>
      </w:r>
    </w:p>
    <w:p w14:paraId="4DE9B64F" w14:textId="73E20FBE" w:rsidR="006B65C8" w:rsidRPr="006B65C8" w:rsidRDefault="008F5C0B" w:rsidP="006B65C8">
      <w:pPr>
        <w:pStyle w:val="NoSpacing"/>
        <w:spacing w:line="360" w:lineRule="auto"/>
        <w:ind w:firstLine="720"/>
        <w:jc w:val="both"/>
        <w:rPr>
          <w:rFonts w:ascii="Arial" w:hAnsi="Arial" w:cs="Arial"/>
          <w:noProof/>
          <w:color w:val="000000" w:themeColor="text1"/>
          <w:sz w:val="22"/>
          <w:szCs w:val="22"/>
        </w:rPr>
      </w:pPr>
      <w:r>
        <w:rPr>
          <w:rFonts w:ascii="Arial" w:hAnsi="Arial" w:cs="Arial"/>
          <w:noProof/>
          <w:color w:val="000000" w:themeColor="text1"/>
          <w:sz w:val="22"/>
          <w:szCs w:val="22"/>
        </w:rPr>
        <w:fldChar w:fldCharType="end"/>
      </w:r>
    </w:p>
    <w:sectPr w:rsidR="006B65C8" w:rsidRPr="006B65C8" w:rsidSect="00011D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65C3D"/>
    <w:multiLevelType w:val="hybridMultilevel"/>
    <w:tmpl w:val="D1680176"/>
    <w:lvl w:ilvl="0" w:tplc="4B324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803817"/>
    <w:multiLevelType w:val="hybridMultilevel"/>
    <w:tmpl w:val="F4CCE102"/>
    <w:lvl w:ilvl="0" w:tplc="2FFEA3F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385EAC"/>
    <w:multiLevelType w:val="hybridMultilevel"/>
    <w:tmpl w:val="53CC2198"/>
    <w:lvl w:ilvl="0" w:tplc="2FFEA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957F05"/>
    <w:multiLevelType w:val="hybridMultilevel"/>
    <w:tmpl w:val="43F475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10328394">
    <w:abstractNumId w:val="0"/>
  </w:num>
  <w:num w:numId="2" w16cid:durableId="1885366892">
    <w:abstractNumId w:val="3"/>
  </w:num>
  <w:num w:numId="3" w16cid:durableId="1409614347">
    <w:abstractNumId w:val="2"/>
  </w:num>
  <w:num w:numId="4" w16cid:durableId="1422946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rthritis Rheumatism&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pr9vetjzfew6ev2thpffeq5pswf2ztvaew&quot;&gt;My EndNote Library-Converted&lt;record-ids&gt;&lt;item&gt;11219&lt;/item&gt;&lt;item&gt;11256&lt;/item&gt;&lt;/record-ids&gt;&lt;/item&gt;&lt;/Libraries&gt;"/>
  </w:docVars>
  <w:rsids>
    <w:rsidRoot w:val="00522EE1"/>
    <w:rsid w:val="00011DD3"/>
    <w:rsid w:val="00017C10"/>
    <w:rsid w:val="0002341F"/>
    <w:rsid w:val="000268C8"/>
    <w:rsid w:val="0006207B"/>
    <w:rsid w:val="00073393"/>
    <w:rsid w:val="00076BE3"/>
    <w:rsid w:val="00085EFF"/>
    <w:rsid w:val="000E7C68"/>
    <w:rsid w:val="0011103F"/>
    <w:rsid w:val="001116F5"/>
    <w:rsid w:val="00133E07"/>
    <w:rsid w:val="0014112A"/>
    <w:rsid w:val="0014353F"/>
    <w:rsid w:val="00153C94"/>
    <w:rsid w:val="0016139A"/>
    <w:rsid w:val="001A1255"/>
    <w:rsid w:val="001C5D3E"/>
    <w:rsid w:val="00207777"/>
    <w:rsid w:val="00226C53"/>
    <w:rsid w:val="002603CD"/>
    <w:rsid w:val="002B5819"/>
    <w:rsid w:val="002D0D21"/>
    <w:rsid w:val="002D7F24"/>
    <w:rsid w:val="00305210"/>
    <w:rsid w:val="00333EAF"/>
    <w:rsid w:val="00334983"/>
    <w:rsid w:val="00370441"/>
    <w:rsid w:val="003746A7"/>
    <w:rsid w:val="00375951"/>
    <w:rsid w:val="003A2531"/>
    <w:rsid w:val="003B1E07"/>
    <w:rsid w:val="003C7A1F"/>
    <w:rsid w:val="003F4F8E"/>
    <w:rsid w:val="00404274"/>
    <w:rsid w:val="00404370"/>
    <w:rsid w:val="00406E08"/>
    <w:rsid w:val="0042057B"/>
    <w:rsid w:val="004552FC"/>
    <w:rsid w:val="00462606"/>
    <w:rsid w:val="00481B9D"/>
    <w:rsid w:val="00497B59"/>
    <w:rsid w:val="00497E85"/>
    <w:rsid w:val="004B1A02"/>
    <w:rsid w:val="004B71B7"/>
    <w:rsid w:val="00501DB2"/>
    <w:rsid w:val="00502A75"/>
    <w:rsid w:val="00510D19"/>
    <w:rsid w:val="00513488"/>
    <w:rsid w:val="00522EE1"/>
    <w:rsid w:val="00541898"/>
    <w:rsid w:val="00552F7C"/>
    <w:rsid w:val="00554A80"/>
    <w:rsid w:val="005C4034"/>
    <w:rsid w:val="0060274F"/>
    <w:rsid w:val="00624C98"/>
    <w:rsid w:val="00634ACA"/>
    <w:rsid w:val="006359BE"/>
    <w:rsid w:val="00647E82"/>
    <w:rsid w:val="006B65C8"/>
    <w:rsid w:val="006F0C2D"/>
    <w:rsid w:val="006F3672"/>
    <w:rsid w:val="006F3924"/>
    <w:rsid w:val="006F5708"/>
    <w:rsid w:val="006F5D29"/>
    <w:rsid w:val="00706120"/>
    <w:rsid w:val="007134C6"/>
    <w:rsid w:val="00724037"/>
    <w:rsid w:val="00740CE0"/>
    <w:rsid w:val="007601D0"/>
    <w:rsid w:val="00767D9A"/>
    <w:rsid w:val="007746BC"/>
    <w:rsid w:val="00776071"/>
    <w:rsid w:val="00783A3C"/>
    <w:rsid w:val="00793230"/>
    <w:rsid w:val="007D4615"/>
    <w:rsid w:val="007E2F1D"/>
    <w:rsid w:val="00814F09"/>
    <w:rsid w:val="00817A3B"/>
    <w:rsid w:val="00844885"/>
    <w:rsid w:val="00876A5E"/>
    <w:rsid w:val="008E1B84"/>
    <w:rsid w:val="008E7721"/>
    <w:rsid w:val="008F5BD8"/>
    <w:rsid w:val="008F5C0B"/>
    <w:rsid w:val="008F6B1C"/>
    <w:rsid w:val="00942CD6"/>
    <w:rsid w:val="009433AB"/>
    <w:rsid w:val="00965C03"/>
    <w:rsid w:val="00967C77"/>
    <w:rsid w:val="0097771D"/>
    <w:rsid w:val="009A34EC"/>
    <w:rsid w:val="009B38FE"/>
    <w:rsid w:val="009B6073"/>
    <w:rsid w:val="009B6F7B"/>
    <w:rsid w:val="009C447B"/>
    <w:rsid w:val="00A27E65"/>
    <w:rsid w:val="00A30311"/>
    <w:rsid w:val="00A41304"/>
    <w:rsid w:val="00A52594"/>
    <w:rsid w:val="00AA1256"/>
    <w:rsid w:val="00AA19EA"/>
    <w:rsid w:val="00AA1AFD"/>
    <w:rsid w:val="00AA2A3D"/>
    <w:rsid w:val="00AE63AF"/>
    <w:rsid w:val="00B14406"/>
    <w:rsid w:val="00B24BC2"/>
    <w:rsid w:val="00B27501"/>
    <w:rsid w:val="00B469C6"/>
    <w:rsid w:val="00B47B99"/>
    <w:rsid w:val="00B73A2F"/>
    <w:rsid w:val="00BC30D8"/>
    <w:rsid w:val="00BD52D8"/>
    <w:rsid w:val="00BD6DA9"/>
    <w:rsid w:val="00C1731C"/>
    <w:rsid w:val="00C65FAC"/>
    <w:rsid w:val="00C93987"/>
    <w:rsid w:val="00CC2A73"/>
    <w:rsid w:val="00CD05EA"/>
    <w:rsid w:val="00CD5E86"/>
    <w:rsid w:val="00CE3A15"/>
    <w:rsid w:val="00CE717E"/>
    <w:rsid w:val="00CF4918"/>
    <w:rsid w:val="00CF6FC8"/>
    <w:rsid w:val="00D4119D"/>
    <w:rsid w:val="00D43527"/>
    <w:rsid w:val="00D478C3"/>
    <w:rsid w:val="00D83791"/>
    <w:rsid w:val="00D90814"/>
    <w:rsid w:val="00D97B42"/>
    <w:rsid w:val="00DA0B2A"/>
    <w:rsid w:val="00DF45EF"/>
    <w:rsid w:val="00E378F3"/>
    <w:rsid w:val="00E44828"/>
    <w:rsid w:val="00E46A51"/>
    <w:rsid w:val="00E50AFF"/>
    <w:rsid w:val="00E92F3E"/>
    <w:rsid w:val="00EA0A8C"/>
    <w:rsid w:val="00EF0053"/>
    <w:rsid w:val="00EF2FF8"/>
    <w:rsid w:val="00F04FB1"/>
    <w:rsid w:val="00F14165"/>
    <w:rsid w:val="00F844E9"/>
    <w:rsid w:val="00F92756"/>
    <w:rsid w:val="00F95CDD"/>
    <w:rsid w:val="00FA6586"/>
    <w:rsid w:val="00FB4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5001F"/>
  <w15:chartTrackingRefBased/>
  <w15:docId w15:val="{43E18DD8-B3CE-4C4C-AD04-8957A8D4C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EE1"/>
    <w:pPr>
      <w:ind w:left="720"/>
      <w:contextualSpacing/>
    </w:pPr>
  </w:style>
  <w:style w:type="paragraph" w:styleId="NoSpacing">
    <w:name w:val="No Spacing"/>
    <w:link w:val="NoSpacingChar"/>
    <w:uiPriority w:val="1"/>
    <w:qFormat/>
    <w:rsid w:val="00522EE1"/>
    <w:rPr>
      <w:rFonts w:eastAsiaTheme="minorEastAsia"/>
    </w:rPr>
  </w:style>
  <w:style w:type="character" w:customStyle="1" w:styleId="NoSpacingChar">
    <w:name w:val="No Spacing Char"/>
    <w:basedOn w:val="DefaultParagraphFont"/>
    <w:link w:val="NoSpacing"/>
    <w:uiPriority w:val="1"/>
    <w:rsid w:val="00522EE1"/>
    <w:rPr>
      <w:rFonts w:eastAsiaTheme="minorEastAsia"/>
    </w:rPr>
  </w:style>
  <w:style w:type="character" w:styleId="Hyperlink">
    <w:name w:val="Hyperlink"/>
    <w:basedOn w:val="DefaultParagraphFont"/>
    <w:uiPriority w:val="99"/>
    <w:unhideWhenUsed/>
    <w:rsid w:val="00334983"/>
    <w:rPr>
      <w:color w:val="0563C1" w:themeColor="hyperlink"/>
      <w:u w:val="single"/>
    </w:rPr>
  </w:style>
  <w:style w:type="paragraph" w:customStyle="1" w:styleId="EndNoteBibliographyTitle">
    <w:name w:val="EndNote Bibliography Title"/>
    <w:basedOn w:val="Normal"/>
    <w:link w:val="EndNoteBibliographyTitleChar"/>
    <w:rsid w:val="008F5C0B"/>
    <w:pPr>
      <w:jc w:val="center"/>
    </w:pPr>
    <w:rPr>
      <w:rFonts w:ascii="Calibri" w:hAnsi="Calibri" w:cs="Calibri"/>
    </w:rPr>
  </w:style>
  <w:style w:type="character" w:customStyle="1" w:styleId="EndNoteBibliographyTitleChar">
    <w:name w:val="EndNote Bibliography Title Char"/>
    <w:basedOn w:val="NoSpacingChar"/>
    <w:link w:val="EndNoteBibliographyTitle"/>
    <w:rsid w:val="008F5C0B"/>
    <w:rPr>
      <w:rFonts w:ascii="Calibri" w:eastAsiaTheme="minorEastAsia" w:hAnsi="Calibri" w:cs="Calibri"/>
    </w:rPr>
  </w:style>
  <w:style w:type="paragraph" w:customStyle="1" w:styleId="EndNoteBibliography">
    <w:name w:val="EndNote Bibliography"/>
    <w:basedOn w:val="Normal"/>
    <w:link w:val="EndNoteBibliographyChar"/>
    <w:rsid w:val="008F5C0B"/>
    <w:pPr>
      <w:jc w:val="both"/>
    </w:pPr>
    <w:rPr>
      <w:rFonts w:ascii="Calibri" w:hAnsi="Calibri" w:cs="Calibri"/>
    </w:rPr>
  </w:style>
  <w:style w:type="character" w:customStyle="1" w:styleId="EndNoteBibliographyChar">
    <w:name w:val="EndNote Bibliography Char"/>
    <w:basedOn w:val="NoSpacingChar"/>
    <w:link w:val="EndNoteBibliography"/>
    <w:rsid w:val="008F5C0B"/>
    <w:rPr>
      <w:rFonts w:ascii="Calibri" w:eastAsiaTheme="minorEastAsia" w:hAnsi="Calibri" w:cs="Calibri"/>
    </w:rPr>
  </w:style>
  <w:style w:type="table" w:styleId="TableGrid">
    <w:name w:val="Table Grid"/>
    <w:basedOn w:val="TableNormal"/>
    <w:uiPriority w:val="39"/>
    <w:rsid w:val="00552F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1677</Words>
  <Characters>9561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Scindia,Yogesh M</dc:creator>
  <cp:keywords/>
  <dc:description/>
  <cp:lastModifiedBy>Scindia,Yogesh M</cp:lastModifiedBy>
  <cp:revision>4</cp:revision>
  <dcterms:created xsi:type="dcterms:W3CDTF">2022-06-16T19:51:00Z</dcterms:created>
  <dcterms:modified xsi:type="dcterms:W3CDTF">2022-09-06T16:39:00Z</dcterms:modified>
</cp:coreProperties>
</file>