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095" w:type="dxa"/>
        <w:tblInd w:w="8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17"/>
        <w:gridCol w:w="1701"/>
        <w:gridCol w:w="1985"/>
        <w:gridCol w:w="992"/>
      </w:tblGrid>
      <w:tr w:rsidR="00B47F2E" w:rsidRPr="000D1B24" w:rsidTr="00E10144">
        <w:trPr>
          <w:trHeight w:val="340"/>
        </w:trPr>
        <w:tc>
          <w:tcPr>
            <w:tcW w:w="8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Table</w:t>
            </w:r>
            <w:bookmarkStart w:id="0" w:name="_GoBack"/>
            <w:bookmarkEnd w:id="0"/>
            <w:r w:rsidRPr="000D1B24">
              <w:rPr>
                <w:rFonts w:ascii="Times New Roman" w:eastAsia="MS PGothic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S1.</w:t>
            </w: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 w:rsidRPr="000D1B24">
              <w:rPr>
                <w:rFonts w:ascii="Times New Roman" w:eastAsia="MS PGothic" w:hAnsi="Times New Roman" w:cs="Times New Roman"/>
                <w:b/>
                <w:color w:val="000000"/>
                <w:kern w:val="0"/>
                <w:sz w:val="22"/>
                <w:szCs w:val="22"/>
              </w:rPr>
              <w:t>Comparison of monthly intravenous antimicrobial consumption before and after intervention based on defined daily doses per 100 patient-days</w:t>
            </w: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Baseline period, median (IQR)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Intervention period, median (IQR)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gram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p</w:t>
            </w:r>
            <w:proofErr w:type="gramEnd"/>
            <w:r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-</w:t>
            </w: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value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Beta-lactamase sensitive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penicillins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¶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0.76 (0.66–1.00)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0.95 (0.66–1.35)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0.31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Ampicillin-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sulbactam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5.12 (4.81–5.56)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5.57 (5.18–5.75)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0.15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Piperacillin-tazobactam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1.90 (1.72–2.21)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2.32 (2.03–2.56)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0.002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1st generation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cephalosporins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2.41 (2.21–2.80)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3.24 (3.08–3.35)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2nd generation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cephalosporins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1.11 (1.02–1.21)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1.09 (0.86–1.18)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0.19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3rd generation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cephalosporins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1.72 (1.63–2.17)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2.34 (2.18-2.46)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0.001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4th generation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cephalosporins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1.03 (0.70–1.16)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1.24 (0.88–1.26)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0.097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Monobactams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 (0-0)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 (0–0)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0.39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Carbapenems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2.28 (2.04–2.58)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1.79 (1.66–2.02)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Trimethoprim-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sulfamethoxazole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 (0–0)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0.08 (0–0.11)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Macrolides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0.16 (0.14–0.21)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 (0.07–0.14)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&lt;0.001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Lincomycins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0.19 (0.16–0.26)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0.22 (0.14–0.23)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0.42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Aminoglycosides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 (0.05–0.15)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 (0.08–0.11)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0.63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Fluoroquinolones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0.23 (0.17–0.30)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0.16 (0.15–0.19)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0.42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Metronidazole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0.05 (0.02–0.08)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0.02 (0.01–0.08)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0.44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Fosfomycin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 (0–0)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 (0–0)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0.78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Tetracyclines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0.09 (0.06–0.09)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0.06 (0.06–0.09)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0.049</w:t>
            </w:r>
          </w:p>
        </w:tc>
      </w:tr>
      <w:tr w:rsidR="00B47F2E" w:rsidRPr="000D1B24" w:rsidTr="00E10144">
        <w:trPr>
          <w:trHeight w:val="340"/>
        </w:trPr>
        <w:tc>
          <w:tcPr>
            <w:tcW w:w="3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Anti-MRSA agents*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1.26 (1.14–1.72)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1.55 (1.36–1.66)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center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0.037</w:t>
            </w:r>
          </w:p>
        </w:tc>
      </w:tr>
      <w:tr w:rsidR="00B47F2E" w:rsidRPr="000D1B24" w:rsidTr="00E10144">
        <w:trPr>
          <w:trHeight w:val="340"/>
        </w:trPr>
        <w:tc>
          <w:tcPr>
            <w:tcW w:w="8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  <w:vertAlign w:val="superscript"/>
              </w:rPr>
              <w:t>¶</w:t>
            </w: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Bata-lactamase sensitive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penicillins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 include penicillin G, ampicillin, and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piperacillin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</w:tr>
      <w:tr w:rsidR="00B47F2E" w:rsidRPr="000D1B24" w:rsidTr="00E10144">
        <w:trPr>
          <w:trHeight w:val="340"/>
        </w:trPr>
        <w:tc>
          <w:tcPr>
            <w:tcW w:w="8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*Anti-MRSA agents include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vancomycin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,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teicoplanin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, linezolid</w:t>
            </w:r>
            <w:r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,</w:t>
            </w: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 and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daptomycin</w:t>
            </w:r>
            <w:proofErr w:type="spellEnd"/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>.</w:t>
            </w:r>
          </w:p>
        </w:tc>
      </w:tr>
      <w:tr w:rsidR="00B47F2E" w:rsidRPr="000D1B24" w:rsidTr="00E10144">
        <w:trPr>
          <w:trHeight w:val="340"/>
        </w:trPr>
        <w:tc>
          <w:tcPr>
            <w:tcW w:w="8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7F2E" w:rsidRPr="000D1B24" w:rsidRDefault="00B47F2E" w:rsidP="00E10144">
            <w:pPr>
              <w:widowControl/>
              <w:jc w:val="left"/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</w:pPr>
            <w:r w:rsidRPr="000D1B24">
              <w:rPr>
                <w:rFonts w:ascii="Times New Roman" w:eastAsia="MS PGothic" w:hAnsi="Times New Roman" w:cs="Times New Roman"/>
                <w:color w:val="000000"/>
                <w:kern w:val="0"/>
                <w:sz w:val="22"/>
                <w:szCs w:val="22"/>
              </w:rPr>
              <w:t xml:space="preserve">IQR, interquartile range; MRSA, methicillin-resistant </w:t>
            </w:r>
            <w:r w:rsidRPr="000D1B24">
              <w:rPr>
                <w:rFonts w:ascii="Times New Roman" w:eastAsia="MS PGothic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 xml:space="preserve">Staphylococcus </w:t>
            </w:r>
            <w:proofErr w:type="spellStart"/>
            <w:r w:rsidRPr="000D1B24">
              <w:rPr>
                <w:rFonts w:ascii="Times New Roman" w:eastAsia="MS PGothic" w:hAnsi="Times New Roman" w:cs="Times New Roman"/>
                <w:i/>
                <w:iCs/>
                <w:color w:val="000000"/>
                <w:kern w:val="0"/>
                <w:sz w:val="22"/>
                <w:szCs w:val="22"/>
              </w:rPr>
              <w:t>aureus</w:t>
            </w:r>
            <w:proofErr w:type="spellEnd"/>
          </w:p>
        </w:tc>
      </w:tr>
    </w:tbl>
    <w:p w:rsidR="006F126C" w:rsidRDefault="006F126C"/>
    <w:sectPr w:rsidR="006F126C" w:rsidSect="000272EB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MS PGothic">
    <w:altName w:val="ＭＳ Ｐゴシック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F2E"/>
    <w:rsid w:val="000272EB"/>
    <w:rsid w:val="006F126C"/>
    <w:rsid w:val="00B47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76154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7F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1298</Characters>
  <Application>Microsoft Macintosh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matono takashi</dc:creator>
  <cp:keywords/>
  <dc:description/>
  <cp:lastModifiedBy>matono takashi</cp:lastModifiedBy>
  <cp:revision>1</cp:revision>
  <dcterms:created xsi:type="dcterms:W3CDTF">2019-10-03T21:23:00Z</dcterms:created>
  <dcterms:modified xsi:type="dcterms:W3CDTF">2019-10-03T21:24:00Z</dcterms:modified>
</cp:coreProperties>
</file>