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5D2D72" w14:textId="22DBC222" w:rsidR="001D6DCE" w:rsidRPr="00E4465C" w:rsidRDefault="001D6DCE" w:rsidP="00E4465C">
      <w:pPr>
        <w:rPr>
          <w:rFonts w:ascii="Arial" w:hAnsi="Arial" w:cs="Arial"/>
          <w:b/>
          <w:bCs/>
          <w:lang w:val="en-GB"/>
        </w:rPr>
      </w:pPr>
      <w:r w:rsidRPr="00E4465C">
        <w:rPr>
          <w:rFonts w:ascii="Arial" w:hAnsi="Arial" w:cs="Arial"/>
          <w:b/>
          <w:bCs/>
          <w:lang w:val="en-GB"/>
        </w:rPr>
        <w:t>Description of Selected National Biodiversity Strategies and Action Plans (NBSAP) and Data Unit Selection</w:t>
      </w:r>
    </w:p>
    <w:p w14:paraId="38A54B53" w14:textId="77777777" w:rsidR="001D6DCE" w:rsidRPr="001C170A" w:rsidRDefault="001D6DCE" w:rsidP="001D6DCE">
      <w:pPr>
        <w:jc w:val="both"/>
        <w:rPr>
          <w:rFonts w:ascii="Arial" w:hAnsi="Arial" w:cs="Arial"/>
          <w:lang w:val="en-GB"/>
        </w:rPr>
      </w:pPr>
      <w:r w:rsidRPr="001C170A">
        <w:rPr>
          <w:rFonts w:ascii="Arial" w:hAnsi="Arial" w:cs="Arial"/>
          <w:lang w:val="en-GB"/>
        </w:rPr>
        <w:t xml:space="preserve">This analysis used a selection of 10 National Biodiversity Strategies and Action Plans, section I of this document explains the selection criteria. For each NBSAP document we first identified action plans in which the documents propose concrete actions for conservation of biodiversity. These actions are the units of analysis. NBSAP documents are structured in different ways. </w:t>
      </w:r>
    </w:p>
    <w:p w14:paraId="384791FC" w14:textId="77777777" w:rsidR="001D6DCE" w:rsidRPr="001C170A" w:rsidRDefault="001D6DCE" w:rsidP="001D6DCE">
      <w:pPr>
        <w:jc w:val="both"/>
        <w:rPr>
          <w:rFonts w:ascii="Arial" w:hAnsi="Arial" w:cs="Arial"/>
          <w:lang w:val="en-GB"/>
        </w:rPr>
      </w:pPr>
      <w:r w:rsidRPr="001C170A">
        <w:rPr>
          <w:rFonts w:ascii="Arial" w:hAnsi="Arial" w:cs="Arial"/>
          <w:lang w:val="en-GB"/>
        </w:rPr>
        <w:t xml:space="preserve">For the purpose of this analysis, the actions proposed by the NBSAPs had to be identified and selected from the general text of each policy. The list below describes </w:t>
      </w:r>
      <w:proofErr w:type="spellStart"/>
      <w:r w:rsidRPr="001C170A">
        <w:rPr>
          <w:rFonts w:ascii="Arial" w:hAnsi="Arial" w:cs="Arial"/>
          <w:lang w:val="en-GB"/>
        </w:rPr>
        <w:t>i</w:t>
      </w:r>
      <w:proofErr w:type="spellEnd"/>
      <w:r w:rsidRPr="001C170A">
        <w:rPr>
          <w:rFonts w:ascii="Arial" w:hAnsi="Arial" w:cs="Arial"/>
          <w:lang w:val="en-GB"/>
        </w:rPr>
        <w:t>) the overall structure of the NBSAPs; ii) the rationale behind each text selection; iii) which part of the text (actions) was selected for BCW coding and analysis.</w:t>
      </w:r>
    </w:p>
    <w:p w14:paraId="2CB83A6D" w14:textId="77777777" w:rsidR="001D6DCE" w:rsidRPr="001C170A" w:rsidRDefault="001D6DCE" w:rsidP="001D6DCE">
      <w:pPr>
        <w:pStyle w:val="Listenabsatz"/>
        <w:numPr>
          <w:ilvl w:val="0"/>
          <w:numId w:val="1"/>
        </w:numPr>
        <w:ind w:left="426"/>
        <w:jc w:val="both"/>
        <w:rPr>
          <w:rFonts w:ascii="Arial" w:hAnsi="Arial" w:cs="Arial"/>
          <w:lang w:val="en-GB"/>
        </w:rPr>
      </w:pPr>
      <w:r w:rsidRPr="001C170A">
        <w:rPr>
          <w:rFonts w:ascii="Arial" w:hAnsi="Arial" w:cs="Arial"/>
          <w:lang w:val="en-GB"/>
        </w:rPr>
        <w:t>Biodiversity Action Plan: For the implementation of the National Policy for the Integral Management of Biodiversity and its Ecosystem Services 2016-2030 (Colombia):</w:t>
      </w:r>
    </w:p>
    <w:p w14:paraId="32A6452F" w14:textId="77777777" w:rsidR="001D6DCE" w:rsidRPr="001C170A" w:rsidRDefault="001D6DCE" w:rsidP="001D6DCE">
      <w:pPr>
        <w:pStyle w:val="Listenabsatz"/>
        <w:ind w:left="426"/>
        <w:jc w:val="both"/>
        <w:rPr>
          <w:rFonts w:ascii="Arial" w:hAnsi="Arial" w:cs="Arial"/>
          <w:lang w:val="en-GB"/>
        </w:rPr>
      </w:pPr>
    </w:p>
    <w:p w14:paraId="2FB8F0E5"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 xml:space="preserve">The NBSAP of Colombia is conceived as a tool for implementing the National Policy for </w:t>
      </w:r>
      <w:proofErr w:type="gramStart"/>
      <w:r w:rsidRPr="001C170A">
        <w:rPr>
          <w:rFonts w:ascii="Arial" w:hAnsi="Arial" w:cs="Arial"/>
          <w:lang w:val="en-GB"/>
        </w:rPr>
        <w:t>the</w:t>
      </w:r>
      <w:proofErr w:type="gramEnd"/>
      <w:r w:rsidRPr="001C170A">
        <w:rPr>
          <w:rFonts w:ascii="Arial" w:hAnsi="Arial" w:cs="Arial"/>
          <w:lang w:val="en-GB"/>
        </w:rPr>
        <w:t xml:space="preserve"> Integral Management of Biodiversity and its Ecosystem Services (PNGIBSE). Its main objective is to make the National Policy for the Integral Management of Biodiversity and its Ecosystem Services viable through the implementation of concrete and coordinated actions, inter-sector and regionally, in order to decrease the direct and indirect pressures on biodiversity and ecosystem services. The plan consists of 8 sections: 1. Presentation; 2. Context; 3. Conservation; 4. Instruments; 5. Strategic Framework; 6. Financial strategy; 7. Sources consulted; 8. Annexes. </w:t>
      </w:r>
    </w:p>
    <w:p w14:paraId="64FE4C58" w14:textId="77777777" w:rsidR="001D6DCE" w:rsidRPr="001C170A" w:rsidRDefault="001D6DCE" w:rsidP="001D6DCE">
      <w:pPr>
        <w:pStyle w:val="Listenabsatz"/>
        <w:ind w:left="426"/>
        <w:jc w:val="both"/>
        <w:rPr>
          <w:rFonts w:ascii="Arial" w:hAnsi="Arial" w:cs="Arial"/>
          <w:lang w:val="en-GB"/>
        </w:rPr>
      </w:pPr>
    </w:p>
    <w:p w14:paraId="0AC3ACEE"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The Strategic Framework is divided into 6 thematic pillars, called axis. These six thematic pillars are expressed in 53 interventions (strategic lines) with goals set for the years of 2020, 2025, 2030.</w:t>
      </w:r>
      <w:r w:rsidRPr="001C170A">
        <w:rPr>
          <w:rFonts w:ascii="Arial" w:hAnsi="Arial" w:cs="Arial"/>
          <w:lang w:val="en-GB"/>
        </w:rPr>
        <w:br/>
      </w:r>
      <w:r w:rsidRPr="001C170A">
        <w:rPr>
          <w:rFonts w:ascii="Arial" w:hAnsi="Arial" w:cs="Arial"/>
          <w:lang w:val="en-GB"/>
        </w:rPr>
        <w:br/>
        <w:t xml:space="preserve">The thematic axis are written in broad terms, for example: </w:t>
      </w:r>
      <w:r w:rsidRPr="001C170A">
        <w:rPr>
          <w:rFonts w:ascii="Arial" w:hAnsi="Arial" w:cs="Arial"/>
          <w:lang w:val="en-GB"/>
        </w:rPr>
        <w:br/>
        <w:t>“strengthen the relationship between the State and citizens (urban and rural) to comprehensively manage biodiversity and ecosystem services from participation and shared responsibility in conservation actions” (Axis II, Columbia, 2014, p.76)</w:t>
      </w:r>
      <w:r w:rsidRPr="001C170A">
        <w:rPr>
          <w:rFonts w:ascii="Arial" w:hAnsi="Arial" w:cs="Arial"/>
          <w:lang w:val="en-GB"/>
        </w:rPr>
        <w:br/>
        <w:t>Therefore, it did not contain any essential information pertaining to individual behaviour change that would not be reflected in the interventions proposed and therefore were not selected as part of the analysis.</w:t>
      </w:r>
    </w:p>
    <w:p w14:paraId="0FCDDB97" w14:textId="77777777" w:rsidR="001D6DCE" w:rsidRPr="001C170A" w:rsidRDefault="001D6DCE" w:rsidP="001D6DCE">
      <w:pPr>
        <w:pStyle w:val="Listenabsatz"/>
        <w:rPr>
          <w:rFonts w:ascii="Arial" w:hAnsi="Arial" w:cs="Arial"/>
          <w:lang w:val="en-GB"/>
        </w:rPr>
      </w:pPr>
    </w:p>
    <w:p w14:paraId="676DDB03"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We selected all 53 interventions and goals for the 3 years for this analysis according to pages 64-105 of the NBSAP.</w:t>
      </w:r>
    </w:p>
    <w:p w14:paraId="7C77F3E7" w14:textId="77777777" w:rsidR="001D6DCE" w:rsidRPr="001C170A" w:rsidRDefault="001D6DCE" w:rsidP="001D6DCE">
      <w:pPr>
        <w:jc w:val="both"/>
        <w:rPr>
          <w:rFonts w:ascii="Arial" w:hAnsi="Arial" w:cs="Arial"/>
          <w:lang w:val="en-GB"/>
        </w:rPr>
      </w:pPr>
    </w:p>
    <w:p w14:paraId="20D4E1C0" w14:textId="77777777" w:rsidR="001D6DCE" w:rsidRPr="001C170A" w:rsidRDefault="001D6DCE" w:rsidP="001D6DCE">
      <w:pPr>
        <w:pStyle w:val="Listenabsatz"/>
        <w:numPr>
          <w:ilvl w:val="0"/>
          <w:numId w:val="1"/>
        </w:numPr>
        <w:jc w:val="both"/>
        <w:rPr>
          <w:rFonts w:ascii="Arial" w:hAnsi="Arial" w:cs="Arial"/>
          <w:lang w:val="en-GB"/>
        </w:rPr>
      </w:pPr>
      <w:r w:rsidRPr="001C170A">
        <w:rPr>
          <w:rFonts w:ascii="Arial" w:hAnsi="Arial" w:cs="Arial"/>
          <w:lang w:val="en-GB"/>
        </w:rPr>
        <w:t>Danish Nature Policy: Our Shared Nature 2014 (Denmark):</w:t>
      </w:r>
    </w:p>
    <w:p w14:paraId="21E54DE8" w14:textId="77777777" w:rsidR="001D6DCE" w:rsidRPr="001C170A" w:rsidRDefault="001D6DCE" w:rsidP="001D6DCE">
      <w:pPr>
        <w:pStyle w:val="Listenabsatz"/>
        <w:jc w:val="both"/>
        <w:rPr>
          <w:rFonts w:ascii="Arial" w:hAnsi="Arial" w:cs="Arial"/>
          <w:lang w:val="en-GB"/>
        </w:rPr>
      </w:pPr>
    </w:p>
    <w:p w14:paraId="74EA77DF"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 xml:space="preserve">The Danish Nature Policy is Denmark’s biodiversity strategy and follows up on the UN’s and EU’s biodiversity targets for 2020. The vision stated in the policy is that by 2050 Denmark will be a greener country with more diverse nature, and in particular it will be a country in which internationally protected natural areas, large forests, national parks and most important habitats for endangered species - including marine environments - will be more coherent. The strategy is divided in 6 sections: 1. The Danish Government’s vision for Our Shared Nature; 2. A Green Map of Denmark will provide a clear direction for Danish nature; 3. How we protect the natural environment; 4. Nature and countryside policy – also an international task; 5. Follow-up and implementation of initiatives; 6. The state of nature in Denmark. Section 2 contains a synthesis of the issue addressed and a list of </w:t>
      </w:r>
      <w:r w:rsidRPr="001C170A">
        <w:rPr>
          <w:rFonts w:ascii="Arial" w:hAnsi="Arial" w:cs="Arial"/>
          <w:lang w:val="en-GB"/>
        </w:rPr>
        <w:lastRenderedPageBreak/>
        <w:t xml:space="preserve">interventions. The third section is divided in 3 focus areas: More and better interconnected nature; Strengthened initiatives for wild animals and plants; </w:t>
      </w:r>
      <w:proofErr w:type="gramStart"/>
      <w:r w:rsidRPr="001C170A">
        <w:rPr>
          <w:rFonts w:ascii="Arial" w:hAnsi="Arial" w:cs="Arial"/>
          <w:lang w:val="en-GB"/>
        </w:rPr>
        <w:t>Improved</w:t>
      </w:r>
      <w:proofErr w:type="gramEnd"/>
      <w:r w:rsidRPr="001C170A">
        <w:rPr>
          <w:rFonts w:ascii="Arial" w:hAnsi="Arial" w:cs="Arial"/>
          <w:lang w:val="en-GB"/>
        </w:rPr>
        <w:t xml:space="preserve"> sense of community through nature experiences and outdoor activities. These focus areas are further divided into 22 topics and for each topic there is a synthesis of the issues addressed and a list of interventions respectively. Section 4 describes the work done in international partnerships and lists interventions. Section 5 describes the monitoring process and lists interventions.</w:t>
      </w:r>
    </w:p>
    <w:p w14:paraId="6205A7DC" w14:textId="77777777" w:rsidR="001D6DCE" w:rsidRPr="001C170A" w:rsidRDefault="001D6DCE" w:rsidP="001D6DCE">
      <w:pPr>
        <w:pStyle w:val="Listenabsatz"/>
        <w:ind w:left="426"/>
        <w:jc w:val="both"/>
        <w:rPr>
          <w:rFonts w:ascii="Arial" w:hAnsi="Arial" w:cs="Arial"/>
          <w:lang w:val="en-GB"/>
        </w:rPr>
      </w:pPr>
    </w:p>
    <w:p w14:paraId="0E059AE3"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 xml:space="preserve">Sections 2, 3, 4 and 5 all begin with an introductory text that explains the proposed interventions. These texts explain the rationale behind the proposed actions, past actions undertaken towards that goal and sometimes speak broadly about a ‘desired behaviour outcome’, for example: </w:t>
      </w:r>
    </w:p>
    <w:p w14:paraId="0813A287" w14:textId="77777777" w:rsidR="001D6DCE" w:rsidRPr="001C170A" w:rsidRDefault="001D6DCE" w:rsidP="001D6DCE">
      <w:pPr>
        <w:pStyle w:val="Listenabsatz"/>
        <w:rPr>
          <w:rFonts w:ascii="Arial" w:hAnsi="Arial" w:cs="Arial"/>
          <w:lang w:val="en-GB"/>
        </w:rPr>
      </w:pPr>
    </w:p>
    <w:p w14:paraId="744EC106"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“National parks develop nature through local joint ownership and voluntary projects that strengthen awareness of and interest in the value of nature, for example through involvement in establishing and developing the national parks.” (Denmark, 2017, p. 26)</w:t>
      </w:r>
    </w:p>
    <w:p w14:paraId="0C4FF4ED" w14:textId="77777777" w:rsidR="001D6DCE" w:rsidRPr="001C170A" w:rsidRDefault="001D6DCE" w:rsidP="001D6DCE">
      <w:pPr>
        <w:pStyle w:val="Listenabsatz"/>
        <w:ind w:left="426"/>
        <w:jc w:val="both"/>
        <w:rPr>
          <w:rFonts w:ascii="Arial" w:hAnsi="Arial" w:cs="Arial"/>
          <w:lang w:val="en-GB"/>
        </w:rPr>
      </w:pPr>
    </w:p>
    <w:p w14:paraId="7273D161"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“New state-owned forests provide many free opportunities for jogging, hiking and mountain biking, sheltered overnight stays, mushroom picking etc.” (Denmark, 2017, p. 21)</w:t>
      </w:r>
    </w:p>
    <w:p w14:paraId="603479A9" w14:textId="77777777" w:rsidR="001D6DCE" w:rsidRPr="001C170A" w:rsidRDefault="001D6DCE" w:rsidP="001D6DCE">
      <w:pPr>
        <w:pStyle w:val="Listenabsatz"/>
        <w:ind w:left="426"/>
        <w:jc w:val="both"/>
        <w:rPr>
          <w:rFonts w:ascii="Arial" w:hAnsi="Arial" w:cs="Arial"/>
          <w:lang w:val="en-GB"/>
        </w:rPr>
      </w:pPr>
    </w:p>
    <w:p w14:paraId="582C394F"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 Government’s wish is that Danish nature be, at one and the same time, both used and protected so that people’s opportunities for rich outdoor recreation are maintained and developed – in their everyday life and during holidays. It is a goal that Danes should be involved in overall efforts regarding nature, and knowledge about nature– especially for children and teenagers.” (Denmark, 2017, p. 41)</w:t>
      </w:r>
    </w:p>
    <w:p w14:paraId="339F81A3" w14:textId="77777777" w:rsidR="001D6DCE" w:rsidRPr="001C170A" w:rsidRDefault="001D6DCE" w:rsidP="001D6DCE">
      <w:pPr>
        <w:pStyle w:val="Listenabsatz"/>
        <w:ind w:left="426"/>
        <w:jc w:val="both"/>
        <w:rPr>
          <w:rFonts w:ascii="Arial" w:hAnsi="Arial" w:cs="Arial"/>
          <w:lang w:val="en-GB"/>
        </w:rPr>
      </w:pPr>
    </w:p>
    <w:p w14:paraId="093D2050" w14:textId="77777777" w:rsidR="001D6DCE" w:rsidRPr="001C170A" w:rsidRDefault="001D6DCE" w:rsidP="001D6DCE">
      <w:pPr>
        <w:pStyle w:val="Listenabsatz"/>
        <w:ind w:left="426"/>
        <w:jc w:val="both"/>
        <w:rPr>
          <w:rFonts w:ascii="Arial" w:hAnsi="Arial" w:cs="Arial"/>
          <w:lang w:val="en-GB"/>
        </w:rPr>
      </w:pPr>
    </w:p>
    <w:p w14:paraId="090D453A"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 scheme means that farmers who have agricultural areas with carbon rich soils can obtain a grant to permanently take such areas out of cultivation. The scheme is voluntary and the landowner will receive compensation for reduced earnings. In the future, the landowner will not be able to plough, spread fertiliser or use pesticides on these areas. Instead, extensive cultivation will be possible – e.g. mowing and animal grazing. Drains will also be removed to restore the natural water level. The scheme will also be able to finance works to restore natural water levels.” (Denmark, 2017, p. 25)</w:t>
      </w:r>
    </w:p>
    <w:p w14:paraId="5D258355" w14:textId="77777777" w:rsidR="001D6DCE" w:rsidRPr="001C170A" w:rsidRDefault="001D6DCE" w:rsidP="001D6DCE">
      <w:pPr>
        <w:pStyle w:val="Listenabsatz"/>
        <w:ind w:left="426"/>
        <w:jc w:val="both"/>
        <w:rPr>
          <w:rFonts w:ascii="Arial" w:hAnsi="Arial" w:cs="Arial"/>
          <w:lang w:val="en-GB"/>
        </w:rPr>
      </w:pPr>
    </w:p>
    <w:p w14:paraId="032C35BD"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However, their link to the list of actions is not clear and therefore they were not selected to be coded. </w:t>
      </w:r>
    </w:p>
    <w:p w14:paraId="52164FAD" w14:textId="77777777" w:rsidR="001D6DCE" w:rsidRPr="001C170A" w:rsidRDefault="001D6DCE" w:rsidP="001D6DCE">
      <w:pPr>
        <w:pStyle w:val="Listenabsatz"/>
        <w:ind w:left="426"/>
        <w:jc w:val="both"/>
        <w:rPr>
          <w:rFonts w:ascii="Arial" w:hAnsi="Arial" w:cs="Arial"/>
          <w:lang w:val="en-GB"/>
        </w:rPr>
      </w:pPr>
    </w:p>
    <w:p w14:paraId="3CFB8CA5"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It is worth mentioning that in the introductory sections the responsibilities for carrying out the actions proposed were always attributed to “the government” (agent of change). This narrowed down considerably the Agent of Change coded for the Danish NBSAP. Only few exceptions where present were specific agencies within the government are explicated, for example “the Danish Nature Agency, the Danish </w:t>
      </w:r>
      <w:proofErr w:type="spellStart"/>
      <w:r w:rsidRPr="001C170A">
        <w:rPr>
          <w:rFonts w:ascii="Arial" w:hAnsi="Arial" w:cs="Arial"/>
          <w:lang w:val="en-GB"/>
        </w:rPr>
        <w:t>AgriFish</w:t>
      </w:r>
      <w:proofErr w:type="spellEnd"/>
      <w:r w:rsidRPr="001C170A">
        <w:rPr>
          <w:rFonts w:ascii="Arial" w:hAnsi="Arial" w:cs="Arial"/>
          <w:lang w:val="en-GB"/>
        </w:rPr>
        <w:t xml:space="preserve"> Agency” (Denmark, 2017, p. 27) and sometimes other partnerships are mentioned, for example: “in collaboration with municipalities and water companies (Denmark, 2017, p. 21)”. </w:t>
      </w:r>
    </w:p>
    <w:p w14:paraId="194F7CE5" w14:textId="77777777" w:rsidR="001D6DCE" w:rsidRPr="001C170A" w:rsidRDefault="001D6DCE" w:rsidP="001D6DCE">
      <w:pPr>
        <w:pStyle w:val="Listenabsatz"/>
        <w:ind w:left="426"/>
        <w:jc w:val="both"/>
        <w:rPr>
          <w:rFonts w:ascii="Arial" w:hAnsi="Arial" w:cs="Arial"/>
          <w:lang w:val="en-GB"/>
        </w:rPr>
      </w:pPr>
    </w:p>
    <w:p w14:paraId="197726B3"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Overall, the introductory parts of the document did not contain any other essential information pertaining to individual behaviour change that would not be reflected in the interventions proposed and therefore were not selected as part of the coding process.</w:t>
      </w:r>
    </w:p>
    <w:p w14:paraId="0B145BC6" w14:textId="77777777" w:rsidR="001D6DCE" w:rsidRPr="001C170A" w:rsidRDefault="001D6DCE" w:rsidP="001D6DCE">
      <w:pPr>
        <w:pStyle w:val="Listenabsatz"/>
        <w:ind w:left="426"/>
        <w:jc w:val="both"/>
        <w:rPr>
          <w:rFonts w:ascii="Arial" w:hAnsi="Arial" w:cs="Arial"/>
          <w:lang w:val="en-GB"/>
        </w:rPr>
      </w:pPr>
    </w:p>
    <w:p w14:paraId="27117DFE"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lastRenderedPageBreak/>
        <w:t>All of the proposed interventions (called initiatives in the NBSAP) found in section 2, 3, 4 and 5 were selected, as well as the exception identified above, according to pages 9-53 of the NBSAP.</w:t>
      </w:r>
    </w:p>
    <w:p w14:paraId="651B428D" w14:textId="77777777" w:rsidR="001D6DCE" w:rsidRPr="001C170A" w:rsidRDefault="001D6DCE" w:rsidP="001D6DCE">
      <w:pPr>
        <w:jc w:val="both"/>
        <w:rPr>
          <w:rFonts w:ascii="Arial" w:hAnsi="Arial" w:cs="Arial"/>
          <w:lang w:val="en-GB"/>
        </w:rPr>
      </w:pPr>
    </w:p>
    <w:p w14:paraId="61D50DC9" w14:textId="77777777" w:rsidR="001D6DCE" w:rsidRPr="001C170A" w:rsidRDefault="001D6DCE" w:rsidP="001D6DCE">
      <w:pPr>
        <w:pStyle w:val="Listenabsatz"/>
        <w:numPr>
          <w:ilvl w:val="0"/>
          <w:numId w:val="1"/>
        </w:numPr>
        <w:jc w:val="both"/>
        <w:rPr>
          <w:rFonts w:ascii="Arial" w:hAnsi="Arial" w:cs="Arial"/>
          <w:lang w:val="en-GB"/>
        </w:rPr>
      </w:pPr>
      <w:r w:rsidRPr="001C170A">
        <w:rPr>
          <w:rFonts w:ascii="Arial" w:hAnsi="Arial" w:cs="Arial"/>
          <w:lang w:val="en-GB"/>
        </w:rPr>
        <w:t xml:space="preserve">Saving Nature for People: National action plan for the conservation and sustainable use of biodiversity in Finland 2013–2020 (Finland): </w:t>
      </w:r>
    </w:p>
    <w:p w14:paraId="457ECDCF" w14:textId="77777777" w:rsidR="001D6DCE" w:rsidRPr="001C170A" w:rsidRDefault="001D6DCE" w:rsidP="001D6DCE">
      <w:pPr>
        <w:pStyle w:val="Listenabsatz"/>
        <w:jc w:val="both"/>
        <w:rPr>
          <w:rFonts w:ascii="Arial" w:hAnsi="Arial" w:cs="Arial"/>
          <w:lang w:val="en-GB"/>
        </w:rPr>
      </w:pPr>
    </w:p>
    <w:p w14:paraId="2CAA465B"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The main objective of the Finnish National Action Plan is to promote the ecologically, economically, socially and culturally sustainable utilisation and development of biodiversity and natural resources in Finland, while safeguarding biodiversity, the vital needs of future generations, and livelihoods based on natural resources. The planned actions are designed to halt the loss of biodiversity by 2020 and ensure that by 2050 the state of the natural environment in Finland is stable and capable of ensuring people’s future well-being. The plan is divided into 7 sections: 1 Cross-cutting challenges and measures; 2 Challenges and measures regarding habitats and natural resources; 3 Restoration of habitats and nature management; 4 The Sámi indigenous people and biodiversity; 5 Challenges and measures related to genetic diversity; 6 International measures in support of the implementation of the Convention on Biological Diversity; 7 Monitoring of the national strategy and action plan.</w:t>
      </w:r>
    </w:p>
    <w:p w14:paraId="1B59E7D4" w14:textId="77777777" w:rsidR="001D6DCE" w:rsidRPr="001C170A" w:rsidRDefault="001D6DCE" w:rsidP="001D6DCE">
      <w:pPr>
        <w:pStyle w:val="Listenabsatz"/>
        <w:ind w:left="426"/>
        <w:jc w:val="both"/>
        <w:rPr>
          <w:rFonts w:ascii="Arial" w:hAnsi="Arial" w:cs="Arial"/>
          <w:lang w:val="en-GB"/>
        </w:rPr>
      </w:pPr>
    </w:p>
    <w:p w14:paraId="631F7087"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 xml:space="preserve">Each section contains an introductory text that first describes identified challenges (called development challenges) and then the interventions (called measures, responsible bodies and target schedules) proposed to address each identified challenge. </w:t>
      </w:r>
    </w:p>
    <w:p w14:paraId="482CD3F1" w14:textId="32823379"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br/>
        <w:t>One example was identified in the introductory text where the succinctly written interventions do not show its relationship to the behaviour change intent. In the first identified case the actions simply says “Update the communications programme” (Finland NBSAP, 2013, p. 5), but the actual importance of that action is explained in the introduction of the section:</w:t>
      </w:r>
    </w:p>
    <w:p w14:paraId="7ACBA9C7"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br/>
        <w:t>“With the help of communications work citizens will become aware of situations causing concern and will be encouraged to take an interest in biodiversity more widely, and support decisions made to safeguard biodiversity. […]In communications work, the strategic key aim is to mainstream biodiversity in such a way that an increasing number of groups and actors within society take ownership of the issue. Another goal, parallel to enhancing knowledge and shaping attitudes, is to encourage individuals, authorities and industries to change their activities in a way that favours the safeguarding of biodiversity and the sustainable use of the associated ecosystem services. With the help of communications work citizens will be able to participate better in the national debate on genetically modified organisms (Section 5.2) […] Efforts to promote the mainstreaming of biodiversity are required not only among children and young people, but also in the adult working age population” (Finland NBSAP, 2013, p. 5).</w:t>
      </w:r>
    </w:p>
    <w:p w14:paraId="723D2057" w14:textId="77777777" w:rsidR="001D6DCE" w:rsidRPr="001C170A" w:rsidRDefault="001D6DCE" w:rsidP="001D6DCE">
      <w:pPr>
        <w:pStyle w:val="Listenabsatz"/>
        <w:ind w:left="426"/>
        <w:jc w:val="both"/>
        <w:rPr>
          <w:rFonts w:ascii="Arial" w:hAnsi="Arial" w:cs="Arial"/>
          <w:lang w:val="en-GB"/>
        </w:rPr>
      </w:pPr>
    </w:p>
    <w:p w14:paraId="2E0E9CEC"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However, in most cases the introductory text expresses a desired outcome, but not in terms of specific behaviours. For example: “implement a national wetland strategy for game husbandry for Finland” (Finland NBSAP, 2013, p. 25), its relationship to behaviour change is not made clear by reading the introduction:</w:t>
      </w:r>
    </w:p>
    <w:p w14:paraId="01A6D232" w14:textId="77777777" w:rsidR="001D6DCE" w:rsidRPr="001C170A" w:rsidRDefault="001D6DCE" w:rsidP="001D6DCE">
      <w:pPr>
        <w:pStyle w:val="Listenabsatz"/>
        <w:ind w:left="426"/>
        <w:jc w:val="both"/>
        <w:rPr>
          <w:rFonts w:ascii="Arial" w:hAnsi="Arial" w:cs="Arial"/>
          <w:lang w:val="en-GB"/>
        </w:rPr>
      </w:pPr>
    </w:p>
    <w:p w14:paraId="77DA6E13"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“A new challenge lies in the objective of Finland’s game husbandry wetland strategy (2011) to manage existing wetlands and establish new ones. This strategy emphasises </w:t>
      </w:r>
      <w:r w:rsidRPr="001C170A">
        <w:rPr>
          <w:rFonts w:ascii="Arial" w:hAnsi="Arial" w:cs="Arial"/>
          <w:lang w:val="en-GB"/>
        </w:rPr>
        <w:lastRenderedPageBreak/>
        <w:t>hunters’ and landowners’ possibilities of enriching wetland ecosystems through voluntary measures. […]” (Finland NBSAP, 2013, p. 25)</w:t>
      </w:r>
    </w:p>
    <w:p w14:paraId="11BDCBAA" w14:textId="77777777" w:rsidR="001D6DCE" w:rsidRPr="001C170A" w:rsidRDefault="001D6DCE" w:rsidP="001D6DCE">
      <w:pPr>
        <w:pStyle w:val="Listenabsatz"/>
        <w:ind w:left="426"/>
        <w:jc w:val="both"/>
        <w:rPr>
          <w:rFonts w:ascii="Arial" w:hAnsi="Arial" w:cs="Arial"/>
          <w:lang w:val="en-GB"/>
        </w:rPr>
      </w:pPr>
    </w:p>
    <w:p w14:paraId="393AE20B"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There were also other cases where issues raised in the introductory text are not clearly linked to any proposed interventions. For example section 1.2 Education and training describes interventions centred on curricula and training for educators, but the introductory paragraph also mentions a wider participation in decision-making:</w:t>
      </w:r>
    </w:p>
    <w:p w14:paraId="22FE9D0F" w14:textId="77777777" w:rsidR="001D6DCE" w:rsidRPr="001C170A" w:rsidRDefault="001D6DCE" w:rsidP="001D6DCE">
      <w:pPr>
        <w:pStyle w:val="Listenabsatz"/>
        <w:ind w:left="426"/>
        <w:jc w:val="both"/>
        <w:rPr>
          <w:rFonts w:ascii="Arial" w:hAnsi="Arial" w:cs="Arial"/>
          <w:lang w:val="en-GB"/>
        </w:rPr>
      </w:pPr>
    </w:p>
    <w:p w14:paraId="1CDC12DB"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creating opportunities for children and young people to participate and be heard in decision-making relating to their own neighbourhood environment and on environmental policy.” (Finland NBSAP, 2013, p. 5)</w:t>
      </w:r>
    </w:p>
    <w:p w14:paraId="41CC1D32" w14:textId="77777777" w:rsidR="001D6DCE" w:rsidRPr="001C170A" w:rsidRDefault="001D6DCE" w:rsidP="001D6DCE">
      <w:pPr>
        <w:pStyle w:val="Listenabsatz"/>
        <w:ind w:left="426"/>
        <w:jc w:val="both"/>
        <w:rPr>
          <w:rFonts w:ascii="Arial" w:hAnsi="Arial" w:cs="Arial"/>
          <w:lang w:val="en-GB"/>
        </w:rPr>
      </w:pPr>
    </w:p>
    <w:p w14:paraId="4E88E580"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In section 4 The Sámi indigenous people and biodiversity, the interventions only describe negotiation and indicators processes, while the objective is to:</w:t>
      </w:r>
    </w:p>
    <w:p w14:paraId="74D92D46" w14:textId="77777777" w:rsidR="001D6DCE" w:rsidRPr="001C170A" w:rsidRDefault="001D6DCE" w:rsidP="001D6DCE">
      <w:pPr>
        <w:pStyle w:val="Listenabsatz"/>
        <w:ind w:left="426"/>
        <w:jc w:val="both"/>
        <w:rPr>
          <w:rFonts w:ascii="Arial" w:hAnsi="Arial" w:cs="Arial"/>
          <w:lang w:val="en-GB"/>
        </w:rPr>
      </w:pPr>
    </w:p>
    <w:p w14:paraId="4AAAC519"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 objective is to halt the decline in the Sámi’s traditional knowledge, land use practices and customary laws related to biodiversity, while ensuring that the original northern biodiversity of the Sámi Homeland region is conserved in culturally sustainable ways for future generations.” (Finland NBSAP, 2013, p. 38)</w:t>
      </w:r>
    </w:p>
    <w:p w14:paraId="145834DD" w14:textId="77777777" w:rsidR="001D6DCE" w:rsidRPr="001C170A" w:rsidRDefault="001D6DCE" w:rsidP="001D6DCE">
      <w:pPr>
        <w:pStyle w:val="Listenabsatz"/>
        <w:ind w:left="426"/>
        <w:jc w:val="both"/>
        <w:rPr>
          <w:rFonts w:ascii="Arial" w:hAnsi="Arial" w:cs="Arial"/>
          <w:lang w:val="en-GB"/>
        </w:rPr>
      </w:pPr>
    </w:p>
    <w:p w14:paraId="16F0C187"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Other times, the actions do address all the issues raised, but the information regarding the target of the action is found in the introductory text and not in the action itself. These cases are identified below, but not coded.</w:t>
      </w:r>
    </w:p>
    <w:p w14:paraId="2D3D1736" w14:textId="77777777" w:rsidR="001D6DCE" w:rsidRPr="001C170A" w:rsidRDefault="001D6DCE" w:rsidP="001D6DCE">
      <w:pPr>
        <w:pStyle w:val="Listenabsatz"/>
        <w:ind w:left="426"/>
        <w:jc w:val="both"/>
        <w:rPr>
          <w:rFonts w:ascii="Arial" w:hAnsi="Arial" w:cs="Arial"/>
          <w:lang w:val="en-GB"/>
        </w:rPr>
      </w:pPr>
    </w:p>
    <w:p w14:paraId="1BB02AD1"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“Sufficient knowledge of species is necessary in order to be able to understand nature and the structure and functioning of ecosystems. In Finland, it has been found that both schoolchildren and pedagogy students have poor knowledge of species. In response, education on plant species has been given more weight in the basic school curriculum.” (Finland NBSAP, 2013, p. 5)</w:t>
      </w:r>
    </w:p>
    <w:p w14:paraId="5067503E" w14:textId="77777777" w:rsidR="001D6DCE" w:rsidRPr="001C170A" w:rsidRDefault="001D6DCE" w:rsidP="001D6DCE">
      <w:pPr>
        <w:pStyle w:val="Listenabsatz"/>
        <w:ind w:left="426"/>
        <w:jc w:val="both"/>
        <w:rPr>
          <w:rFonts w:ascii="Arial" w:hAnsi="Arial" w:cs="Arial"/>
          <w:lang w:val="en-GB"/>
        </w:rPr>
      </w:pPr>
    </w:p>
    <w:p w14:paraId="267E3CD5"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The aim is to ensure the conservation of diversity in crops and horticultural plants (landrace varieties in particular, and modified populations of old cultivars), and to secure resources for conservation activities. Conservation activities will be developed, both by enhancing conservation methods and by expanding the conservation network. In addition, the coverage of high security storage will be increased. In order to promote conservation on farms, the possibilities for extending </w:t>
      </w:r>
      <w:proofErr w:type="spellStart"/>
      <w:r w:rsidRPr="001C170A">
        <w:rPr>
          <w:rFonts w:ascii="Arial" w:hAnsi="Arial" w:cs="Arial"/>
          <w:lang w:val="en-GB"/>
        </w:rPr>
        <w:t>agri</w:t>
      </w:r>
      <w:proofErr w:type="spellEnd"/>
      <w:r w:rsidRPr="001C170A">
        <w:rPr>
          <w:rFonts w:ascii="Arial" w:hAnsi="Arial" w:cs="Arial"/>
          <w:lang w:val="en-GB"/>
        </w:rPr>
        <w:t>-environmental support to cover the protection of native plant species in farming too, will be examined, or other forms of support developed. In addition, an in situ conservation programme for naturally occurring relatives of crops will be launched. In the long term, the sustainable use of agricultural plants and horticultural plants will be promoted by enhancing their availability and communication work on them, and by launching project activities to promote their utilisation. (Finland NBSAP, 2013, p. 41)</w:t>
      </w:r>
    </w:p>
    <w:p w14:paraId="53F076D8" w14:textId="77777777" w:rsidR="001D6DCE" w:rsidRPr="001C170A" w:rsidRDefault="001D6DCE" w:rsidP="001D6DCE">
      <w:pPr>
        <w:pStyle w:val="Listenabsatz"/>
        <w:ind w:left="426"/>
        <w:jc w:val="both"/>
        <w:rPr>
          <w:rFonts w:ascii="Arial" w:hAnsi="Arial" w:cs="Arial"/>
          <w:lang w:val="en-GB"/>
        </w:rPr>
      </w:pPr>
    </w:p>
    <w:p w14:paraId="4B0C108A" w14:textId="47FD84D2"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Therefore, the introductory text did not have any other essential information regarding individual behaviour change and therefore was not selected to be coded. </w:t>
      </w:r>
    </w:p>
    <w:p w14:paraId="28E35055" w14:textId="77777777" w:rsidR="001D6DCE" w:rsidRPr="001C170A" w:rsidRDefault="001D6DCE" w:rsidP="001D6DCE">
      <w:pPr>
        <w:pStyle w:val="Listenabsatz"/>
        <w:ind w:left="426"/>
        <w:jc w:val="both"/>
        <w:rPr>
          <w:rFonts w:ascii="Arial" w:hAnsi="Arial" w:cs="Arial"/>
          <w:lang w:val="en-GB"/>
        </w:rPr>
      </w:pPr>
    </w:p>
    <w:p w14:paraId="338D8A52"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We selected all 105 interventions regarding each specific measure according to pages 5-50 of the NBSAP.</w:t>
      </w:r>
    </w:p>
    <w:p w14:paraId="58004387" w14:textId="77777777" w:rsidR="001D6DCE" w:rsidRPr="001C170A" w:rsidRDefault="001D6DCE" w:rsidP="001D6DCE">
      <w:pPr>
        <w:jc w:val="both"/>
        <w:rPr>
          <w:rFonts w:ascii="Arial" w:hAnsi="Arial" w:cs="Arial"/>
          <w:lang w:val="en-GB"/>
        </w:rPr>
      </w:pPr>
    </w:p>
    <w:p w14:paraId="1D2B86C9" w14:textId="77777777" w:rsidR="001D6DCE" w:rsidRPr="001C170A" w:rsidRDefault="001D6DCE" w:rsidP="001D6DCE">
      <w:pPr>
        <w:pStyle w:val="Listenabsatz"/>
        <w:numPr>
          <w:ilvl w:val="0"/>
          <w:numId w:val="1"/>
        </w:numPr>
        <w:jc w:val="both"/>
        <w:rPr>
          <w:rFonts w:ascii="Arial" w:hAnsi="Arial" w:cs="Arial"/>
          <w:lang w:val="en-GB"/>
        </w:rPr>
      </w:pPr>
      <w:r w:rsidRPr="001C170A">
        <w:rPr>
          <w:rFonts w:ascii="Arial" w:hAnsi="Arial" w:cs="Arial"/>
          <w:lang w:val="en-GB"/>
        </w:rPr>
        <w:t>National Biodiversity Strategy and Action Plan of Georgia 2014 – 2020 (Georgia):</w:t>
      </w:r>
      <w:r w:rsidRPr="001C170A">
        <w:rPr>
          <w:rFonts w:ascii="Arial" w:hAnsi="Arial" w:cs="Arial"/>
          <w:lang w:val="en-GB"/>
        </w:rPr>
        <w:br/>
      </w:r>
    </w:p>
    <w:p w14:paraId="29DE8059"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lastRenderedPageBreak/>
        <w:t>The National Biodiversity Strategy of Georgia includes an overview of Georgia’s biodiversity followed by the vision and the overall national targets for safeguarding it. The strategy is divided into: introduction and overview of Georgia’s biodiversity, vision and targets, thematic chapters and the strategic goals, national targets, objectives and actions in table format.</w:t>
      </w:r>
    </w:p>
    <w:p w14:paraId="57EE9A11" w14:textId="77777777" w:rsidR="001D6DCE" w:rsidRPr="001C170A" w:rsidRDefault="001D6DCE" w:rsidP="001D6DCE">
      <w:pPr>
        <w:pStyle w:val="Listenabsatz"/>
        <w:ind w:left="426"/>
        <w:jc w:val="both"/>
        <w:rPr>
          <w:rFonts w:ascii="Arial" w:hAnsi="Arial" w:cs="Arial"/>
          <w:lang w:val="en-GB"/>
        </w:rPr>
      </w:pPr>
    </w:p>
    <w:p w14:paraId="77995FCE"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 xml:space="preserve">The thematic chapters describe the issues identified for Georgia’s biodiversity (called description of problems), the strategic approach and lists the reference numbers of the interventions (called actions) proposed to address these issues. They are divided under the following headings: Species and habitats, </w:t>
      </w:r>
      <w:proofErr w:type="gramStart"/>
      <w:r w:rsidRPr="001C170A">
        <w:rPr>
          <w:rFonts w:ascii="Arial" w:hAnsi="Arial" w:cs="Arial"/>
          <w:lang w:val="en-GB"/>
        </w:rPr>
        <w:t>Protected</w:t>
      </w:r>
      <w:proofErr w:type="gramEnd"/>
      <w:r w:rsidRPr="001C170A">
        <w:rPr>
          <w:rFonts w:ascii="Arial" w:hAnsi="Arial" w:cs="Arial"/>
          <w:lang w:val="en-GB"/>
        </w:rPr>
        <w:t xml:space="preserve"> areas, Forest ecosystems, Agricultural biodiversity and natural grasslands, Inland water ecosystems, The Black Sea, Cross-cutting issues and governance, Communication, Education and Public Awareness. </w:t>
      </w:r>
    </w:p>
    <w:p w14:paraId="51FD55AD" w14:textId="77777777" w:rsidR="001D6DCE" w:rsidRPr="001C170A" w:rsidRDefault="001D6DCE" w:rsidP="001D6DCE">
      <w:pPr>
        <w:pStyle w:val="Listenabsatz"/>
        <w:rPr>
          <w:rFonts w:ascii="Arial" w:hAnsi="Arial" w:cs="Arial"/>
          <w:lang w:val="en-GB"/>
        </w:rPr>
      </w:pPr>
    </w:p>
    <w:p w14:paraId="7ECCA0CA"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There are cases in the thematic chapters where the issue is described in terms of behaviour, but there is no action directly tackling that behaviour. Due to the lack of intervention, these cases were identified but not coded. For example:</w:t>
      </w:r>
    </w:p>
    <w:p w14:paraId="0B416883" w14:textId="77777777" w:rsidR="001D6DCE" w:rsidRPr="001C170A" w:rsidRDefault="001D6DCE" w:rsidP="001D6DCE">
      <w:pPr>
        <w:pStyle w:val="Listenabsatz"/>
        <w:ind w:left="426"/>
        <w:jc w:val="both"/>
        <w:rPr>
          <w:rFonts w:ascii="Arial" w:hAnsi="Arial" w:cs="Arial"/>
          <w:lang w:val="en-GB"/>
        </w:rPr>
      </w:pPr>
    </w:p>
    <w:p w14:paraId="67531845"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 main causes of unsustainable and illegal logging are rural poverty and lack of access to alternative energy sources. Lack of awareness among the loggers and consumers further aggravates the problem.” (Georgia, 2014, p. 32)</w:t>
      </w:r>
    </w:p>
    <w:p w14:paraId="79D6EF1F" w14:textId="77777777" w:rsidR="001D6DCE" w:rsidRPr="001C170A" w:rsidRDefault="001D6DCE" w:rsidP="001D6DCE">
      <w:pPr>
        <w:pStyle w:val="Listenabsatz"/>
        <w:ind w:left="426"/>
        <w:jc w:val="both"/>
        <w:rPr>
          <w:rFonts w:ascii="Arial" w:hAnsi="Arial" w:cs="Arial"/>
          <w:lang w:val="en-GB"/>
        </w:rPr>
      </w:pPr>
    </w:p>
    <w:p w14:paraId="45A07338"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“There are problems in respect of the collection of other non-timber forest products such as chestnuts, wild fruits, berries and mushrooms. The law allows the collection of these products free of charge for personal consumption. However, while local people often collect them for sale, no harvesting limits are specified beyond which the collection of a given product would be regarded as commercial. Because no annual harvest quotas are defined, there might be significant risks of unsustainable extraction.” (Georgia, 2014, p. 32)</w:t>
      </w:r>
    </w:p>
    <w:p w14:paraId="37710808" w14:textId="77777777" w:rsidR="001D6DCE" w:rsidRPr="001C170A" w:rsidRDefault="001D6DCE" w:rsidP="001D6DCE">
      <w:pPr>
        <w:pStyle w:val="Listenabsatz"/>
        <w:ind w:left="426"/>
        <w:jc w:val="both"/>
        <w:rPr>
          <w:rFonts w:ascii="Arial" w:hAnsi="Arial" w:cs="Arial"/>
          <w:lang w:val="en-GB"/>
        </w:rPr>
      </w:pPr>
    </w:p>
    <w:p w14:paraId="064DE8D6"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 lack of institutional and legal framework for the sustainable use of common pastures has resulted in unsystematic and unorganized grazing on those lands. The degradation of natural grasslands has been caused by (</w:t>
      </w:r>
      <w:proofErr w:type="spellStart"/>
      <w:r w:rsidRPr="001C170A">
        <w:rPr>
          <w:rFonts w:ascii="Arial" w:hAnsi="Arial" w:cs="Arial"/>
          <w:lang w:val="en-GB"/>
        </w:rPr>
        <w:t>i</w:t>
      </w:r>
      <w:proofErr w:type="spellEnd"/>
      <w:r w:rsidRPr="001C170A">
        <w:rPr>
          <w:rFonts w:ascii="Arial" w:hAnsi="Arial" w:cs="Arial"/>
          <w:lang w:val="en-GB"/>
        </w:rPr>
        <w:t>) the lack of knowledge among livestock farmers, (ii) the fact that many pastures were privatized or leased out without adequate planning and a targeted approach, and (iii) the fact that there are no control mechanisms of pasture management. At present, there is a lack of regulations and mechanisms for the promotion of sustainable grazing and the implementation of pasture improvement measures.” (Georgia, 2014, p. 41-42)</w:t>
      </w:r>
    </w:p>
    <w:p w14:paraId="75EA099E" w14:textId="77777777" w:rsidR="001D6DCE" w:rsidRPr="001C170A" w:rsidRDefault="001D6DCE" w:rsidP="001D6DCE">
      <w:pPr>
        <w:pStyle w:val="Listenabsatz"/>
        <w:ind w:left="426"/>
        <w:jc w:val="both"/>
        <w:rPr>
          <w:rFonts w:ascii="Arial" w:hAnsi="Arial" w:cs="Arial"/>
          <w:lang w:val="en-GB"/>
        </w:rPr>
      </w:pPr>
    </w:p>
    <w:p w14:paraId="2E7FF53A"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 root-causes of overgrazing include rural poverty and a lack of alternative livelihood opportunities; insufficient funding and support for the sector; and limited awareness among shepherds and livestock owners that hampers the adoption and implementation of more sustainable and efficient practices. Overgrazing in the forests causes the compaction of soil, which in turn can cause erosion and a decline in the forest’s natural regeneration capability. All of this often leads to irreversible processes”. (Georgia, 2014, p.32)</w:t>
      </w:r>
    </w:p>
    <w:p w14:paraId="7DEF6B3D" w14:textId="77777777" w:rsidR="001D6DCE" w:rsidRPr="001C170A" w:rsidRDefault="001D6DCE" w:rsidP="001D6DCE">
      <w:pPr>
        <w:pStyle w:val="Listenabsatz"/>
        <w:ind w:left="426"/>
        <w:jc w:val="both"/>
        <w:rPr>
          <w:rFonts w:ascii="Arial" w:hAnsi="Arial" w:cs="Arial"/>
          <w:lang w:val="en-GB"/>
        </w:rPr>
      </w:pPr>
    </w:p>
    <w:p w14:paraId="64F1F3B3"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 issue of excessive livestock grazing in forests requires consistent and coordinated efforts at the national level. The forestry sector alone will be unable to resolve this problem. However, pilot projects could be conducted that would demonstrate practical examples of low-impact, sustainable livestock grazing systems. Close cooperation between the Ministry of Agriculture and livestock farmers is also essential.” (Georgia, 2014, p.37)</w:t>
      </w:r>
    </w:p>
    <w:p w14:paraId="311F13A3" w14:textId="77777777" w:rsidR="001D6DCE" w:rsidRPr="001C170A" w:rsidRDefault="001D6DCE" w:rsidP="001D6DCE">
      <w:pPr>
        <w:pStyle w:val="Listenabsatz"/>
        <w:ind w:left="426"/>
        <w:jc w:val="both"/>
        <w:rPr>
          <w:rFonts w:ascii="Arial" w:hAnsi="Arial" w:cs="Arial"/>
          <w:lang w:val="en-GB"/>
        </w:rPr>
      </w:pPr>
    </w:p>
    <w:p w14:paraId="1041267D"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lastRenderedPageBreak/>
        <w:t>“Lack of public awareness about agro-biodiversity issues is directly linked to the lack of qualified specialists (especially young professionals) — hence the poor quality of the information provided to decision makers and the general public. There is limited coverage of agricultural biodiversity (especially ex situ conservation issues) in the press, and these issues are not adequately reflected in school curricula and textbooks.” (Georgia, 2014, p. 40)</w:t>
      </w:r>
    </w:p>
    <w:p w14:paraId="2E6E4DD2" w14:textId="77777777" w:rsidR="001D6DCE" w:rsidRPr="001C170A" w:rsidRDefault="001D6DCE" w:rsidP="001D6DCE">
      <w:pPr>
        <w:pStyle w:val="Listenabsatz"/>
        <w:ind w:left="426"/>
        <w:jc w:val="both"/>
        <w:rPr>
          <w:rFonts w:ascii="Arial" w:hAnsi="Arial" w:cs="Arial"/>
          <w:lang w:val="en-GB"/>
        </w:rPr>
      </w:pPr>
    </w:p>
    <w:p w14:paraId="58AC44E8"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“Illegal fishing remains a serious problem. Poachers often use prohibited methods such as electric devices, poison and explosive substances that cause irreparable damage to the biodiversity of Georgia’s inland waters.” (Georgia, 2014, p.44)</w:t>
      </w:r>
    </w:p>
    <w:p w14:paraId="63DC6D64" w14:textId="77777777" w:rsidR="001D6DCE" w:rsidRPr="001C170A" w:rsidRDefault="001D6DCE" w:rsidP="001D6DCE">
      <w:pPr>
        <w:pStyle w:val="Listenabsatz"/>
        <w:ind w:left="426"/>
        <w:jc w:val="both"/>
        <w:rPr>
          <w:rFonts w:ascii="Arial" w:hAnsi="Arial" w:cs="Arial"/>
          <w:lang w:val="en-GB"/>
        </w:rPr>
      </w:pPr>
    </w:p>
    <w:p w14:paraId="1A5D91DD"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“More trainings and conferences should be organised for key target groups, including media partners, decision-makers, the private sector, users of natural resources, teachers, students and women’s groups”. (Georgia, 2014, p. 53)</w:t>
      </w:r>
    </w:p>
    <w:p w14:paraId="12B17A6B" w14:textId="77777777" w:rsidR="001D6DCE" w:rsidRPr="001C170A" w:rsidRDefault="001D6DCE" w:rsidP="001D6DCE">
      <w:pPr>
        <w:pStyle w:val="Listenabsatz"/>
        <w:ind w:left="426"/>
        <w:jc w:val="both"/>
        <w:rPr>
          <w:rFonts w:ascii="Arial" w:hAnsi="Arial" w:cs="Arial"/>
          <w:lang w:val="en-GB"/>
        </w:rPr>
      </w:pPr>
    </w:p>
    <w:p w14:paraId="3DB21803" w14:textId="63DD3A4A"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Also, there was one case where there is no action, but the issue is described in terms of a behaviour change intervention. </w:t>
      </w:r>
    </w:p>
    <w:p w14:paraId="74500D51" w14:textId="77777777" w:rsidR="001D6DCE" w:rsidRPr="001C170A" w:rsidRDefault="001D6DCE" w:rsidP="001D6DCE">
      <w:pPr>
        <w:pStyle w:val="Listenabsatz"/>
        <w:ind w:left="426"/>
        <w:jc w:val="both"/>
        <w:rPr>
          <w:rFonts w:ascii="Arial" w:hAnsi="Arial" w:cs="Arial"/>
          <w:lang w:val="en-GB"/>
        </w:rPr>
      </w:pPr>
    </w:p>
    <w:p w14:paraId="3E1BE1A6"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“Volunteering should be promoted through providing training and education to potential volunteers; their participation should be encouraged in conservation activities such as biodiversity monitoring, conservation education, etc.” (Georgia, 2014, p.53)</w:t>
      </w:r>
    </w:p>
    <w:p w14:paraId="4EAC75A5" w14:textId="77777777" w:rsidR="001D6DCE" w:rsidRPr="001C170A" w:rsidRDefault="001D6DCE" w:rsidP="001D6DCE">
      <w:pPr>
        <w:pStyle w:val="Listenabsatz"/>
        <w:ind w:left="426"/>
        <w:jc w:val="both"/>
        <w:rPr>
          <w:rFonts w:ascii="Arial" w:hAnsi="Arial" w:cs="Arial"/>
          <w:lang w:val="en-GB"/>
        </w:rPr>
      </w:pPr>
    </w:p>
    <w:p w14:paraId="492A1AB3"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Apart from the information listed above the thematic chapters did not contain essential information regarding individual behaviour change and therefore was not selected to be coded.</w:t>
      </w:r>
    </w:p>
    <w:p w14:paraId="6F4F241C" w14:textId="77777777" w:rsidR="001D6DCE" w:rsidRPr="001C170A" w:rsidRDefault="001D6DCE" w:rsidP="001D6DCE">
      <w:pPr>
        <w:pStyle w:val="Listenabsatz"/>
        <w:ind w:left="426"/>
        <w:jc w:val="both"/>
        <w:rPr>
          <w:rFonts w:ascii="Arial" w:hAnsi="Arial" w:cs="Arial"/>
          <w:lang w:val="en-GB"/>
        </w:rPr>
      </w:pPr>
    </w:p>
    <w:p w14:paraId="4A293344"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We selected all of the interventions (called actions) for this analysis, corresponding to pages 62-99 of the NBSAP.</w:t>
      </w:r>
    </w:p>
    <w:p w14:paraId="29A0A387" w14:textId="77777777" w:rsidR="001D6DCE" w:rsidRPr="001C170A" w:rsidRDefault="001D6DCE" w:rsidP="001D6DCE">
      <w:pPr>
        <w:jc w:val="both"/>
        <w:rPr>
          <w:rFonts w:ascii="Arial" w:hAnsi="Arial" w:cs="Arial"/>
          <w:lang w:val="en-GB"/>
        </w:rPr>
      </w:pPr>
    </w:p>
    <w:p w14:paraId="12AE3422" w14:textId="77777777" w:rsidR="001D6DCE" w:rsidRPr="001C170A" w:rsidRDefault="001D6DCE" w:rsidP="001D6DCE">
      <w:pPr>
        <w:pStyle w:val="Listenabsatz"/>
        <w:numPr>
          <w:ilvl w:val="0"/>
          <w:numId w:val="1"/>
        </w:numPr>
        <w:jc w:val="both"/>
        <w:rPr>
          <w:rFonts w:ascii="Arial" w:hAnsi="Arial" w:cs="Arial"/>
          <w:lang w:val="en-GB"/>
        </w:rPr>
      </w:pPr>
      <w:r w:rsidRPr="001C170A">
        <w:rPr>
          <w:rFonts w:ascii="Arial" w:hAnsi="Arial" w:cs="Arial"/>
          <w:lang w:val="en-GB"/>
        </w:rPr>
        <w:t>National Biodiversity Strategy and Action Plan 2015-2020 (Myanmar):</w:t>
      </w:r>
    </w:p>
    <w:p w14:paraId="4012B7C5"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 xml:space="preserve">The National Biodiversity Strategy and Action Plan of Myanmar provides a strategic framework for the conservation of Myanmar's biodiversity to address new and emerging challenges arising from political, economic and social reform in Myanmar. The plan is divided into 5 sections: 1- Introduction; 2- Biodiversity Status and Trends in Myanmar; 3- Policy, Legal Framework and Institutions for Biodiversity Conservation; 4- National Biodiversity Strategies and Action Plans; 5- NBSAP Implementation Plan. </w:t>
      </w:r>
    </w:p>
    <w:p w14:paraId="2920DBFB" w14:textId="77777777" w:rsidR="001D6DCE" w:rsidRPr="001C170A" w:rsidRDefault="001D6DCE" w:rsidP="001D6DCE">
      <w:pPr>
        <w:pStyle w:val="Listenabsatz"/>
        <w:ind w:left="426"/>
        <w:jc w:val="both"/>
        <w:rPr>
          <w:rFonts w:ascii="Arial" w:hAnsi="Arial" w:cs="Arial"/>
          <w:lang w:val="en-GB"/>
        </w:rPr>
      </w:pPr>
    </w:p>
    <w:p w14:paraId="6CA3F6BC"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 xml:space="preserve">This analysis looked into chapter 4 National Biodiversity Strategies and Action Plans, more specifically section: 4.6 Targets, Indicators and Action Plans. Each target is preceded by an introductory text relating the Aichi targets to the local issues identified in Myanmar. </w:t>
      </w:r>
    </w:p>
    <w:p w14:paraId="693D803B" w14:textId="77777777" w:rsidR="001D6DCE" w:rsidRPr="001C170A" w:rsidRDefault="001D6DCE" w:rsidP="001D6DCE">
      <w:pPr>
        <w:pStyle w:val="Listenabsatz"/>
        <w:rPr>
          <w:rFonts w:ascii="Arial" w:hAnsi="Arial" w:cs="Arial"/>
          <w:lang w:val="en-GB"/>
        </w:rPr>
      </w:pPr>
    </w:p>
    <w:p w14:paraId="776D5409"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In this NBSAP the issues are described in the introductory part of each section followed by a list of actions, but the way in which the action is written the link to all issues identified is often not clear, also it is not clear whose behaviour it is targeting or what is the ultimate goal of that action. These cases were often better described in the introductory text, these sections are listed below:</w:t>
      </w:r>
    </w:p>
    <w:p w14:paraId="383DE018" w14:textId="77777777" w:rsidR="001D6DCE" w:rsidRPr="001C170A" w:rsidRDefault="001D6DCE" w:rsidP="001D6DCE">
      <w:pPr>
        <w:pStyle w:val="Listenabsatz"/>
        <w:ind w:left="426"/>
        <w:jc w:val="both"/>
        <w:rPr>
          <w:rFonts w:ascii="Arial" w:hAnsi="Arial" w:cs="Arial"/>
          <w:lang w:val="en-GB"/>
        </w:rPr>
      </w:pPr>
    </w:p>
    <w:p w14:paraId="38CAD841"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“Subsidies in the agricultural, energy or transport sectors may be applied in order to stimulate investment in those sectors or as poverty reduction policies. While popular, poorly designed or blanket subsidies can be an inefficient and ineffective strategy for stimulating investment or reducing poverty. Such subsidies can result in overconsumption </w:t>
      </w:r>
      <w:r w:rsidRPr="001C170A">
        <w:rPr>
          <w:rFonts w:ascii="Arial" w:hAnsi="Arial" w:cs="Arial"/>
          <w:lang w:val="en-GB"/>
        </w:rPr>
        <w:lastRenderedPageBreak/>
        <w:t>and waste, and may reduce incentives to invest in energy efficiency or renewable energy. While targeted subsidies for fertilizer mixes and other agricultural inputs can contribute to the public good, subsidies in many countries have encouraged excessive application of urea and agrochemicals, with serious repercussions for ecosystems, agricultural production, and human health.” (Myanmar, 2015, p. 39)</w:t>
      </w:r>
    </w:p>
    <w:p w14:paraId="58D6FFCB" w14:textId="77777777" w:rsidR="001D6DCE" w:rsidRPr="001C170A" w:rsidRDefault="001D6DCE" w:rsidP="001D6DCE">
      <w:pPr>
        <w:pStyle w:val="Listenabsatz"/>
        <w:ind w:left="426"/>
        <w:jc w:val="both"/>
        <w:rPr>
          <w:rFonts w:ascii="Arial" w:hAnsi="Arial" w:cs="Arial"/>
          <w:lang w:val="en-GB"/>
        </w:rPr>
      </w:pPr>
    </w:p>
    <w:p w14:paraId="4B1FE1D7"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“Strengthening the legal framework for communities to benefit from sustainable forest management would better incentivize forest conservation and restoration when done with clearly defined and secure tenure. The 1995 Community Forestry Instruction (CFI) is being revised to allow for the commercial use of community forests. It is also the first step to a legal pathway for community-managed sustainable timber harvesting. The revision of the Forest Law to allow communities to harvest and sell high-value commercial trees on the reserved species list, especially teak, which currently can only be legally harvested and sold by the state, would further strengthen this incentive by making forest management more profitable for communities.” (Myanmar, 2015, p. 40)</w:t>
      </w:r>
    </w:p>
    <w:p w14:paraId="2127DFCE" w14:textId="77777777" w:rsidR="001D6DCE" w:rsidRPr="001C170A" w:rsidRDefault="001D6DCE" w:rsidP="001D6DCE">
      <w:pPr>
        <w:pStyle w:val="Listenabsatz"/>
        <w:ind w:left="426"/>
        <w:jc w:val="both"/>
        <w:rPr>
          <w:rFonts w:ascii="Arial" w:hAnsi="Arial" w:cs="Arial"/>
          <w:lang w:val="en-GB"/>
        </w:rPr>
      </w:pPr>
    </w:p>
    <w:p w14:paraId="11C1AE7E"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“Persistent debt and other social conditions can serve as disincentives for sustainable use. Agricultural development programmes that increase reliance on high input cash crops can increase the vulnerability of farmers to fall into debt, which can in turn drive land use conversion for short term gain. Increased landlessness can push farmers onto increasingly marginal land and drive forest degradation. Safeguards for contract farming and fishing, and programmes to reduce vulnerability and increase the resilience of these groups, can help to reduce rural debt and create an enabling environment for positive conservation incentives. Examples of these programmes include addressing land tenure systems, support for low-</w:t>
      </w:r>
      <w:proofErr w:type="gramStart"/>
      <w:r w:rsidRPr="001C170A">
        <w:rPr>
          <w:rFonts w:ascii="Arial" w:hAnsi="Arial" w:cs="Arial"/>
          <w:lang w:val="en-GB"/>
        </w:rPr>
        <w:t>input  agricultural</w:t>
      </w:r>
      <w:proofErr w:type="gramEnd"/>
      <w:r w:rsidRPr="001C170A">
        <w:rPr>
          <w:rFonts w:ascii="Arial" w:hAnsi="Arial" w:cs="Arial"/>
          <w:lang w:val="en-GB"/>
        </w:rPr>
        <w:t xml:space="preserve"> commodities, formation of cooperatives and associations to increase bargaining power, and provision of microcredit for rural farmers. The National Sustainable Development Goals may be an appropriate forum to develop a national target on rural debt, which would complement the national biodiversity targets.” (Myanmar, 2015, p. 40)</w:t>
      </w:r>
    </w:p>
    <w:p w14:paraId="4E4FC448" w14:textId="77777777" w:rsidR="001D6DCE" w:rsidRPr="001C170A" w:rsidRDefault="001D6DCE" w:rsidP="001D6DCE">
      <w:pPr>
        <w:pStyle w:val="Listenabsatz"/>
        <w:ind w:left="426"/>
        <w:jc w:val="both"/>
        <w:rPr>
          <w:rFonts w:ascii="Arial" w:hAnsi="Arial" w:cs="Arial"/>
          <w:lang w:val="en-GB"/>
        </w:rPr>
      </w:pPr>
    </w:p>
    <w:p w14:paraId="6529D3F2"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“Smallholder farmers are the backbone of Myanmar's agricultural sector and are together the country's largest investors in agriculture. Agricultural policies should support these farmers' security and profitability, while minimizing environmental impact where possible. Support for post-harvest processing technology can increase product quality and profitability. Decreasing post-harvest spoilage and improving food transport, including cold-chains, can increase the efficiency of farms by minimizing waste. Certification schemes, including organic certification, can provide incentives for sustainable agriculture and improving food and farmer safety. Farmers' organisations and cooperatives can minimize the cost of certification and provide bargaining power and other economies of scale to members. Integrated Pest Management (I PM) is a method to control potentially damaging pests through a variety of complementary tools, rather than only calendar-based pesticide application, for example. I PM can include a mix of mechanical (tilling, manual removal), biological (beneficial insects or biological insecticides), and spatial 'push-pull' (plants that repel or attract pests from primary crops) methods. Extension programmes currently include I PM, and farmer extension services supporting IPM, organic farming, and other sustainable farming methods should hold trainings more frequently and reach more farmers.” (Myanmar, 2015, p. 57)</w:t>
      </w:r>
    </w:p>
    <w:p w14:paraId="10B4EA4C" w14:textId="77777777" w:rsidR="001D6DCE" w:rsidRPr="001C170A" w:rsidRDefault="001D6DCE" w:rsidP="001D6DCE">
      <w:pPr>
        <w:pStyle w:val="Listenabsatz"/>
        <w:ind w:left="426"/>
        <w:jc w:val="both"/>
        <w:rPr>
          <w:rFonts w:ascii="Arial" w:hAnsi="Arial" w:cs="Arial"/>
          <w:lang w:val="en-GB"/>
        </w:rPr>
      </w:pPr>
    </w:p>
    <w:p w14:paraId="078D10FF"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“In some cases, co-</w:t>
      </w:r>
      <w:proofErr w:type="spellStart"/>
      <w:r w:rsidRPr="001C170A">
        <w:rPr>
          <w:rFonts w:ascii="Arial" w:hAnsi="Arial" w:cs="Arial"/>
          <w:lang w:val="en-GB"/>
        </w:rPr>
        <w:t>perative</w:t>
      </w:r>
      <w:proofErr w:type="spellEnd"/>
      <w:r w:rsidRPr="001C170A">
        <w:rPr>
          <w:rFonts w:ascii="Arial" w:hAnsi="Arial" w:cs="Arial"/>
          <w:lang w:val="en-GB"/>
        </w:rPr>
        <w:t xml:space="preserve"> management models such as Locally Managed Marine Areas (LMMAs) may be appropriate. These can be used to protect key ecosystems while supporting local communities by facilitating co-management with government and by strengthening community tenure over traditional resource areas. A pilot project to establish </w:t>
      </w:r>
      <w:r w:rsidRPr="001C170A">
        <w:rPr>
          <w:rFonts w:ascii="Arial" w:hAnsi="Arial" w:cs="Arial"/>
          <w:lang w:val="en-GB"/>
        </w:rPr>
        <w:lastRenderedPageBreak/>
        <w:t xml:space="preserve">LMMAs in coral ecosystems in </w:t>
      </w:r>
      <w:proofErr w:type="spellStart"/>
      <w:r w:rsidRPr="001C170A">
        <w:rPr>
          <w:rFonts w:ascii="Arial" w:hAnsi="Arial" w:cs="Arial"/>
          <w:lang w:val="en-GB"/>
        </w:rPr>
        <w:t>Taninthayi</w:t>
      </w:r>
      <w:proofErr w:type="spellEnd"/>
      <w:r w:rsidRPr="001C170A">
        <w:rPr>
          <w:rFonts w:ascii="Arial" w:hAnsi="Arial" w:cs="Arial"/>
          <w:lang w:val="en-GB"/>
        </w:rPr>
        <w:t xml:space="preserve"> Region was implemented by FFI in 2013, and this and similar efforts should be expanded. Low impact, </w:t>
      </w:r>
      <w:proofErr w:type="spellStart"/>
      <w:r w:rsidRPr="001C170A">
        <w:rPr>
          <w:rFonts w:ascii="Arial" w:hAnsi="Arial" w:cs="Arial"/>
          <w:lang w:val="en-GB"/>
        </w:rPr>
        <w:t>reefbased</w:t>
      </w:r>
      <w:proofErr w:type="spellEnd"/>
      <w:r w:rsidRPr="001C170A">
        <w:rPr>
          <w:rFonts w:ascii="Arial" w:hAnsi="Arial" w:cs="Arial"/>
          <w:lang w:val="en-GB"/>
        </w:rPr>
        <w:t xml:space="preserve"> tourism should also be piloted as a way to finance MPA or LMMA operations.” (Myanmar, 2015, p. 72-73)</w:t>
      </w:r>
    </w:p>
    <w:p w14:paraId="49D1C0A2" w14:textId="77777777" w:rsidR="001D6DCE" w:rsidRPr="001C170A" w:rsidRDefault="001D6DCE" w:rsidP="001D6DCE">
      <w:pPr>
        <w:pStyle w:val="Listenabsatz"/>
        <w:ind w:left="426"/>
        <w:jc w:val="both"/>
        <w:rPr>
          <w:rFonts w:ascii="Arial" w:hAnsi="Arial" w:cs="Arial"/>
          <w:lang w:val="en-GB"/>
        </w:rPr>
      </w:pPr>
    </w:p>
    <w:p w14:paraId="0ED7D0F5"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“Several ecoregions, notably the Irrawaddy freshwater swamp forest, coastal mangroves, coastal rain forest, and Northern Indochina subtropical forest are heavily impacted by human activities and are highly fragmented. While a useful tool for many forest and ecosystem types throughout Myanmar, community-based management, including ICCAs and community forests, may be particularly effective in these fragmented areas. In both cases, the value for securing ecosystem services and local community livelihoods will likely be significant. In more impacted areas, the emphasis should be on community control, sustainable use, and natural regeneration, rather than strict protection. In areas with more intact forests, ICCAs could provide protection without the need for more formal, centrally-managed PAs. Multiple legal tools can help to recognize ICCAs at the national, state and regional, and district levels, including revisions to implementing rules and regulations and integration into land use planning at all levels. ICCAs could be identified through participatory mapping processes and drafting of district level land use plans as described in the National Land Use Policy. Some kinds of ICCA may be recognized through CF certification. In other countries, ICCAs also include customary tenure areas and indigenous reserves. Establishment of a customary land type classification would greatly improve recognition and protection of ICCAs.” (Myanmar, 2015, p. 76)</w:t>
      </w:r>
    </w:p>
    <w:p w14:paraId="08781323" w14:textId="77777777" w:rsidR="001D6DCE" w:rsidRPr="001C170A" w:rsidRDefault="001D6DCE" w:rsidP="001D6DCE">
      <w:pPr>
        <w:pStyle w:val="Listenabsatz"/>
        <w:ind w:left="426"/>
        <w:jc w:val="both"/>
        <w:rPr>
          <w:rFonts w:ascii="Arial" w:hAnsi="Arial" w:cs="Arial"/>
          <w:lang w:val="en-GB"/>
        </w:rPr>
      </w:pPr>
    </w:p>
    <w:p w14:paraId="0182C7D0"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“Co-management, an internationally-recognized IUCN governance type, provides models for including communities in PA management, in order to increase management effectiveness and support community-based approaches to sustainable livelihoods. The Protection of Wildlife and Protected Areas Rules established the ability to designate buffer zones within PAs. Buffer zones should be established using participatory mapping and community-based natural resource management approaches developed in collaboration with communities living within and surrounding PAs. Co-management, community conservation agreements, and participatory mapping and monitoring can help to reduce conflict between PAs and communities, ensure that livelihood needs are met, and provide a framework for benefit sharing from PA designation.” (Myanmar, 2015, p. 76)</w:t>
      </w:r>
    </w:p>
    <w:p w14:paraId="11381C7B" w14:textId="77777777" w:rsidR="001D6DCE" w:rsidRPr="001C170A" w:rsidRDefault="001D6DCE" w:rsidP="001D6DCE">
      <w:pPr>
        <w:pStyle w:val="Listenabsatz"/>
        <w:ind w:left="426"/>
        <w:jc w:val="both"/>
        <w:rPr>
          <w:rFonts w:ascii="Arial" w:hAnsi="Arial" w:cs="Arial"/>
          <w:lang w:val="en-GB"/>
        </w:rPr>
      </w:pPr>
    </w:p>
    <w:p w14:paraId="30A94AB7"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“To address unsustainable use, including hunting, whether for subsistence or trade, local authorities and PA managers need to be encouraged and rewarded to proactively engage local communities living in and around PAs. This means including community engagement in their job description. To engage successfully, natural resource managers need to collaborate with social scientists and NGOs who can work with local communities over an extended period of time to facilitate collaboration and mutual understanding. PMM can empower local communities, provide information, and encourage biodiversity conservation and sustainable development in line with the local realities. NWCD is working with the NGO Spectrum to pilot PMM in </w:t>
      </w:r>
      <w:proofErr w:type="spellStart"/>
      <w:r w:rsidRPr="001C170A">
        <w:rPr>
          <w:rFonts w:ascii="Arial" w:hAnsi="Arial" w:cs="Arial"/>
          <w:lang w:val="en-GB"/>
        </w:rPr>
        <w:t>Natmataung</w:t>
      </w:r>
      <w:proofErr w:type="spellEnd"/>
      <w:r w:rsidRPr="001C170A">
        <w:rPr>
          <w:rFonts w:ascii="Arial" w:hAnsi="Arial" w:cs="Arial"/>
          <w:lang w:val="en-GB"/>
        </w:rPr>
        <w:t xml:space="preserve"> National Park.” (Myanmar, 2015, p. 76-77)</w:t>
      </w:r>
    </w:p>
    <w:p w14:paraId="69A41E04" w14:textId="77777777" w:rsidR="001D6DCE" w:rsidRPr="001C170A" w:rsidRDefault="001D6DCE" w:rsidP="001D6DCE">
      <w:pPr>
        <w:pStyle w:val="Listenabsatz"/>
        <w:ind w:left="426"/>
        <w:jc w:val="both"/>
        <w:rPr>
          <w:rFonts w:ascii="Arial" w:hAnsi="Arial" w:cs="Arial"/>
          <w:lang w:val="en-GB"/>
        </w:rPr>
      </w:pPr>
    </w:p>
    <w:p w14:paraId="5820653E"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There are cases where the issue is described in terms of behaviour, but there is no action directly tackling that behaviour. Due to the lack of intervention, this case was identified but not coded. For example:</w:t>
      </w:r>
    </w:p>
    <w:p w14:paraId="6DD8DF53" w14:textId="77777777" w:rsidR="001D6DCE" w:rsidRPr="001C170A" w:rsidRDefault="001D6DCE" w:rsidP="001D6DCE">
      <w:pPr>
        <w:pStyle w:val="Listenabsatz"/>
        <w:ind w:left="426"/>
        <w:jc w:val="both"/>
        <w:rPr>
          <w:rFonts w:ascii="Arial" w:hAnsi="Arial" w:cs="Arial"/>
          <w:lang w:val="en-GB"/>
        </w:rPr>
      </w:pPr>
    </w:p>
    <w:p w14:paraId="33FC7142"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“Preserving the genetic diversity of cultivated plants, landraces, and crop wild relatives is essential for food security, climate change adaptation, and the maintenance of cultural traditions linked with the cultivation and consumption of traditional crops, foods, and medicines. […] However, while most of the seeds used in Myanmar are produced by farmers, the extension services promote the use of commercial seeds. This is a barrier to </w:t>
      </w:r>
      <w:r w:rsidRPr="001C170A">
        <w:rPr>
          <w:rFonts w:ascii="Arial" w:hAnsi="Arial" w:cs="Arial"/>
          <w:lang w:val="en-GB"/>
        </w:rPr>
        <w:lastRenderedPageBreak/>
        <w:t>preserving on-farm genetic diversity. Establishing domestic and international markets for Myanmar crop varieties, including mangoes and rice, creates stronger demand for some important local varieties and can create business opportunities for farmers. (Myanmar, 2015, p. 88)</w:t>
      </w:r>
    </w:p>
    <w:p w14:paraId="7691BF6C" w14:textId="77777777" w:rsidR="001D6DCE" w:rsidRPr="001C170A" w:rsidRDefault="001D6DCE" w:rsidP="001D6DCE">
      <w:pPr>
        <w:pStyle w:val="Listenabsatz"/>
        <w:ind w:left="426"/>
        <w:jc w:val="both"/>
        <w:rPr>
          <w:rFonts w:ascii="Arial" w:hAnsi="Arial" w:cs="Arial"/>
          <w:lang w:val="en-GB"/>
        </w:rPr>
      </w:pPr>
    </w:p>
    <w:p w14:paraId="50699941"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The introductory text did not contain other essential information regarding individual behaviour change that was not present in the actions listed and therefore was not selected to be coded.</w:t>
      </w:r>
    </w:p>
    <w:p w14:paraId="7E2938BD" w14:textId="77777777" w:rsidR="001D6DCE" w:rsidRPr="001C170A" w:rsidRDefault="001D6DCE" w:rsidP="001D6DCE">
      <w:pPr>
        <w:pStyle w:val="Listenabsatz"/>
        <w:ind w:left="426"/>
        <w:jc w:val="both"/>
        <w:rPr>
          <w:rFonts w:ascii="Arial" w:hAnsi="Arial" w:cs="Arial"/>
          <w:lang w:val="en-GB"/>
        </w:rPr>
      </w:pPr>
    </w:p>
    <w:p w14:paraId="0E729A9B"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We selected all interventions (called actions) located in pages 33-111 of the NBSAP listed under the national targets for this analysis.</w:t>
      </w:r>
    </w:p>
    <w:p w14:paraId="5DA1EE2B" w14:textId="77777777" w:rsidR="001D6DCE" w:rsidRPr="001C170A" w:rsidRDefault="001D6DCE" w:rsidP="001D6DCE">
      <w:pPr>
        <w:jc w:val="both"/>
        <w:rPr>
          <w:rFonts w:ascii="Arial" w:hAnsi="Arial" w:cs="Arial"/>
          <w:lang w:val="en-GB"/>
        </w:rPr>
      </w:pPr>
    </w:p>
    <w:p w14:paraId="283ADADD" w14:textId="77777777" w:rsidR="001D6DCE" w:rsidRPr="001C170A" w:rsidRDefault="001D6DCE" w:rsidP="001D6DCE">
      <w:pPr>
        <w:pStyle w:val="Listenabsatz"/>
        <w:numPr>
          <w:ilvl w:val="0"/>
          <w:numId w:val="1"/>
        </w:numPr>
        <w:jc w:val="both"/>
        <w:rPr>
          <w:rFonts w:ascii="Arial" w:hAnsi="Arial" w:cs="Arial"/>
          <w:lang w:val="en-GB"/>
        </w:rPr>
      </w:pPr>
      <w:r w:rsidRPr="001C170A">
        <w:rPr>
          <w:rFonts w:ascii="Arial" w:hAnsi="Arial" w:cs="Arial"/>
          <w:lang w:val="en-GB"/>
        </w:rPr>
        <w:t>Strategy on biological diversity of the Republic of Moldova for 2015-2020 (Moldova):</w:t>
      </w:r>
    </w:p>
    <w:p w14:paraId="74EB11B2"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The Strategy on Biological Diversity of the Republic of Moldova for 2015-2020 reflects the current condition of the biodiversity of the Republic of Moldova, the trends in the changes of the biodiversity components, the goal and objectives of the activities designated for biodiversity protection. Its overall objective is to decrease the current loss rate of biodiversity as a contribution to reducing poverty and as a benefit to all forms of life on earth. The strategy is divided into 8 sections: 1. Introduction; 2. Current situation; 3. Definition of Biodiversity Issues; 4. Sector Approach to Biodiversity Conservation. Ecosystem Services; 5. Strategic Vision, Goal, Objectives and Expected Outcomes; 6. Estimating the Impact and the Costs of Implementing the Strategy; 7. Monitoring, Evaluation, Reporting and Implementation Phases; 8. Annex 2 – Action Plan.</w:t>
      </w:r>
    </w:p>
    <w:p w14:paraId="7912C974" w14:textId="77777777" w:rsidR="001D6DCE" w:rsidRPr="001C170A" w:rsidRDefault="001D6DCE" w:rsidP="001D6DCE">
      <w:pPr>
        <w:pStyle w:val="Listenabsatz"/>
        <w:ind w:left="426"/>
        <w:jc w:val="both"/>
        <w:rPr>
          <w:rFonts w:ascii="Arial" w:hAnsi="Arial" w:cs="Arial"/>
          <w:lang w:val="en-GB"/>
        </w:rPr>
      </w:pPr>
    </w:p>
    <w:p w14:paraId="60C767A4"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The Action plan presented in a synthetic table format comprises a total of 5 specific objectives with expected outcomes. Each specific objective is further divided into scopes and interventions; there are a total of 96 interventions. The specific objective and scopes did not contain other essential information regarding individual behaviour change that was not present in the actions listed and therefore was not selected to be coded.</w:t>
      </w:r>
    </w:p>
    <w:p w14:paraId="5CDFEC32" w14:textId="77777777" w:rsidR="001D6DCE" w:rsidRPr="001C170A" w:rsidRDefault="001D6DCE" w:rsidP="001D6DCE">
      <w:pPr>
        <w:pStyle w:val="Listenabsatz"/>
        <w:rPr>
          <w:rFonts w:ascii="Arial" w:hAnsi="Arial" w:cs="Arial"/>
          <w:lang w:val="en-GB"/>
        </w:rPr>
      </w:pPr>
    </w:p>
    <w:p w14:paraId="15753067"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We selected all interventions to address these objectives and the responsible institutions specified for each of the specific interventions according to pages 45-63 of the NBSAP.</w:t>
      </w:r>
    </w:p>
    <w:p w14:paraId="4BCEAB05" w14:textId="77777777" w:rsidR="001D6DCE" w:rsidRPr="001C170A" w:rsidRDefault="001D6DCE" w:rsidP="001D6DCE">
      <w:pPr>
        <w:jc w:val="both"/>
        <w:rPr>
          <w:rFonts w:ascii="Arial" w:hAnsi="Arial" w:cs="Arial"/>
          <w:lang w:val="en-GB"/>
        </w:rPr>
      </w:pPr>
    </w:p>
    <w:p w14:paraId="5283C338" w14:textId="77777777" w:rsidR="001D6DCE" w:rsidRPr="001C170A" w:rsidRDefault="001D6DCE" w:rsidP="001D6DCE">
      <w:pPr>
        <w:pStyle w:val="Listenabsatz"/>
        <w:numPr>
          <w:ilvl w:val="0"/>
          <w:numId w:val="1"/>
        </w:numPr>
        <w:jc w:val="both"/>
        <w:rPr>
          <w:rFonts w:ascii="Arial" w:hAnsi="Arial" w:cs="Arial"/>
          <w:lang w:val="en-GB"/>
        </w:rPr>
      </w:pPr>
      <w:r w:rsidRPr="001C170A">
        <w:rPr>
          <w:rFonts w:ascii="Arial" w:hAnsi="Arial" w:cs="Arial"/>
          <w:lang w:val="en-GB"/>
        </w:rPr>
        <w:t>Namibia’s Second National Biodiversity Strategy and Action Plan 2013 - 2022 (Namibia):</w:t>
      </w:r>
    </w:p>
    <w:p w14:paraId="23E52478"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 xml:space="preserve">The vision of Namibia’s Second National Biodiversity Strategy and Action Plan 2013 - 2022 is for “Namibia’s biodiversity to be healthy and resilient to threats, and for the conservation and sustainable use of biodiversity to be key drivers of poverty alleviation and equitable economic growth, particularly in rural areas.” (Namibia NBSAP, 2014, p. iii) It is divided into the following sections: 1. Introduction; 2. Methodology to develop NBSAP2; 3. Overview of NBSAP2; 4. The National Biodiversity Strategy; 5. Monitoring and Evaluation Framework; 6. The National Biodiversity Action Plan; 7. Funding Plan and Strategy; and 8. References. </w:t>
      </w:r>
    </w:p>
    <w:p w14:paraId="28B4E35E" w14:textId="77777777" w:rsidR="001D6DCE" w:rsidRPr="001C170A" w:rsidRDefault="001D6DCE" w:rsidP="001D6DCE">
      <w:pPr>
        <w:pStyle w:val="Listenabsatz"/>
        <w:ind w:left="426"/>
        <w:jc w:val="both"/>
        <w:rPr>
          <w:rFonts w:ascii="Arial" w:hAnsi="Arial" w:cs="Arial"/>
          <w:lang w:val="en-GB"/>
        </w:rPr>
      </w:pPr>
    </w:p>
    <w:p w14:paraId="3E834379"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Section 6 synthesizes the strategy in a table format and is composed of 5 strategic goals, subdivided into 17 national targets and 38 strategic initiatives, each associated with interventions (indicative activities), lead agency, partners and activities indicators.</w:t>
      </w:r>
    </w:p>
    <w:p w14:paraId="4CC046E2" w14:textId="77777777" w:rsidR="001D6DCE" w:rsidRPr="001C170A" w:rsidRDefault="001D6DCE" w:rsidP="001D6DCE">
      <w:pPr>
        <w:pStyle w:val="Listenabsatz"/>
        <w:rPr>
          <w:rFonts w:ascii="Arial" w:hAnsi="Arial" w:cs="Arial"/>
          <w:lang w:val="en-GB"/>
        </w:rPr>
      </w:pPr>
    </w:p>
    <w:p w14:paraId="076C2259"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 xml:space="preserve">However, section 4. The National Biodiversity Strategy explains the logic behind each of the 17 national targets and was consulted for relevant individual behaviour change </w:t>
      </w:r>
      <w:r w:rsidRPr="001C170A">
        <w:rPr>
          <w:rFonts w:ascii="Arial" w:hAnsi="Arial" w:cs="Arial"/>
          <w:lang w:val="en-GB"/>
        </w:rPr>
        <w:lastRenderedPageBreak/>
        <w:t>information. It was found that often more detail about the action could be found, for example: Strengthen sound agricultural and rangeland management practices which minimize the negative impacts of agricultural / livestock production on biodiversity and ecosystem functioning (p. 22-23)</w:t>
      </w:r>
    </w:p>
    <w:p w14:paraId="5A6E666E" w14:textId="77777777" w:rsidR="001D6DCE" w:rsidRPr="001C170A" w:rsidRDefault="001D6DCE" w:rsidP="001D6DCE">
      <w:pPr>
        <w:pStyle w:val="Listenabsatz"/>
        <w:ind w:left="426"/>
        <w:jc w:val="both"/>
        <w:rPr>
          <w:rFonts w:ascii="Arial" w:hAnsi="Arial" w:cs="Arial"/>
          <w:lang w:val="en-GB"/>
        </w:rPr>
      </w:pPr>
    </w:p>
    <w:p w14:paraId="585C6958" w14:textId="77777777" w:rsidR="001D6DCE" w:rsidRPr="001C170A" w:rsidRDefault="001D6DCE" w:rsidP="001D6DCE">
      <w:pPr>
        <w:pStyle w:val="Listenabsatz"/>
        <w:ind w:left="426"/>
        <w:jc w:val="both"/>
        <w:rPr>
          <w:rFonts w:ascii="Arial" w:hAnsi="Arial" w:cs="Arial"/>
          <w:lang w:val="en-GB"/>
        </w:rPr>
      </w:pPr>
      <w:r w:rsidRPr="001C170A">
        <w:rPr>
          <w:rFonts w:ascii="Arial" w:hAnsi="Arial" w:cs="Arial"/>
          <w:lang w:val="en-GB"/>
        </w:rPr>
        <w:t>But overall section 4 did not contain other essential information regarding individual behaviour change that was not present in the actions listed and therefore was not selected to be coded.</w:t>
      </w:r>
    </w:p>
    <w:p w14:paraId="6C423792" w14:textId="77777777" w:rsidR="001D6DCE" w:rsidRPr="001C170A" w:rsidRDefault="001D6DCE" w:rsidP="001D6DCE">
      <w:pPr>
        <w:pStyle w:val="Listenabsatz"/>
        <w:ind w:left="426"/>
        <w:jc w:val="both"/>
        <w:rPr>
          <w:rFonts w:ascii="Arial" w:hAnsi="Arial" w:cs="Arial"/>
          <w:lang w:val="en-GB"/>
        </w:rPr>
      </w:pPr>
    </w:p>
    <w:p w14:paraId="435ADDBD" w14:textId="77777777" w:rsidR="001D6DCE" w:rsidRPr="001C170A" w:rsidRDefault="001D6DCE" w:rsidP="001D6DCE">
      <w:pPr>
        <w:pStyle w:val="Listenabsatz"/>
        <w:numPr>
          <w:ilvl w:val="1"/>
          <w:numId w:val="1"/>
        </w:numPr>
        <w:ind w:left="426"/>
        <w:jc w:val="both"/>
        <w:rPr>
          <w:rFonts w:ascii="Arial" w:hAnsi="Arial" w:cs="Arial"/>
          <w:lang w:val="en-GB"/>
        </w:rPr>
      </w:pPr>
      <w:r w:rsidRPr="001C170A">
        <w:rPr>
          <w:rFonts w:ascii="Arial" w:hAnsi="Arial" w:cs="Arial"/>
          <w:lang w:val="en-GB"/>
        </w:rPr>
        <w:t>We selected all interventions (indicative activities), lead agency, partners and activities indicators to address these strategic initiatives according to pages 33-51 of the NBSAP.</w:t>
      </w:r>
    </w:p>
    <w:p w14:paraId="0FF985B0" w14:textId="77777777" w:rsidR="001D6DCE" w:rsidRPr="001C170A" w:rsidRDefault="001D6DCE" w:rsidP="001D6DCE">
      <w:pPr>
        <w:jc w:val="both"/>
        <w:rPr>
          <w:rFonts w:ascii="Arial" w:hAnsi="Arial" w:cs="Arial"/>
          <w:lang w:val="en-GB"/>
        </w:rPr>
      </w:pPr>
    </w:p>
    <w:p w14:paraId="728A653C" w14:textId="77777777" w:rsidR="001D6DCE" w:rsidRPr="001C170A" w:rsidRDefault="001D6DCE" w:rsidP="001D6DCE">
      <w:pPr>
        <w:pStyle w:val="Listenabsatz"/>
        <w:numPr>
          <w:ilvl w:val="0"/>
          <w:numId w:val="1"/>
        </w:numPr>
        <w:jc w:val="both"/>
        <w:rPr>
          <w:rFonts w:ascii="Arial" w:hAnsi="Arial" w:cs="Arial"/>
          <w:lang w:val="es-419"/>
        </w:rPr>
      </w:pPr>
      <w:r w:rsidRPr="001C170A">
        <w:rPr>
          <w:rFonts w:ascii="Arial" w:hAnsi="Arial" w:cs="Arial"/>
          <w:lang w:val="es-419"/>
        </w:rPr>
        <w:t>Estrategia Nacional de Diversidad Biológica AL 2021 Plan de Acción 2014-2018 (Peru):</w:t>
      </w:r>
    </w:p>
    <w:p w14:paraId="425AA6C2" w14:textId="77777777" w:rsidR="001D6DCE" w:rsidRPr="001C170A" w:rsidRDefault="001D6DCE" w:rsidP="001D6DCE">
      <w:pPr>
        <w:pStyle w:val="Listenabsatz"/>
        <w:numPr>
          <w:ilvl w:val="1"/>
          <w:numId w:val="1"/>
        </w:numPr>
        <w:ind w:left="709"/>
        <w:jc w:val="both"/>
        <w:rPr>
          <w:rFonts w:ascii="Arial" w:hAnsi="Arial" w:cs="Arial"/>
          <w:lang w:val="en-GB"/>
        </w:rPr>
      </w:pPr>
      <w:r w:rsidRPr="001C170A">
        <w:rPr>
          <w:rFonts w:ascii="Arial" w:hAnsi="Arial" w:cs="Arial"/>
          <w:lang w:val="en-GB"/>
        </w:rPr>
        <w:t xml:space="preserve">The vision of Peru’s national strategy is that by 2021 Peru conserves and rationally uses its </w:t>
      </w:r>
      <w:proofErr w:type="spellStart"/>
      <w:r w:rsidRPr="001C170A">
        <w:rPr>
          <w:rFonts w:ascii="Arial" w:hAnsi="Arial" w:cs="Arial"/>
          <w:lang w:val="en-GB"/>
        </w:rPr>
        <w:t>megabiodiversity</w:t>
      </w:r>
      <w:proofErr w:type="spellEnd"/>
      <w:r w:rsidRPr="001C170A">
        <w:rPr>
          <w:rFonts w:ascii="Arial" w:hAnsi="Arial" w:cs="Arial"/>
          <w:lang w:val="en-GB"/>
        </w:rPr>
        <w:t xml:space="preserve">, revaluing the associated traditional knowledge for the meeting the basic needs and welfare of current and future generations within the framework of an inclusive, sustainable, and competitive development. The document is organized as such: 1. Introduction; 2. Background; 3. Biodiversity Status; 4. Participatory Process for the Formulation of the National Strategy for Biological Diversity to 2021 and its Action Plan 2014 - 2018; 5. Peru's National Biodiversity Strategy to 2021: Vision, Principles Strategic Objectives and Targets; 6. National Biodiversity Action Plan 2014–2018; 7. Matrix of Strategic Objectives, Baseline, Indicators, Targets and Actions of the EPANDB; 8. References; 9. Acronyms; and 10. Glossary of Terms. </w:t>
      </w:r>
    </w:p>
    <w:p w14:paraId="2ABC32F9" w14:textId="77777777" w:rsidR="001D6DCE" w:rsidRPr="001C170A" w:rsidRDefault="001D6DCE" w:rsidP="001D6DCE">
      <w:pPr>
        <w:pStyle w:val="Listenabsatz"/>
        <w:ind w:left="709"/>
        <w:jc w:val="both"/>
        <w:rPr>
          <w:rFonts w:ascii="Arial" w:hAnsi="Arial" w:cs="Arial"/>
          <w:lang w:val="en-GB"/>
        </w:rPr>
      </w:pPr>
    </w:p>
    <w:p w14:paraId="10FC53C6" w14:textId="77777777" w:rsidR="001D6DCE" w:rsidRPr="001C170A" w:rsidRDefault="001D6DCE" w:rsidP="001D6DCE">
      <w:pPr>
        <w:pStyle w:val="Listenabsatz"/>
        <w:numPr>
          <w:ilvl w:val="1"/>
          <w:numId w:val="1"/>
        </w:numPr>
        <w:ind w:left="709"/>
        <w:jc w:val="both"/>
        <w:rPr>
          <w:rFonts w:ascii="Arial" w:hAnsi="Arial" w:cs="Arial"/>
          <w:lang w:val="en-GB"/>
        </w:rPr>
      </w:pPr>
      <w:r w:rsidRPr="001C170A">
        <w:rPr>
          <w:rFonts w:ascii="Arial" w:hAnsi="Arial" w:cs="Arial"/>
          <w:lang w:val="en-GB"/>
        </w:rPr>
        <w:t xml:space="preserve">Section 6 is divided into the 6 strategic objectives, 13 goals and </w:t>
      </w:r>
      <w:proofErr w:type="spellStart"/>
      <w:r w:rsidRPr="001C170A">
        <w:rPr>
          <w:rFonts w:ascii="Arial" w:hAnsi="Arial" w:cs="Arial"/>
          <w:lang w:val="en-GB"/>
        </w:rPr>
        <w:t>subgoals</w:t>
      </w:r>
      <w:proofErr w:type="spellEnd"/>
      <w:r w:rsidRPr="001C170A">
        <w:rPr>
          <w:rFonts w:ascii="Arial" w:hAnsi="Arial" w:cs="Arial"/>
          <w:lang w:val="en-GB"/>
        </w:rPr>
        <w:t xml:space="preserve"> and a total of 147 interventions (called </w:t>
      </w:r>
      <w:proofErr w:type="spellStart"/>
      <w:r w:rsidRPr="001C170A">
        <w:rPr>
          <w:rFonts w:ascii="Arial" w:hAnsi="Arial" w:cs="Arial"/>
          <w:lang w:val="en-GB"/>
        </w:rPr>
        <w:t>actividades</w:t>
      </w:r>
      <w:proofErr w:type="spellEnd"/>
      <w:r w:rsidRPr="001C170A">
        <w:rPr>
          <w:rFonts w:ascii="Arial" w:hAnsi="Arial" w:cs="Arial"/>
          <w:lang w:val="en-GB"/>
        </w:rPr>
        <w:t>) divided by periods. The other information described in section 6 did not contain essential information regarding individual behaviour change that was not present in the actions listed and therefore was not selected to be coded.</w:t>
      </w:r>
    </w:p>
    <w:p w14:paraId="3B269A30" w14:textId="77777777" w:rsidR="001D6DCE" w:rsidRPr="001C170A" w:rsidRDefault="001D6DCE" w:rsidP="001D6DCE">
      <w:pPr>
        <w:pStyle w:val="Listenabsatz"/>
        <w:rPr>
          <w:rFonts w:ascii="Arial" w:hAnsi="Arial" w:cs="Arial"/>
          <w:lang w:val="en-GB"/>
        </w:rPr>
      </w:pPr>
    </w:p>
    <w:p w14:paraId="52F5F34F" w14:textId="77777777" w:rsidR="001D6DCE" w:rsidRPr="001C170A" w:rsidRDefault="001D6DCE" w:rsidP="001D6DCE">
      <w:pPr>
        <w:pStyle w:val="Listenabsatz"/>
        <w:numPr>
          <w:ilvl w:val="1"/>
          <w:numId w:val="1"/>
        </w:numPr>
        <w:ind w:left="709"/>
        <w:jc w:val="both"/>
        <w:rPr>
          <w:rFonts w:ascii="Arial" w:hAnsi="Arial" w:cs="Arial"/>
          <w:lang w:val="en-GB"/>
        </w:rPr>
      </w:pPr>
      <w:r w:rsidRPr="001C170A">
        <w:rPr>
          <w:rFonts w:ascii="Arial" w:hAnsi="Arial" w:cs="Arial"/>
          <w:lang w:val="en-GB"/>
        </w:rPr>
        <w:t>For this analysis all 147 interventions to address these goals were selected as listed in pages 52-63 of the NBSAP.</w:t>
      </w:r>
    </w:p>
    <w:p w14:paraId="40840FAA" w14:textId="77777777" w:rsidR="001D6DCE" w:rsidRPr="001C170A" w:rsidRDefault="001D6DCE" w:rsidP="001D6DCE">
      <w:pPr>
        <w:jc w:val="both"/>
        <w:rPr>
          <w:rFonts w:ascii="Arial" w:hAnsi="Arial" w:cs="Arial"/>
          <w:lang w:val="en-GB"/>
        </w:rPr>
      </w:pPr>
    </w:p>
    <w:p w14:paraId="2559D12A" w14:textId="77777777" w:rsidR="001D6DCE" w:rsidRPr="001C170A" w:rsidRDefault="001D6DCE" w:rsidP="001D6DCE">
      <w:pPr>
        <w:pStyle w:val="Listenabsatz"/>
        <w:numPr>
          <w:ilvl w:val="0"/>
          <w:numId w:val="1"/>
        </w:numPr>
        <w:jc w:val="both"/>
        <w:rPr>
          <w:rFonts w:ascii="Arial" w:hAnsi="Arial" w:cs="Arial"/>
          <w:lang w:val="en-GB"/>
        </w:rPr>
      </w:pPr>
      <w:r w:rsidRPr="001C170A">
        <w:rPr>
          <w:rFonts w:ascii="Arial" w:hAnsi="Arial" w:cs="Arial"/>
          <w:lang w:val="en-GB"/>
        </w:rPr>
        <w:t>Biodiversity Strategy of the Republic of Serbia for the period of 2011-2018 (Serbia):</w:t>
      </w:r>
    </w:p>
    <w:p w14:paraId="01B9FB06" w14:textId="77777777" w:rsidR="001D6DCE" w:rsidRPr="001C170A" w:rsidRDefault="001D6DCE" w:rsidP="001D6DCE">
      <w:pPr>
        <w:pStyle w:val="Listenabsatz"/>
        <w:jc w:val="both"/>
        <w:rPr>
          <w:rFonts w:ascii="Arial" w:hAnsi="Arial" w:cs="Arial"/>
          <w:lang w:val="en-GB"/>
        </w:rPr>
      </w:pPr>
    </w:p>
    <w:p w14:paraId="56DFC296" w14:textId="77777777" w:rsidR="001D6DCE" w:rsidRPr="001C170A" w:rsidRDefault="001D6DCE" w:rsidP="001D6DCE">
      <w:pPr>
        <w:pStyle w:val="Listenabsatz"/>
        <w:numPr>
          <w:ilvl w:val="1"/>
          <w:numId w:val="1"/>
        </w:numPr>
        <w:ind w:left="709"/>
        <w:jc w:val="both"/>
        <w:rPr>
          <w:rFonts w:ascii="Arial" w:hAnsi="Arial" w:cs="Arial"/>
          <w:lang w:val="en-GB"/>
        </w:rPr>
      </w:pPr>
      <w:r w:rsidRPr="001C170A">
        <w:rPr>
          <w:rFonts w:ascii="Arial" w:hAnsi="Arial" w:cs="Arial"/>
          <w:lang w:val="en-GB"/>
        </w:rPr>
        <w:t xml:space="preserve">The Biodiversity Strategy of the Republic of Serbia provides a list of 11 major objectives to be implemented through a list of activities. It's structured as such: 1. Biological Diversity of the Republic of Serbia; 2. Institutional, legal and financial frameworks for biological diversity protection in the Republic of Serbia; 3. Threats to Biodiversity in the Republic of Serbia and Underlying Causes; 4. Strategic Areas, Objectives and Activities for Biodiversity Conservation in the Republic of Serbia; and 5. Action Plan. </w:t>
      </w:r>
    </w:p>
    <w:p w14:paraId="6138D12E" w14:textId="77777777" w:rsidR="001D6DCE" w:rsidRPr="001C170A" w:rsidRDefault="001D6DCE" w:rsidP="001D6DCE">
      <w:pPr>
        <w:pStyle w:val="Listenabsatz"/>
        <w:ind w:left="709"/>
        <w:jc w:val="both"/>
        <w:rPr>
          <w:rFonts w:ascii="Arial" w:hAnsi="Arial" w:cs="Arial"/>
          <w:lang w:val="en-GB"/>
        </w:rPr>
      </w:pPr>
    </w:p>
    <w:p w14:paraId="5BBDB6A3" w14:textId="77777777" w:rsidR="001D6DCE" w:rsidRPr="001C170A" w:rsidRDefault="001D6DCE" w:rsidP="001D6DCE">
      <w:pPr>
        <w:pStyle w:val="Listenabsatz"/>
        <w:numPr>
          <w:ilvl w:val="1"/>
          <w:numId w:val="1"/>
        </w:numPr>
        <w:ind w:left="709"/>
        <w:jc w:val="both"/>
        <w:rPr>
          <w:rFonts w:ascii="Arial" w:hAnsi="Arial" w:cs="Arial"/>
          <w:lang w:val="en-GB"/>
        </w:rPr>
      </w:pPr>
      <w:r w:rsidRPr="001C170A">
        <w:rPr>
          <w:rFonts w:ascii="Arial" w:hAnsi="Arial" w:cs="Arial"/>
          <w:lang w:val="en-GB"/>
        </w:rPr>
        <w:t>Section 5 contains a table divided in strategic areas and subareas, 28 objectives, 176 interventions (activities), responsible institutions and timeframes, as well as potential source of financial resources for implementation of the Strategy.</w:t>
      </w:r>
    </w:p>
    <w:p w14:paraId="18147EC2" w14:textId="77777777" w:rsidR="001D6DCE" w:rsidRPr="001C170A" w:rsidRDefault="001D6DCE" w:rsidP="001D6DCE">
      <w:pPr>
        <w:pStyle w:val="Listenabsatz"/>
        <w:rPr>
          <w:rFonts w:ascii="Arial" w:hAnsi="Arial" w:cs="Arial"/>
          <w:lang w:val="en-GB"/>
        </w:rPr>
      </w:pPr>
    </w:p>
    <w:p w14:paraId="654F8F66" w14:textId="77777777" w:rsidR="001D6DCE" w:rsidRPr="001C170A" w:rsidRDefault="001D6DCE" w:rsidP="001D6DCE">
      <w:pPr>
        <w:pStyle w:val="Listenabsatz"/>
        <w:ind w:left="709"/>
        <w:jc w:val="both"/>
        <w:rPr>
          <w:rFonts w:ascii="Arial" w:hAnsi="Arial" w:cs="Arial"/>
          <w:lang w:val="en-GB"/>
        </w:rPr>
      </w:pPr>
      <w:r w:rsidRPr="001C170A">
        <w:rPr>
          <w:rFonts w:ascii="Arial" w:hAnsi="Arial" w:cs="Arial"/>
          <w:lang w:val="en-GB"/>
        </w:rPr>
        <w:lastRenderedPageBreak/>
        <w:t>The other description in section 4 did not contain essential information regarding individual behaviour change that was not present in the actions listed and therefore was not selected to be coded.</w:t>
      </w:r>
    </w:p>
    <w:p w14:paraId="383D1B5D" w14:textId="77777777" w:rsidR="001D6DCE" w:rsidRPr="001C170A" w:rsidRDefault="001D6DCE" w:rsidP="001D6DCE">
      <w:pPr>
        <w:pStyle w:val="Listenabsatz"/>
        <w:ind w:left="709"/>
        <w:jc w:val="both"/>
        <w:rPr>
          <w:rFonts w:ascii="Arial" w:hAnsi="Arial" w:cs="Arial"/>
          <w:lang w:val="en-GB"/>
        </w:rPr>
      </w:pPr>
    </w:p>
    <w:p w14:paraId="1B4F9A6D" w14:textId="77777777" w:rsidR="001D6DCE" w:rsidRPr="001C170A" w:rsidRDefault="001D6DCE" w:rsidP="001D6DCE">
      <w:pPr>
        <w:pStyle w:val="Listenabsatz"/>
        <w:numPr>
          <w:ilvl w:val="1"/>
          <w:numId w:val="1"/>
        </w:numPr>
        <w:ind w:left="709"/>
        <w:jc w:val="both"/>
        <w:rPr>
          <w:rFonts w:ascii="Arial" w:hAnsi="Arial" w:cs="Arial"/>
          <w:lang w:val="en-GB"/>
        </w:rPr>
      </w:pPr>
      <w:r w:rsidRPr="001C170A">
        <w:rPr>
          <w:rFonts w:ascii="Arial" w:hAnsi="Arial" w:cs="Arial"/>
          <w:lang w:val="en-GB"/>
        </w:rPr>
        <w:t>We selected all of the interventions for biodiversity conservation to address these objectives according to pages 88-112 of the NBSAP.</w:t>
      </w:r>
    </w:p>
    <w:p w14:paraId="57E400B1" w14:textId="77777777" w:rsidR="001D6DCE" w:rsidRPr="001C170A" w:rsidRDefault="001D6DCE" w:rsidP="001D6DCE">
      <w:pPr>
        <w:jc w:val="both"/>
        <w:rPr>
          <w:rFonts w:ascii="Arial" w:hAnsi="Arial" w:cs="Arial"/>
          <w:lang w:val="en-GB"/>
        </w:rPr>
      </w:pPr>
    </w:p>
    <w:p w14:paraId="60FB6FE0" w14:textId="77777777" w:rsidR="001D6DCE" w:rsidRPr="001C170A" w:rsidRDefault="001D6DCE" w:rsidP="001D6DCE">
      <w:pPr>
        <w:pStyle w:val="Listenabsatz"/>
        <w:numPr>
          <w:ilvl w:val="0"/>
          <w:numId w:val="1"/>
        </w:numPr>
        <w:jc w:val="both"/>
        <w:rPr>
          <w:rFonts w:ascii="Arial" w:hAnsi="Arial" w:cs="Arial"/>
          <w:lang w:val="en-GB"/>
        </w:rPr>
      </w:pPr>
      <w:r w:rsidRPr="001C170A">
        <w:rPr>
          <w:rFonts w:ascii="Arial" w:hAnsi="Arial" w:cs="Arial"/>
          <w:lang w:val="en-GB"/>
        </w:rPr>
        <w:t>Seychelles’ National Biodiversity Strategy and Action Plan 2015-2020 (Seychelles):</w:t>
      </w:r>
    </w:p>
    <w:p w14:paraId="28FFBB98" w14:textId="77777777" w:rsidR="001D6DCE" w:rsidRPr="001C170A" w:rsidRDefault="001D6DCE" w:rsidP="001D6DCE">
      <w:pPr>
        <w:pStyle w:val="Listenabsatz"/>
        <w:jc w:val="both"/>
        <w:rPr>
          <w:rFonts w:ascii="Arial" w:hAnsi="Arial" w:cs="Arial"/>
          <w:lang w:val="en-GB"/>
        </w:rPr>
      </w:pPr>
    </w:p>
    <w:p w14:paraId="75CC7A2D" w14:textId="77777777" w:rsidR="001D6DCE" w:rsidRPr="001C170A" w:rsidRDefault="001D6DCE" w:rsidP="001D6DCE">
      <w:pPr>
        <w:pStyle w:val="Listenabsatz"/>
        <w:numPr>
          <w:ilvl w:val="1"/>
          <w:numId w:val="1"/>
        </w:numPr>
        <w:ind w:left="709"/>
        <w:jc w:val="both"/>
        <w:rPr>
          <w:rFonts w:ascii="Arial" w:hAnsi="Arial" w:cs="Arial"/>
          <w:lang w:val="en-GB"/>
        </w:rPr>
      </w:pPr>
      <w:r w:rsidRPr="001C170A">
        <w:rPr>
          <w:rFonts w:ascii="Arial" w:hAnsi="Arial" w:cs="Arial"/>
          <w:lang w:val="en-GB"/>
        </w:rPr>
        <w:t>The mission of Seychelles’ National Biodiversity Strategy and Action Plan is to effectively implement the Convention on Biological Diversity within the Seychelles context through the integrated conservation and sustainable use of biodiversity and the equitable sharing of benefits arising from the use of genetic resources. The plan is structured in 4 sections: 1. NBSAP Revision Process; 2. Biodiversity Status and Trends; 3. Policy, Institutional and Financial Scenario; 4. National Biodiversity Strategy and Action Plan.</w:t>
      </w:r>
    </w:p>
    <w:p w14:paraId="407806E2" w14:textId="77777777" w:rsidR="001D6DCE" w:rsidRPr="001C170A" w:rsidRDefault="001D6DCE" w:rsidP="001D6DCE">
      <w:pPr>
        <w:pStyle w:val="Listenabsatz"/>
        <w:ind w:left="709"/>
        <w:jc w:val="both"/>
        <w:rPr>
          <w:rFonts w:ascii="Arial" w:hAnsi="Arial" w:cs="Arial"/>
          <w:lang w:val="en-GB"/>
        </w:rPr>
      </w:pPr>
    </w:p>
    <w:p w14:paraId="57ACF3BA" w14:textId="77777777" w:rsidR="001D6DCE" w:rsidRPr="001C170A" w:rsidRDefault="001D6DCE" w:rsidP="001D6DCE">
      <w:pPr>
        <w:pStyle w:val="Listenabsatz"/>
        <w:numPr>
          <w:ilvl w:val="1"/>
          <w:numId w:val="1"/>
        </w:numPr>
        <w:ind w:left="709"/>
        <w:jc w:val="both"/>
        <w:rPr>
          <w:rFonts w:ascii="Arial" w:hAnsi="Arial" w:cs="Arial"/>
          <w:lang w:val="en-GB"/>
        </w:rPr>
      </w:pPr>
      <w:r w:rsidRPr="001C170A">
        <w:rPr>
          <w:rFonts w:ascii="Arial" w:hAnsi="Arial" w:cs="Arial"/>
          <w:lang w:val="en-GB"/>
        </w:rPr>
        <w:t>Section 4 has 5 strategic goals subdivided into 20 objectives which will be addressed by the means of 31 projects, each project contains detailed interventions (actions). It is important to note that the implementing Agencies are often described in the “situation analysis” section of the projects’ description and not associated with each individual action, therefore, they were not coded.</w:t>
      </w:r>
    </w:p>
    <w:p w14:paraId="210F086E" w14:textId="77777777" w:rsidR="001D6DCE" w:rsidRPr="001C170A" w:rsidRDefault="001D6DCE" w:rsidP="001D6DCE">
      <w:pPr>
        <w:pStyle w:val="Listenabsatz"/>
        <w:rPr>
          <w:rFonts w:ascii="Arial" w:hAnsi="Arial" w:cs="Arial"/>
          <w:lang w:val="en-GB"/>
        </w:rPr>
      </w:pPr>
    </w:p>
    <w:p w14:paraId="58C31FFA" w14:textId="77777777" w:rsidR="001D6DCE" w:rsidRPr="001C170A" w:rsidRDefault="001D6DCE" w:rsidP="001D6DCE">
      <w:pPr>
        <w:pStyle w:val="Listenabsatz"/>
        <w:ind w:left="709"/>
        <w:jc w:val="both"/>
        <w:rPr>
          <w:rFonts w:ascii="Arial" w:hAnsi="Arial" w:cs="Arial"/>
          <w:lang w:val="en-GB"/>
        </w:rPr>
      </w:pPr>
      <w:r w:rsidRPr="001C170A">
        <w:rPr>
          <w:rFonts w:ascii="Arial" w:hAnsi="Arial" w:cs="Arial"/>
          <w:lang w:val="en-GB"/>
        </w:rPr>
        <w:t>Also, there was one case where the results section described relevant information regarding the behaviour change aspect of that action. However, it is not clear which specific intervention has this outcome therefore it is identified below, but will not be coded:</w:t>
      </w:r>
    </w:p>
    <w:p w14:paraId="50AEA69E" w14:textId="77777777" w:rsidR="001D6DCE" w:rsidRPr="001C170A" w:rsidRDefault="001D6DCE" w:rsidP="001D6DCE">
      <w:pPr>
        <w:pStyle w:val="Listenabsatz"/>
        <w:ind w:left="709"/>
        <w:jc w:val="both"/>
        <w:rPr>
          <w:rFonts w:ascii="Arial" w:hAnsi="Arial" w:cs="Arial"/>
          <w:lang w:val="en-GB"/>
        </w:rPr>
      </w:pPr>
    </w:p>
    <w:p w14:paraId="573ACB59" w14:textId="77777777" w:rsidR="001D6DCE" w:rsidRPr="001C170A" w:rsidRDefault="001D6DCE" w:rsidP="001D6DCE">
      <w:pPr>
        <w:pStyle w:val="Listenabsatz"/>
        <w:ind w:left="709"/>
        <w:jc w:val="both"/>
        <w:rPr>
          <w:rFonts w:ascii="Arial" w:hAnsi="Arial" w:cs="Arial"/>
          <w:lang w:val="en-GB"/>
        </w:rPr>
      </w:pPr>
      <w:r w:rsidRPr="001C170A">
        <w:rPr>
          <w:rFonts w:ascii="Arial" w:hAnsi="Arial" w:cs="Arial"/>
          <w:lang w:val="en-GB"/>
        </w:rPr>
        <w:t>“Results: Stakeholder and general public awareness of the importance of and contribution to the conservation and sustainable use of biodiversity (C&amp;SU of BD) is measurably improved. Civil society and private sector contribution to C&amp;SU of BD is measurably increased in terms of: reduced negative impact, increased financial and in-kind contributions to NBSAP initiatives, National investment in conservation and sustainable use of biodiversity, improvement in Biodiversity and Sustainable Use indices etc...” (Seychelles, 2015, p.88)</w:t>
      </w:r>
    </w:p>
    <w:p w14:paraId="0597E7E8" w14:textId="77777777" w:rsidR="001D6DCE" w:rsidRPr="001C170A" w:rsidRDefault="001D6DCE" w:rsidP="001D6DCE">
      <w:pPr>
        <w:pStyle w:val="Listenabsatz"/>
        <w:ind w:left="709"/>
        <w:jc w:val="both"/>
        <w:rPr>
          <w:rFonts w:ascii="Arial" w:hAnsi="Arial" w:cs="Arial"/>
          <w:lang w:val="en-GB"/>
        </w:rPr>
      </w:pPr>
    </w:p>
    <w:p w14:paraId="2FA86934" w14:textId="77777777" w:rsidR="001D6DCE" w:rsidRPr="001C170A" w:rsidRDefault="001D6DCE" w:rsidP="001D6DCE">
      <w:pPr>
        <w:pStyle w:val="Listenabsatz"/>
        <w:ind w:left="709"/>
        <w:jc w:val="both"/>
        <w:rPr>
          <w:rFonts w:ascii="Arial" w:hAnsi="Arial" w:cs="Arial"/>
          <w:lang w:val="en-GB"/>
        </w:rPr>
      </w:pPr>
      <w:r w:rsidRPr="001C170A">
        <w:rPr>
          <w:rFonts w:ascii="Arial" w:hAnsi="Arial" w:cs="Arial"/>
          <w:lang w:val="en-GB"/>
        </w:rPr>
        <w:t>The other information described in section 4 did not contain essential information regarding individual behaviour change that was not present in the actions listed and therefore was not selected to be coded.</w:t>
      </w:r>
    </w:p>
    <w:p w14:paraId="6AD8B306" w14:textId="77777777" w:rsidR="001D6DCE" w:rsidRPr="001C170A" w:rsidRDefault="001D6DCE" w:rsidP="001D6DCE">
      <w:pPr>
        <w:pStyle w:val="Listenabsatz"/>
        <w:ind w:left="709"/>
        <w:jc w:val="both"/>
        <w:rPr>
          <w:rFonts w:ascii="Arial" w:hAnsi="Arial" w:cs="Arial"/>
          <w:lang w:val="en-GB"/>
        </w:rPr>
      </w:pPr>
    </w:p>
    <w:p w14:paraId="1658E3CB" w14:textId="77777777" w:rsidR="001D6DCE" w:rsidRPr="001C170A" w:rsidRDefault="001D6DCE" w:rsidP="001D6DCE">
      <w:pPr>
        <w:pStyle w:val="Listenabsatz"/>
        <w:numPr>
          <w:ilvl w:val="1"/>
          <w:numId w:val="1"/>
        </w:numPr>
        <w:ind w:left="709"/>
        <w:jc w:val="both"/>
        <w:rPr>
          <w:rFonts w:ascii="Arial" w:hAnsi="Arial" w:cs="Arial"/>
          <w:lang w:val="en-GB"/>
        </w:rPr>
      </w:pPr>
      <w:r w:rsidRPr="001C170A">
        <w:rPr>
          <w:rFonts w:ascii="Arial" w:hAnsi="Arial" w:cs="Arial"/>
          <w:lang w:val="en-GB"/>
        </w:rPr>
        <w:t>We selected all of the interventions for this analysis according to pages 67-97 of the NBSAP.</w:t>
      </w:r>
    </w:p>
    <w:p w14:paraId="6B27AAE6" w14:textId="77777777" w:rsidR="001D6DCE" w:rsidRPr="001C170A" w:rsidRDefault="001D6DCE" w:rsidP="001D6DCE">
      <w:pPr>
        <w:jc w:val="both"/>
        <w:rPr>
          <w:rFonts w:ascii="Arial" w:hAnsi="Arial" w:cs="Arial"/>
          <w:lang w:val="en-GB"/>
        </w:rPr>
      </w:pPr>
    </w:p>
    <w:p w14:paraId="6BD436AF" w14:textId="77777777" w:rsidR="001D6DCE" w:rsidRPr="001C170A" w:rsidRDefault="001D6DCE" w:rsidP="001D6DCE">
      <w:pPr>
        <w:jc w:val="both"/>
        <w:rPr>
          <w:rFonts w:ascii="Arial" w:hAnsi="Arial" w:cs="Arial"/>
          <w:lang w:val="en-GB"/>
        </w:rPr>
      </w:pPr>
    </w:p>
    <w:p w14:paraId="4742BE9A" w14:textId="77777777" w:rsidR="001D6DCE" w:rsidRPr="001C170A" w:rsidRDefault="001D6DCE" w:rsidP="001D6DCE">
      <w:pPr>
        <w:jc w:val="both"/>
        <w:rPr>
          <w:rFonts w:ascii="Arial" w:hAnsi="Arial" w:cs="Arial"/>
          <w:lang w:val="en-GB"/>
        </w:rPr>
      </w:pPr>
    </w:p>
    <w:p w14:paraId="3A311040" w14:textId="77777777" w:rsidR="001D6DCE" w:rsidRPr="001C170A" w:rsidRDefault="001D6DCE" w:rsidP="001D6DCE">
      <w:pPr>
        <w:jc w:val="both"/>
        <w:rPr>
          <w:rFonts w:ascii="Arial" w:hAnsi="Arial" w:cs="Arial"/>
          <w:lang w:val="en-GB"/>
        </w:rPr>
      </w:pPr>
    </w:p>
    <w:p w14:paraId="7C6C1159" w14:textId="04250A4F" w:rsidR="00587020" w:rsidRPr="007B51F4" w:rsidRDefault="00587020">
      <w:pPr>
        <w:rPr>
          <w:rFonts w:ascii="Arial" w:hAnsi="Arial" w:cs="Arial"/>
          <w:b/>
          <w:bCs/>
          <w:lang w:val="en-GB"/>
        </w:rPr>
      </w:pPr>
      <w:bookmarkStart w:id="0" w:name="_GoBack"/>
      <w:bookmarkEnd w:id="0"/>
    </w:p>
    <w:sectPr w:rsidR="00587020" w:rsidRPr="007B51F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0173D"/>
    <w:multiLevelType w:val="hybridMultilevel"/>
    <w:tmpl w:val="7206CB8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09E5751"/>
    <w:multiLevelType w:val="hybridMultilevel"/>
    <w:tmpl w:val="EBEEC16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96A45E0"/>
    <w:multiLevelType w:val="multilevel"/>
    <w:tmpl w:val="E9A4C104"/>
    <w:lvl w:ilvl="0">
      <w:start w:val="1"/>
      <w:numFmt w:val="decimal"/>
      <w:lvlText w:val="%1."/>
      <w:lvlJc w:val="left"/>
      <w:pPr>
        <w:ind w:left="720" w:hanging="360"/>
      </w:pPr>
    </w:lvl>
    <w:lvl w:ilvl="1">
      <w:start w:val="1"/>
      <w:numFmt w:val="lowerRoman"/>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D1B02BC"/>
    <w:multiLevelType w:val="hybridMultilevel"/>
    <w:tmpl w:val="C94E2A0E"/>
    <w:lvl w:ilvl="0" w:tplc="4590128C">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DB72C78"/>
    <w:multiLevelType w:val="hybridMultilevel"/>
    <w:tmpl w:val="605E632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3AD82660"/>
    <w:multiLevelType w:val="hybridMultilevel"/>
    <w:tmpl w:val="EC38B61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48B86BD5"/>
    <w:multiLevelType w:val="multilevel"/>
    <w:tmpl w:val="0B82FAA4"/>
    <w:lvl w:ilvl="0">
      <w:start w:val="1"/>
      <w:numFmt w:val="decimal"/>
      <w:lvlText w:val="%1."/>
      <w:lvlJc w:val="left"/>
      <w:pPr>
        <w:ind w:left="720" w:hanging="360"/>
      </w:pPr>
    </w:lvl>
    <w:lvl w:ilvl="1">
      <w:start w:val="1"/>
      <w:numFmt w:val="lowerRoman"/>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9C42B24"/>
    <w:multiLevelType w:val="hybridMultilevel"/>
    <w:tmpl w:val="808257E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6BCC39D3"/>
    <w:multiLevelType w:val="hybridMultilevel"/>
    <w:tmpl w:val="3EE09CE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6FC2382C"/>
    <w:multiLevelType w:val="hybridMultilevel"/>
    <w:tmpl w:val="3CC00F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75D2590B"/>
    <w:multiLevelType w:val="hybridMultilevel"/>
    <w:tmpl w:val="68B8B67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4"/>
  </w:num>
  <w:num w:numId="4">
    <w:abstractNumId w:val="0"/>
  </w:num>
  <w:num w:numId="5">
    <w:abstractNumId w:val="9"/>
  </w:num>
  <w:num w:numId="6">
    <w:abstractNumId w:val="7"/>
  </w:num>
  <w:num w:numId="7">
    <w:abstractNumId w:val="5"/>
  </w:num>
  <w:num w:numId="8">
    <w:abstractNumId w:val="8"/>
  </w:num>
  <w:num w:numId="9">
    <w:abstractNumId w:val="1"/>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DCE"/>
    <w:rsid w:val="001D6DCE"/>
    <w:rsid w:val="00587020"/>
    <w:rsid w:val="007B51F4"/>
    <w:rsid w:val="00E4465C"/>
    <w:rsid w:val="00F93D5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BE31E"/>
  <w15:chartTrackingRefBased/>
  <w15:docId w15:val="{09BC6102-8635-4C2E-90AA-B860275DE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D6DCE"/>
    <w:rPr>
      <w:lang w:val="pt-B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D6DCE"/>
    <w:pPr>
      <w:ind w:left="720"/>
      <w:contextualSpacing/>
    </w:pPr>
  </w:style>
  <w:style w:type="character" w:styleId="Kommentarzeichen">
    <w:name w:val="annotation reference"/>
    <w:basedOn w:val="Absatz-Standardschriftart"/>
    <w:uiPriority w:val="99"/>
    <w:semiHidden/>
    <w:unhideWhenUsed/>
    <w:rsid w:val="001D6DCE"/>
    <w:rPr>
      <w:sz w:val="16"/>
      <w:szCs w:val="16"/>
    </w:rPr>
  </w:style>
  <w:style w:type="paragraph" w:styleId="Kommentartext">
    <w:name w:val="annotation text"/>
    <w:basedOn w:val="Standard"/>
    <w:link w:val="KommentartextZchn"/>
    <w:uiPriority w:val="99"/>
    <w:unhideWhenUsed/>
    <w:rsid w:val="001D6DCE"/>
    <w:pPr>
      <w:spacing w:line="240" w:lineRule="auto"/>
    </w:pPr>
    <w:rPr>
      <w:sz w:val="20"/>
      <w:szCs w:val="20"/>
    </w:rPr>
  </w:style>
  <w:style w:type="character" w:customStyle="1" w:styleId="KommentartextZchn">
    <w:name w:val="Kommentartext Zchn"/>
    <w:basedOn w:val="Absatz-Standardschriftart"/>
    <w:link w:val="Kommentartext"/>
    <w:uiPriority w:val="99"/>
    <w:rsid w:val="001D6DCE"/>
    <w:rPr>
      <w:sz w:val="20"/>
      <w:szCs w:val="20"/>
      <w:lang w:val="pt-BR"/>
    </w:rPr>
  </w:style>
  <w:style w:type="paragraph" w:styleId="Sprechblasentext">
    <w:name w:val="Balloon Text"/>
    <w:basedOn w:val="Standard"/>
    <w:link w:val="SprechblasentextZchn"/>
    <w:uiPriority w:val="99"/>
    <w:semiHidden/>
    <w:unhideWhenUsed/>
    <w:rsid w:val="001D6DC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D6DCE"/>
    <w:rPr>
      <w:rFonts w:ascii="Segoe UI" w:hAnsi="Segoe UI" w:cs="Segoe UI"/>
      <w:sz w:val="18"/>
      <w:szCs w:val="18"/>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5022</Words>
  <Characters>31639</Characters>
  <Application>Microsoft Office Word</Application>
  <DocSecurity>0</DocSecurity>
  <Lines>263</Lines>
  <Paragraphs>73</Paragraphs>
  <ScaleCrop>false</ScaleCrop>
  <HeadingPairs>
    <vt:vector size="2" baseType="variant">
      <vt:variant>
        <vt:lpstr>Titel</vt:lpstr>
      </vt:variant>
      <vt:variant>
        <vt:i4>1</vt:i4>
      </vt:variant>
    </vt:vector>
  </HeadingPairs>
  <TitlesOfParts>
    <vt:vector size="1" baseType="lpstr">
      <vt:lpstr/>
    </vt:vector>
  </TitlesOfParts>
  <Company>UFZ</Company>
  <LinksUpToDate>false</LinksUpToDate>
  <CharactersWithSpaces>36588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Rode</dc:creator>
  <cp:keywords/>
  <dc:description/>
  <cp:lastModifiedBy>Julian Rode</cp:lastModifiedBy>
  <cp:revision>3</cp:revision>
  <dcterms:created xsi:type="dcterms:W3CDTF">2022-09-06T11:47:00Z</dcterms:created>
  <dcterms:modified xsi:type="dcterms:W3CDTF">2022-09-06T11:48:00Z</dcterms:modified>
</cp:coreProperties>
</file>