
<file path=[Content_Types].xml><?xml version="1.0" encoding="utf-8"?>
<Types xmlns="http://schemas.openxmlformats.org/package/2006/content-types">
  <Default Extension="jpeg" ContentType="image/jpeg"/>
  <Default Extension="JPG" ContentType="image/.jp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rFonts w:hint="eastAsia" w:ascii="Times New Roman" w:hAnsi="Times New Roman" w:eastAsia="宋体" w:cs="Times New Roman"/>
          <w:b/>
          <w:iCs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iCs/>
          <w:sz w:val="28"/>
          <w:szCs w:val="28"/>
        </w:rPr>
        <w:t>Improvement of RNA in situ hybridization for grapevine fruit and ovule</w:t>
      </w:r>
    </w:p>
    <w:p>
      <w:pPr>
        <w:spacing w:line="220" w:lineRule="atLeast"/>
        <w:jc w:val="center"/>
        <w:rPr>
          <w:rFonts w:hint="eastAsia" w:ascii="Times New Roman" w:hAnsi="Times New Roman" w:eastAsia="宋体" w:cs="Times New Roman"/>
          <w:b/>
          <w:iCs/>
          <w:sz w:val="28"/>
          <w:szCs w:val="28"/>
        </w:rPr>
      </w:pPr>
    </w:p>
    <w:p>
      <w:pPr>
        <w:spacing w:line="480" w:lineRule="auto"/>
        <w:jc w:val="center"/>
        <w:rPr>
          <w:rFonts w:hint="eastAsia" w:ascii="Times New Roman" w:hAnsi="Times New Roman" w:eastAsia="宋体" w:cs="Times New Roman"/>
          <w:sz w:val="28"/>
          <w:szCs w:val="28"/>
          <w:vertAlign w:val="superscript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Jin Yao</w:t>
      </w:r>
      <w:r>
        <w:rPr>
          <w:rFonts w:hint="eastAsia" w:ascii="Times New Roman" w:hAnsi="Times New Roman" w:eastAsia="宋体" w:cs="Times New Roman"/>
          <w:sz w:val="28"/>
          <w:szCs w:val="28"/>
          <w:vertAlign w:val="superscript"/>
        </w:rPr>
        <w:t>1, 2†</w:t>
      </w:r>
      <w:r>
        <w:rPr>
          <w:rFonts w:hint="eastAsia" w:ascii="Times New Roman" w:hAnsi="Times New Roman" w:eastAsia="宋体" w:cs="Times New Roman"/>
          <w:sz w:val="28"/>
          <w:szCs w:val="28"/>
        </w:rPr>
        <w:t>, Xingmei Li</w:t>
      </w:r>
      <w:r>
        <w:rPr>
          <w:rFonts w:hint="eastAsia" w:ascii="Times New Roman" w:hAnsi="Times New Roman" w:eastAsia="宋体" w:cs="Times New Roman"/>
          <w:sz w:val="28"/>
          <w:szCs w:val="28"/>
          <w:vertAlign w:val="superscript"/>
        </w:rPr>
        <w:t>1, 2†</w:t>
      </w:r>
      <w:r>
        <w:rPr>
          <w:rFonts w:hint="eastAsia" w:ascii="Times New Roman" w:hAnsi="Times New Roman" w:eastAsia="宋体" w:cs="Times New Roman"/>
          <w:sz w:val="28"/>
          <w:szCs w:val="28"/>
        </w:rPr>
        <w:t>, Na Wu</w:t>
      </w:r>
      <w:r>
        <w:rPr>
          <w:rFonts w:hint="eastAsia" w:ascii="Times New Roman" w:hAnsi="Times New Roman" w:eastAsia="宋体" w:cs="Times New Roman"/>
          <w:sz w:val="28"/>
          <w:szCs w:val="28"/>
          <w:vertAlign w:val="superscript"/>
        </w:rPr>
        <w:t>1, 2</w:t>
      </w:r>
      <w:r>
        <w:rPr>
          <w:rFonts w:hint="eastAsia" w:ascii="Times New Roman" w:hAnsi="Times New Roman" w:eastAsia="宋体" w:cs="Times New Roman"/>
          <w:sz w:val="28"/>
          <w:szCs w:val="28"/>
        </w:rPr>
        <w:t>, Songlin Zhang</w:t>
      </w:r>
      <w:r>
        <w:rPr>
          <w:rFonts w:hint="eastAsia" w:ascii="Times New Roman" w:hAnsi="Times New Roman" w:eastAsia="宋体" w:cs="Times New Roman"/>
          <w:sz w:val="28"/>
          <w:szCs w:val="28"/>
          <w:vertAlign w:val="superscript"/>
        </w:rPr>
        <w:t>1,2</w:t>
      </w:r>
      <w:r>
        <w:rPr>
          <w:rFonts w:hint="eastAsia" w:ascii="Times New Roman" w:hAnsi="Times New Roman" w:eastAsia="宋体" w:cs="Times New Roman"/>
          <w:sz w:val="28"/>
          <w:szCs w:val="28"/>
        </w:rPr>
        <w:t>, Min Gao</w:t>
      </w:r>
      <w:r>
        <w:rPr>
          <w:rFonts w:hint="eastAsia" w:ascii="Times New Roman" w:hAnsi="Times New Roman" w:eastAsia="宋体" w:cs="Times New Roman"/>
          <w:sz w:val="28"/>
          <w:szCs w:val="28"/>
          <w:vertAlign w:val="superscript"/>
        </w:rPr>
        <w:t>1,2*</w:t>
      </w:r>
      <w:r>
        <w:rPr>
          <w:rFonts w:hint="eastAsia" w:ascii="Times New Roman" w:hAnsi="Times New Roman" w:eastAsia="宋体" w:cs="Times New Roman"/>
          <w:sz w:val="28"/>
          <w:szCs w:val="28"/>
        </w:rPr>
        <w:t>, Xiping Wang</w:t>
      </w:r>
      <w:r>
        <w:rPr>
          <w:rFonts w:hint="eastAsia" w:ascii="Times New Roman" w:hAnsi="Times New Roman" w:eastAsia="宋体" w:cs="Times New Roman"/>
          <w:sz w:val="28"/>
          <w:szCs w:val="28"/>
          <w:vertAlign w:val="superscript"/>
        </w:rPr>
        <w:t>1,2*</w:t>
      </w:r>
    </w:p>
    <w:p>
      <w:pPr>
        <w:spacing w:line="48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480" w:lineRule="auto"/>
        <w:jc w:val="both"/>
        <w:textAlignment w:val="auto"/>
        <w:rPr>
          <w:rFonts w:hint="eastAsia" w:ascii="Times New Roman" w:hAnsi="Times New Roman" w:cs="Times New Roman"/>
          <w:color w:val="000000"/>
          <w:sz w:val="28"/>
          <w:szCs w:val="28"/>
        </w:rPr>
      </w:pPr>
      <w:r>
        <w:rPr>
          <w:rFonts w:hint="eastAsia" w:ascii="Times New Roman" w:hAnsi="Times New Roman" w:cs="Times New Roman"/>
          <w:color w:val="000000"/>
          <w:sz w:val="28"/>
          <w:szCs w:val="28"/>
        </w:rPr>
        <w:t xml:space="preserve">1 State Key Laboratory of Crop Stress Biology in Arid Areas, College of Horticulture, Northwest A&amp;F University, Yangling, Shaanxi 712100, China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Times New Roman" w:hAnsi="Times New Roman" w:cs="Times New Roman"/>
          <w:color w:val="000000"/>
          <w:sz w:val="28"/>
          <w:szCs w:val="28"/>
        </w:rPr>
        <w:sectPr>
          <w:headerReference r:id="rId5" w:type="default"/>
          <w:pgSz w:w="11906" w:h="16838"/>
          <w:pgMar w:top="1440" w:right="1134" w:bottom="1440" w:left="1134" w:header="851" w:footer="1077" w:gutter="0"/>
          <w:cols w:space="425" w:num="1"/>
          <w:docGrid w:linePitch="312" w:charSpace="0"/>
        </w:sectPr>
      </w:pPr>
      <w:r>
        <w:rPr>
          <w:rFonts w:hint="eastAsia" w:ascii="Times New Roman" w:hAnsi="Times New Roman" w:cs="Times New Roman"/>
          <w:color w:val="000000"/>
          <w:sz w:val="28"/>
          <w:szCs w:val="28"/>
        </w:rPr>
        <w:t>2 Key Laboratory of Horticultural Plant Biology and Germplasm Innovation in Northwest China, Ministry of Agriculture, Northwest A&amp;F University, Yangling, Shaanxi 712100, China</w:t>
      </w:r>
    </w:p>
    <w:p>
      <w:pPr>
        <w:widowControl w:val="0"/>
        <w:spacing w:line="240" w:lineRule="auto"/>
        <w:jc w:val="center"/>
        <w:rPr>
          <w:rFonts w:hint="eastAsia" w:ascii="Times New Roman" w:hAnsi="Times New Roman" w:cs="Times New Roman"/>
          <w:color w:val="000000"/>
          <w:sz w:val="28"/>
          <w:szCs w:val="28"/>
        </w:rPr>
      </w:pP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010150" cy="3333750"/>
            <wp:effectExtent l="0" t="0" r="3810" b="3810"/>
            <wp:docPr id="4" name="图片 3" descr="Fig 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Fig S4.JP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 l="4015" t="3062" b="7619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widowControl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kinsoku w:val="0"/>
        <w:overflowPunct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Fig. S1. </w:t>
      </w:r>
      <w:r>
        <w:rPr>
          <w:rFonts w:hint="eastAsia" w:ascii="Times New Roman" w:hAnsi="Times New Roman" w:eastAsia="Times New Roman" w:cs="Times New Roman"/>
          <w:sz w:val="20"/>
          <w:szCs w:val="20"/>
        </w:rPr>
        <w:t xml:space="preserve">Expression patterns of grape </w:t>
      </w:r>
      <w:r>
        <w:rPr>
          <w:rFonts w:hint="eastAsia" w:ascii="Times New Roman" w:hAnsi="Times New Roman" w:eastAsia="Times New Roman" w:cs="Times New Roman"/>
          <w:i/>
          <w:iCs/>
          <w:sz w:val="20"/>
          <w:szCs w:val="20"/>
        </w:rPr>
        <w:t xml:space="preserve">VvHB63 </w:t>
      </w:r>
      <w:r>
        <w:rPr>
          <w:rFonts w:hint="eastAsia" w:ascii="Times New Roman" w:hAnsi="Times New Roman" w:eastAsia="Times New Roman" w:cs="Times New Roman"/>
          <w:sz w:val="20"/>
          <w:szCs w:val="20"/>
        </w:rPr>
        <w:t>in ovules from eight grape cultivars</w:t>
      </w:r>
      <w:r>
        <w:rPr>
          <w:rFonts w:hint="eastAsia" w:ascii="Times New Roman" w:hAnsi="Times New Roman" w:cs="Times New Roman"/>
          <w:sz w:val="20"/>
          <w:szCs w:val="20"/>
        </w:rPr>
        <w:t xml:space="preserve">. Seedless cultivars: Flame Seedless (F), Bi Xiang Seedless (BX), Thompson Seedless (TS), Crimson Seedless (CS), Seeded cultivars: Kyoho (K), Ju Mei Gui (JMG), Red Globe (RG), Zui Jin Xiang (ZJX). Using </w:t>
      </w:r>
      <w:r>
        <w:rPr>
          <w:rFonts w:hint="eastAsia" w:ascii="Times New Roman" w:hAnsi="Times New Roman" w:cs="Times New Roman"/>
          <w:i/>
          <w:iCs/>
          <w:sz w:val="20"/>
          <w:szCs w:val="20"/>
        </w:rPr>
        <w:t xml:space="preserve">VvGAPDH </w:t>
      </w:r>
      <w:r>
        <w:rPr>
          <w:rFonts w:hint="eastAsia" w:ascii="Times New Roman" w:hAnsi="Times New Roman" w:cs="Times New Roman"/>
          <w:sz w:val="20"/>
          <w:szCs w:val="20"/>
        </w:rPr>
        <w:t xml:space="preserve">and </w:t>
      </w:r>
      <w:r>
        <w:rPr>
          <w:rFonts w:hint="eastAsia" w:ascii="Times New Roman" w:hAnsi="Times New Roman" w:cs="Times New Roman"/>
          <w:i/>
          <w:iCs/>
          <w:sz w:val="20"/>
          <w:szCs w:val="20"/>
        </w:rPr>
        <w:t>VvEF1-a</w:t>
      </w:r>
      <w:r>
        <w:rPr>
          <w:rFonts w:hint="eastAsia" w:ascii="Times New Roman" w:hAnsi="Times New Roman" w:cs="Times New Roman"/>
          <w:sz w:val="20"/>
          <w:szCs w:val="20"/>
        </w:rPr>
        <w:t xml:space="preserve"> genes followed by geometric averaging for determining a normalization factor.</w:t>
      </w:r>
    </w:p>
    <w:p>
      <w:pPr>
        <w:widowControl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br w:type="page"/>
      </w:r>
    </w:p>
    <w:p>
      <w:pPr>
        <w:widowControl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widowControl w:val="0"/>
        <w:spacing w:line="240" w:lineRule="auto"/>
        <w:jc w:val="center"/>
        <w:rPr>
          <w:rFonts w:hint="eastAsia" w:ascii="Times New Roman" w:hAnsi="Times New Roman" w:cs="Times New Roman" w:eastAsiaTheme="minorEastAsia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323205" cy="3743325"/>
            <wp:effectExtent l="0" t="0" r="10795" b="5715"/>
            <wp:docPr id="3" name="图片 2" descr="Fig 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Fig S3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l="3953" b="4380"/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kinsoku w:val="0"/>
        <w:overflowPunct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Fig. S2. </w:t>
      </w:r>
      <w:r>
        <w:rPr>
          <w:rFonts w:hint="eastAsia" w:ascii="Times New Roman" w:hAnsi="Times New Roman" w:eastAsia="Times New Roman" w:cs="Times New Roman"/>
          <w:sz w:val="20"/>
          <w:szCs w:val="20"/>
        </w:rPr>
        <w:t xml:space="preserve">Expression patterns of grape </w:t>
      </w:r>
      <w:r>
        <w:rPr>
          <w:rFonts w:hint="eastAsia" w:ascii="Times New Roman" w:hAnsi="Times New Roman" w:eastAsia="Times New Roman" w:cs="Times New Roman"/>
          <w:i/>
          <w:iCs/>
          <w:sz w:val="20"/>
          <w:szCs w:val="20"/>
        </w:rPr>
        <w:t xml:space="preserve">VvTAU </w:t>
      </w:r>
      <w:r>
        <w:rPr>
          <w:rFonts w:hint="eastAsia" w:ascii="Times New Roman" w:hAnsi="Times New Roman" w:eastAsia="Times New Roman" w:cs="Times New Roman"/>
          <w:sz w:val="20"/>
          <w:szCs w:val="20"/>
        </w:rPr>
        <w:t>in ovules from eight grape cultivars</w:t>
      </w:r>
      <w:r>
        <w:rPr>
          <w:rFonts w:ascii="Times New Roman" w:hAnsi="Times New Roman" w:eastAsia="Times New Roman" w:cs="Times New Roman"/>
          <w:sz w:val="20"/>
          <w:szCs w:val="20"/>
        </w:rPr>
        <w:t>.</w:t>
      </w:r>
      <w:r>
        <w:rPr>
          <w:rFonts w:hint="eastAsia" w:ascii="Times New Roman" w:hAnsi="Times New Roman" w:cs="Times New Roman"/>
          <w:sz w:val="20"/>
          <w:szCs w:val="20"/>
        </w:rPr>
        <w:t xml:space="preserve"> Seedless cultivars: Flame Seedless (F), Bi Xiang Seedless (BX), Thompson Seedless (TS), Crimson Seedless (CS), Seeded cultivars: Kyoho (K), Ju Mei Gui (JMG), Red Globe (RG), Zui Jin Xiang (ZJX). Using </w:t>
      </w:r>
      <w:r>
        <w:rPr>
          <w:rFonts w:hint="eastAsia" w:ascii="Times New Roman" w:hAnsi="Times New Roman" w:cs="Times New Roman"/>
          <w:i/>
          <w:iCs/>
          <w:sz w:val="20"/>
          <w:szCs w:val="20"/>
        </w:rPr>
        <w:t xml:space="preserve">VvGAPDH </w:t>
      </w:r>
      <w:r>
        <w:rPr>
          <w:rFonts w:hint="eastAsia" w:ascii="Times New Roman" w:hAnsi="Times New Roman" w:cs="Times New Roman"/>
          <w:sz w:val="20"/>
          <w:szCs w:val="20"/>
        </w:rPr>
        <w:t xml:space="preserve">and </w:t>
      </w:r>
      <w:r>
        <w:rPr>
          <w:rFonts w:hint="eastAsia" w:ascii="Times New Roman" w:hAnsi="Times New Roman" w:cs="Times New Roman"/>
          <w:i/>
          <w:iCs/>
          <w:sz w:val="20"/>
          <w:szCs w:val="20"/>
        </w:rPr>
        <w:t>VvEF1-a</w:t>
      </w:r>
      <w:r>
        <w:rPr>
          <w:rFonts w:hint="eastAsia" w:ascii="Times New Roman" w:hAnsi="Times New Roman" w:cs="Times New Roman"/>
          <w:sz w:val="20"/>
          <w:szCs w:val="20"/>
        </w:rPr>
        <w:t xml:space="preserve"> genes followed by geometric averaging for determining a normalization factor.</w:t>
      </w: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br w:type="page"/>
      </w:r>
    </w:p>
    <w:p>
      <w:pPr>
        <w:widowControl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widowControl w:val="0"/>
        <w:spacing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6120130" cy="3514725"/>
            <wp:effectExtent l="0" t="0" r="6350" b="5715"/>
            <wp:docPr id="1" name="图片 0" descr="Fig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Fig S1.tif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kinsoku w:val="0"/>
        <w:overflowPunct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Fig. S</w:t>
      </w:r>
      <w:r>
        <w:rPr>
          <w:rFonts w:hint="eastAsia"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 </w:t>
      </w:r>
      <w:r>
        <w:rPr>
          <w:rFonts w:hint="eastAsia" w:ascii="Times New Roman" w:hAnsi="Times New Roman" w:eastAsia="Times New Roman" w:cs="Times New Roman"/>
          <w:sz w:val="20"/>
          <w:szCs w:val="20"/>
        </w:rPr>
        <w:t xml:space="preserve">Semi-quantitative analysis of </w:t>
      </w:r>
      <w:r>
        <w:rPr>
          <w:rFonts w:hint="eastAsia" w:ascii="Times New Roman" w:hAnsi="Times New Roman" w:eastAsia="Times New Roman" w:cs="Times New Roman"/>
          <w:i/>
          <w:iCs/>
          <w:sz w:val="20"/>
          <w:szCs w:val="20"/>
        </w:rPr>
        <w:t xml:space="preserve">VvTAU </w:t>
      </w:r>
      <w:r>
        <w:rPr>
          <w:rFonts w:hint="eastAsia" w:ascii="Times New Roman" w:hAnsi="Times New Roman" w:eastAsia="Times New Roman" w:cs="Times New Roman"/>
          <w:sz w:val="20"/>
          <w:szCs w:val="20"/>
        </w:rPr>
        <w:t>probe by dot blot hybridization</w:t>
      </w:r>
      <w:r>
        <w:rPr>
          <w:rFonts w:hint="eastAsia" w:ascii="Times New Roman" w:hAnsi="Times New Roman" w:cs="Times New Roman"/>
          <w:sz w:val="20"/>
          <w:szCs w:val="20"/>
        </w:rPr>
        <w:t>.</w:t>
      </w:r>
    </w:p>
    <w:p>
      <w:pPr>
        <w:kinsoku w:val="0"/>
        <w:overflowPunct w:val="0"/>
        <w:spacing w:line="480" w:lineRule="auto"/>
        <w:rPr>
          <w:rFonts w:ascii="Times New Roman" w:hAnsi="Times New Roman" w:cs="Times New Roman"/>
          <w:sz w:val="20"/>
          <w:szCs w:val="20"/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br w:type="page"/>
      </w:r>
    </w:p>
    <w:p>
      <w:pPr>
        <w:widowControl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widowControl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widowControl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widowControl w:val="0"/>
        <w:spacing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 w:eastAsiaTheme="minorEastAsia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6111240" cy="2389505"/>
            <wp:effectExtent l="0" t="0" r="0" b="3175"/>
            <wp:docPr id="5" name="图片 5" descr="Fig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S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11240" cy="238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insoku w:val="0"/>
        <w:overflowPunct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Fig. S</w:t>
      </w:r>
      <w:r>
        <w:rPr>
          <w:rFonts w:hint="eastAsia"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 </w:t>
      </w:r>
      <w:r>
        <w:rPr>
          <w:rFonts w:hint="eastAsia" w:ascii="Times New Roman" w:hAnsi="Times New Roman" w:eastAsia="Times New Roman" w:cs="Times New Roman"/>
          <w:sz w:val="20"/>
          <w:szCs w:val="20"/>
        </w:rPr>
        <w:t xml:space="preserve">Semi-quantitative analysis of </w:t>
      </w:r>
      <w:r>
        <w:rPr>
          <w:rFonts w:hint="eastAsia" w:ascii="Times New Roman" w:hAnsi="Times New Roman" w:eastAsia="Times New Roman" w:cs="Times New Roman"/>
          <w:i/>
          <w:iCs/>
          <w:sz w:val="20"/>
          <w:szCs w:val="20"/>
        </w:rPr>
        <w:t>VvHB63</w:t>
      </w:r>
      <w:r>
        <w:rPr>
          <w:rFonts w:hint="eastAsia" w:ascii="Times New Roman" w:hAnsi="Times New Roman" w:eastAsia="Times New Roman" w:cs="Times New Roman"/>
          <w:sz w:val="20"/>
          <w:szCs w:val="20"/>
        </w:rPr>
        <w:t>probe by dot blot hybridization</w:t>
      </w:r>
      <w:r>
        <w:rPr>
          <w:rFonts w:hint="eastAsia" w:ascii="Times New Roman" w:hAnsi="Times New Roman" w:cs="Times New Roman"/>
          <w:sz w:val="20"/>
          <w:szCs w:val="20"/>
        </w:rPr>
        <w:t>.</w:t>
      </w:r>
    </w:p>
    <w:p>
      <w:pPr>
        <w:widowControl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widowControl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widowControl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br w:type="page"/>
      </w:r>
    </w:p>
    <w:p>
      <w:pPr>
        <w:widowControl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Table S1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: 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Reagent configuration method</w:t>
      </w:r>
    </w:p>
    <w:p>
      <w:pPr>
        <w:widowControl w:val="0"/>
        <w:spacing w:line="240" w:lineRule="auto"/>
        <w:jc w:val="both"/>
        <w:rPr>
          <w:rFonts w:ascii="Times New Roman" w:hAnsi="Times New Roman" w:cs="Times New Roman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7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Reagent name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component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2×carbonate buffer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32ul 1M NaHCO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:vertAlign w:val="subscript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, 48ul 的 1M NaCO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:vertAlign w:val="subscript"/>
                <w14:textFill>
                  <w14:solidFill>
                    <w14:schemeClr w14:val="tx1"/>
                  </w14:solidFill>
                </w14:textFill>
              </w:rPr>
              <w:t xml:space="preserve">3; 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320ul DEPC-H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10×PBS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1.3M NaCL; 70mM Na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HPO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:vertAlign w:val="subscript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; 30mM NaH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PO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:vertAlign w:val="subscript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; DEPC-H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10×TBS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1M Tris-HCl pH7.5; 1.5M NaCl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20×SSC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3M NaCl; 300mM Na citrate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5×NTE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2.5M NaCl; 50mM Tris pH 8; 5mM EDTA; DEPC-H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Buffer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100mM Tris-HCl pH9.5; 50mM MgCl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; 100mM NaCl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1% Blocking buffer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1% in 1×TBS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10x proteinase K buffer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100mM Tris pH8; 50mM EDTA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Acetic anhydride solution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3ml in 600ml 0.1M triethanolamine-HCl, pH 8 (11.142g, 600ml H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O, 3ml 10M NaOH for the pH)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4% paraformaldehyde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4% in 1×PBS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10×</w:t>
            </w:r>
            <w:bookmarkStart w:id="0" w:name="_GoBack"/>
            <w:bookmarkEnd w:id="0"/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in situ salts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3M NaCl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; 100mM Tris-HCl pH8; 100mM Na phosphate, pH 6.8; 50mM EDTA; </w:t>
            </w:r>
          </w:p>
          <w:p>
            <w:pPr>
              <w:widowControl w:val="0"/>
              <w:rPr>
                <w:rFonts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DEPC H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O 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to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10ml; Store at -20C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hybridization buffer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0.3 M NaCl; 10mM Tris-HCl pH 6.8; 10mM NaHPO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:vertAlign w:val="subscript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pH 6.8; 5mM EDTA; </w:t>
            </w:r>
          </w:p>
          <w:p>
            <w:pPr>
              <w:widowControl w:val="0"/>
              <w:rPr>
                <w:rFonts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50% formamide; 10% dextran sulfate; 1xDernhardts (0.02% each:Ficoll; PVP; BSA); 1mg/ml tRNA</w:t>
            </w:r>
          </w:p>
        </w:tc>
      </w:tr>
    </w:tbl>
    <w:p>
      <w:pPr>
        <w:rPr>
          <w:rFonts w:ascii="Times New Roman" w:hAnsi="Times New Roman" w:cs="Times New Roman"/>
        </w:rPr>
      </w:pPr>
    </w:p>
    <w:sectPr>
      <w:pgSz w:w="11906" w:h="16838"/>
      <w:pgMar w:top="1440" w:right="1134" w:bottom="1440" w:left="1134" w:header="851" w:footer="1077" w:gutter="0"/>
      <w:cols w:space="425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NeueLTStd-L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HelveticaNeueLTStd-LtI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MinionPro-Regular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xZDUzYzA4NzY0MDJiOTVkMTZhNTVlYzUxNjcyMmUifQ=="/>
  </w:docVars>
  <w:rsids>
    <w:rsidRoot w:val="00172A27"/>
    <w:rsid w:val="000138FE"/>
    <w:rsid w:val="0013604E"/>
    <w:rsid w:val="00165C5D"/>
    <w:rsid w:val="00172A27"/>
    <w:rsid w:val="001B1901"/>
    <w:rsid w:val="001D1D95"/>
    <w:rsid w:val="00206992"/>
    <w:rsid w:val="00233F78"/>
    <w:rsid w:val="0027494B"/>
    <w:rsid w:val="00297BE3"/>
    <w:rsid w:val="002D493B"/>
    <w:rsid w:val="00484242"/>
    <w:rsid w:val="004C7EB8"/>
    <w:rsid w:val="004E5AE4"/>
    <w:rsid w:val="005D6EB5"/>
    <w:rsid w:val="005E4BF1"/>
    <w:rsid w:val="00664DFD"/>
    <w:rsid w:val="007335CE"/>
    <w:rsid w:val="007451CD"/>
    <w:rsid w:val="00782F14"/>
    <w:rsid w:val="007E1498"/>
    <w:rsid w:val="00815BA1"/>
    <w:rsid w:val="00896A3C"/>
    <w:rsid w:val="008D7109"/>
    <w:rsid w:val="009B6B11"/>
    <w:rsid w:val="009D7FB2"/>
    <w:rsid w:val="00AD5DE1"/>
    <w:rsid w:val="00AE1864"/>
    <w:rsid w:val="00B03DC3"/>
    <w:rsid w:val="00BB5D68"/>
    <w:rsid w:val="00CD1994"/>
    <w:rsid w:val="00E54156"/>
    <w:rsid w:val="00F8636C"/>
    <w:rsid w:val="0ACF3D57"/>
    <w:rsid w:val="27C412C9"/>
    <w:rsid w:val="37250F35"/>
    <w:rsid w:val="40DB2278"/>
    <w:rsid w:val="45B12F6F"/>
    <w:rsid w:val="4EED6CEF"/>
    <w:rsid w:val="52A574CF"/>
    <w:rsid w:val="60530AF4"/>
    <w:rsid w:val="6F4E02CD"/>
    <w:rsid w:val="7155040B"/>
    <w:rsid w:val="71D75461"/>
    <w:rsid w:val="77B77AC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40" w:lineRule="atLeast"/>
      <w:jc w:val="center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uiPriority w:val="99"/>
    <w:rPr>
      <w:sz w:val="18"/>
      <w:szCs w:val="18"/>
    </w:rPr>
  </w:style>
  <w:style w:type="character" w:customStyle="1" w:styleId="10">
    <w:name w:val="fontstyle01"/>
    <w:basedOn w:val="7"/>
    <w:uiPriority w:val="0"/>
    <w:rPr>
      <w:rFonts w:hint="default" w:ascii="HelveticaNeueLTStd-Lt" w:hAnsi="HelveticaNeueLTStd-Lt"/>
      <w:color w:val="242021"/>
      <w:sz w:val="14"/>
      <w:szCs w:val="14"/>
    </w:rPr>
  </w:style>
  <w:style w:type="character" w:customStyle="1" w:styleId="11">
    <w:name w:val="fontstyle21"/>
    <w:basedOn w:val="7"/>
    <w:uiPriority w:val="0"/>
    <w:rPr>
      <w:rFonts w:hint="default" w:ascii="HelveticaNeueLTStd-LtIt" w:hAnsi="HelveticaNeueLTStd-LtIt"/>
      <w:i/>
      <w:iCs/>
      <w:color w:val="242021"/>
      <w:sz w:val="14"/>
      <w:szCs w:val="14"/>
    </w:rPr>
  </w:style>
  <w:style w:type="character" w:customStyle="1" w:styleId="12">
    <w:name w:val="fontstyle31"/>
    <w:basedOn w:val="7"/>
    <w:uiPriority w:val="0"/>
    <w:rPr>
      <w:rFonts w:hint="default" w:ascii="MinionPro-Regular" w:hAnsi="MinionPro-Regular"/>
      <w:color w:val="242021"/>
      <w:sz w:val="14"/>
      <w:szCs w:val="14"/>
    </w:rPr>
  </w:style>
  <w:style w:type="character" w:customStyle="1" w:styleId="13">
    <w:name w:val="批注框文本 Char"/>
    <w:basedOn w:val="7"/>
    <w:link w:val="2"/>
    <w:semiHidden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tiff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297</Words>
  <Characters>1520</Characters>
  <Lines>13</Lines>
  <Paragraphs>3</Paragraphs>
  <TotalTime>0</TotalTime>
  <ScaleCrop>false</ScaleCrop>
  <LinksUpToDate>false</LinksUpToDate>
  <CharactersWithSpaces>1773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2022-03-25T15:21:00Z</dcterms:created>
  <dc:creator>Microsoft 帐户</dc:creator>
  <cp:lastModifiedBy>安笙</cp:lastModifiedBy>
  <dcterms:modified xsi:type="dcterms:W3CDTF">2022-09-06T01:29:20Z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D3D0830419DD4F6ABAD1F59EF1F20239</vt:lpwstr>
  </property>
</Properties>
</file>