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420" w:firstLineChars="200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drawing>
          <wp:inline distT="0" distB="0" distL="0" distR="0">
            <wp:extent cx="2981325" cy="9048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422" w:firstLineChars="200"/>
        <w:jc w:val="center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b/>
          <w:szCs w:val="21"/>
        </w:rPr>
        <w:t>Fig. S1</w:t>
      </w:r>
      <w:r>
        <w:rPr>
          <w:rFonts w:hint="eastAsia" w:ascii="Times New Roman" w:hAnsi="Times New Roman"/>
          <w:b/>
          <w:szCs w:val="21"/>
          <w:lang w:val="en-US" w:eastAsia="zh-CN"/>
        </w:rPr>
        <w:t xml:space="preserve"> </w:t>
      </w:r>
      <w:r>
        <w:rPr>
          <w:rFonts w:hint="eastAsia" w:ascii="Times New Roman" w:hAnsi="Times New Roman"/>
          <w:szCs w:val="21"/>
        </w:rPr>
        <w:t xml:space="preserve">Schematic illustration of the QB-based </w:t>
      </w:r>
      <w:r>
        <w:rPr>
          <w:rFonts w:ascii="Times New Roman" w:hAnsi="Times New Roman"/>
          <w:szCs w:val="21"/>
        </w:rPr>
        <w:t>m</w:t>
      </w:r>
      <w:r>
        <w:rPr>
          <w:rFonts w:hint="eastAsia" w:ascii="Times New Roman" w:hAnsi="Times New Roman"/>
          <w:szCs w:val="21"/>
        </w:rPr>
        <w:t>ICA</w:t>
      </w:r>
    </w:p>
    <w:p>
      <w:pPr>
        <w:spacing w:line="480" w:lineRule="auto"/>
        <w:ind w:firstLine="420" w:firstLineChars="200"/>
        <w:jc w:val="center"/>
        <w:rPr>
          <w:rFonts w:ascii="Times New Roman" w:hAnsi="Times New Roman"/>
          <w:szCs w:val="21"/>
        </w:rPr>
      </w:pPr>
    </w:p>
    <w:p>
      <w:pPr>
        <w:widowControl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br w:type="page"/>
      </w:r>
    </w:p>
    <w:p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drawing>
          <wp:inline distT="0" distB="0" distL="0" distR="0">
            <wp:extent cx="5274310" cy="2056130"/>
            <wp:effectExtent l="0" t="0" r="254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szCs w:val="21"/>
        </w:rPr>
        <w:t>Fig</w:t>
      </w:r>
      <w:r>
        <w:rPr>
          <w:rFonts w:hint="eastAsia" w:ascii="Times New Roman" w:hAnsi="Times New Roman"/>
          <w:b/>
          <w:szCs w:val="21"/>
        </w:rPr>
        <w:t>. S</w:t>
      </w:r>
      <w:r>
        <w:rPr>
          <w:rFonts w:ascii="Times New Roman" w:hAnsi="Times New Roman"/>
          <w:b/>
          <w:szCs w:val="21"/>
        </w:rPr>
        <w:t>2</w:t>
      </w:r>
      <w:r>
        <w:rPr>
          <w:rFonts w:hint="eastAsia" w:ascii="Times New Roman" w:hAnsi="Times New Roman"/>
          <w:szCs w:val="21"/>
        </w:rPr>
        <w:t xml:space="preserve"> (A) </w:t>
      </w:r>
      <w:r>
        <w:rPr>
          <w:rFonts w:ascii="Times New Roman" w:hAnsi="Times New Roman"/>
          <w:szCs w:val="21"/>
        </w:rPr>
        <w:t xml:space="preserve">UV-Vis absorption spectra of </w:t>
      </w:r>
      <w:r>
        <w:rPr>
          <w:rFonts w:hint="eastAsia" w:ascii="Times New Roman" w:hAnsi="Times New Roman"/>
          <w:szCs w:val="21"/>
        </w:rPr>
        <w:t xml:space="preserve">mAb, </w:t>
      </w:r>
      <w:r>
        <w:rPr>
          <w:rFonts w:ascii="Times New Roman" w:hAnsi="Times New Roman"/>
          <w:szCs w:val="21"/>
        </w:rPr>
        <w:t>Q</w:t>
      </w:r>
      <w:r>
        <w:rPr>
          <w:rFonts w:hint="eastAsia" w:ascii="Times New Roman" w:hAnsi="Times New Roman"/>
          <w:szCs w:val="21"/>
        </w:rPr>
        <w:t>B</w:t>
      </w:r>
      <w:r>
        <w:rPr>
          <w:rFonts w:ascii="Times New Roman" w:hAnsi="Times New Roman"/>
          <w:szCs w:val="21"/>
        </w:rPr>
        <w:t xml:space="preserve">s and </w:t>
      </w:r>
      <w:r>
        <w:rPr>
          <w:rFonts w:hint="eastAsia" w:ascii="Times New Roman" w:hAnsi="Times New Roman"/>
          <w:szCs w:val="21"/>
        </w:rPr>
        <w:t xml:space="preserve">QB-mAb </w:t>
      </w:r>
      <w:r>
        <w:rPr>
          <w:rFonts w:ascii="Times New Roman" w:hAnsi="Times New Roman"/>
          <w:szCs w:val="21"/>
        </w:rPr>
        <w:t>probes</w:t>
      </w:r>
      <w:r>
        <w:rPr>
          <w:rFonts w:hint="eastAsia" w:ascii="Times New Roman" w:hAnsi="Times New Roman"/>
          <w:szCs w:val="21"/>
        </w:rPr>
        <w:t>. (B) DLS analysis</w:t>
      </w:r>
      <w:r>
        <w:rPr>
          <w:rFonts w:ascii="Times New Roman" w:hAnsi="Times New Roman"/>
          <w:szCs w:val="21"/>
        </w:rPr>
        <w:t xml:space="preserve"> of Q</w:t>
      </w:r>
      <w:r>
        <w:rPr>
          <w:rFonts w:hint="eastAsia" w:ascii="Times New Roman" w:hAnsi="Times New Roman"/>
          <w:szCs w:val="21"/>
        </w:rPr>
        <w:t>B</w:t>
      </w:r>
      <w:r>
        <w:rPr>
          <w:rFonts w:ascii="Times New Roman" w:hAnsi="Times New Roman"/>
          <w:szCs w:val="21"/>
        </w:rPr>
        <w:t xml:space="preserve">s and </w:t>
      </w:r>
      <w:r>
        <w:rPr>
          <w:rFonts w:hint="eastAsia" w:ascii="Times New Roman" w:hAnsi="Times New Roman"/>
          <w:szCs w:val="21"/>
        </w:rPr>
        <w:t xml:space="preserve">QB-mAb </w:t>
      </w:r>
      <w:r>
        <w:rPr>
          <w:rFonts w:ascii="Times New Roman" w:hAnsi="Times New Roman"/>
          <w:szCs w:val="21"/>
        </w:rPr>
        <w:t>probes</w:t>
      </w:r>
      <w:bookmarkStart w:id="1" w:name="_GoBack"/>
      <w:bookmarkEnd w:id="1"/>
    </w:p>
    <w:p>
      <w:pPr>
        <w:spacing w:line="480" w:lineRule="auto"/>
        <w:ind w:firstLine="420" w:firstLineChars="200"/>
        <w:jc w:val="center"/>
        <w:rPr>
          <w:rFonts w:ascii="Times New Roman" w:hAnsi="Times New Roman"/>
          <w:szCs w:val="21"/>
        </w:rPr>
      </w:pPr>
    </w:p>
    <w:p>
      <w:pPr>
        <w:widowControl/>
        <w:jc w:val="left"/>
      </w:pPr>
      <w:r>
        <w:br w:type="page"/>
      </w:r>
    </w:p>
    <w:p>
      <w:pPr>
        <w:widowControl/>
        <w:autoSpaceDE w:val="0"/>
        <w:autoSpaceDN w:val="0"/>
        <w:spacing w:line="480" w:lineRule="auto"/>
        <w:jc w:val="center"/>
        <w:rPr>
          <w:rFonts w:ascii="Times New Roman" w:hAnsi="Times New Roman"/>
          <w:b/>
          <w:szCs w:val="21"/>
        </w:rPr>
      </w:pPr>
      <w:r>
        <w:rPr>
          <w:rFonts w:hint="eastAsia" w:ascii="Times New Roman" w:hAnsi="Times New Roman"/>
          <w:b/>
          <w:szCs w:val="21"/>
        </w:rPr>
        <w:t>Table S</w:t>
      </w:r>
      <w:r>
        <w:rPr>
          <w:rFonts w:ascii="Times New Roman" w:hAnsi="Times New Roman"/>
          <w:b/>
          <w:szCs w:val="21"/>
        </w:rPr>
        <w:t>1</w:t>
      </w:r>
      <w:r>
        <w:rPr>
          <w:rFonts w:hint="eastAsia" w:ascii="Times New Roman" w:hAnsi="Times New Roman"/>
          <w:b/>
          <w:szCs w:val="21"/>
        </w:rPr>
        <w:t xml:space="preserve"> </w:t>
      </w:r>
      <w:r>
        <w:rPr>
          <w:rFonts w:hint="eastAsia" w:ascii="Times New Roman" w:hAnsi="Times New Roman"/>
        </w:rPr>
        <w:t>Linear equations based on m</w:t>
      </w:r>
      <w:r>
        <w:rPr>
          <w:rFonts w:ascii="Times New Roman" w:hAnsi="Times New Roman"/>
        </w:rPr>
        <w:t>ICA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>analysis</w:t>
      </w:r>
      <w:r>
        <w:rPr>
          <w:rFonts w:hint="eastAsia" w:ascii="Times New Roman" w:hAnsi="Times New Roman"/>
        </w:rPr>
        <w:t xml:space="preserve"> for the </w:t>
      </w:r>
      <w:r>
        <w:rPr>
          <w:rFonts w:ascii="Times New Roman" w:hAnsi="Times New Roman"/>
          <w:color w:val="000000"/>
          <w:szCs w:val="21"/>
        </w:rPr>
        <w:t>nitrofuran metabolites</w:t>
      </w:r>
    </w:p>
    <w:tbl>
      <w:tblPr>
        <w:tblStyle w:val="5"/>
        <w:tblW w:w="5000" w:type="pct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>Analyte</w:t>
            </w:r>
          </w:p>
        </w:tc>
        <w:tc>
          <w:tcPr>
            <w:tcW w:w="1667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>Standard curve</w:t>
            </w:r>
          </w:p>
        </w:tc>
        <w:tc>
          <w:tcPr>
            <w:tcW w:w="1667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>R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  <w:vertAlign w:val="superscript"/>
              </w:rPr>
              <w:t>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Cs/>
                <w:color w:val="000000"/>
                <w:szCs w:val="21"/>
              </w:rPr>
              <w:t>AOZ</w:t>
            </w:r>
          </w:p>
        </w:tc>
        <w:tc>
          <w:tcPr>
            <w:tcW w:w="166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y</w:t>
            </w:r>
            <w:r>
              <w:rPr>
                <w:rFonts w:ascii="Times New Roman" w:hAnsi="Times New Roman"/>
                <w:color w:val="000000"/>
                <w:szCs w:val="21"/>
              </w:rPr>
              <w:t>=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- 0.350 logx + 0.636</w:t>
            </w:r>
          </w:p>
        </w:tc>
        <w:tc>
          <w:tcPr>
            <w:tcW w:w="1667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0.970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Cs/>
                <w:color w:val="000000"/>
                <w:szCs w:val="21"/>
              </w:rPr>
              <w:t>AHD</w:t>
            </w:r>
          </w:p>
        </w:tc>
        <w:tc>
          <w:tcPr>
            <w:tcW w:w="16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y</w:t>
            </w:r>
            <w:r>
              <w:rPr>
                <w:rFonts w:ascii="Times New Roman" w:hAnsi="Times New Roman"/>
                <w:color w:val="000000"/>
                <w:szCs w:val="21"/>
              </w:rPr>
              <w:t>=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- 0.247 logx + 0.478</w:t>
            </w:r>
          </w:p>
        </w:tc>
        <w:tc>
          <w:tcPr>
            <w:tcW w:w="1667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0.984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Cs/>
                <w:color w:val="000000"/>
                <w:szCs w:val="21"/>
              </w:rPr>
              <w:t>SEM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y</w:t>
            </w:r>
            <w:r>
              <w:rPr>
                <w:rFonts w:ascii="Times New Roman" w:hAnsi="Times New Roman"/>
                <w:color w:val="000000"/>
                <w:szCs w:val="21"/>
              </w:rPr>
              <w:t>=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- 0.182 logx + 0.377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0.979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bCs/>
                <w:color w:val="000000"/>
                <w:szCs w:val="21"/>
              </w:rPr>
              <w:t>AMOZ</w:t>
            </w:r>
          </w:p>
        </w:tc>
        <w:tc>
          <w:tcPr>
            <w:tcW w:w="1667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y</w:t>
            </w:r>
            <w:r>
              <w:rPr>
                <w:rFonts w:ascii="Times New Roman" w:hAnsi="Times New Roman"/>
                <w:color w:val="000000"/>
                <w:szCs w:val="21"/>
              </w:rPr>
              <w:t>=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0.164 logx + 0.333</w:t>
            </w:r>
          </w:p>
        </w:tc>
        <w:tc>
          <w:tcPr>
            <w:tcW w:w="1667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0.990</w:t>
            </w:r>
          </w:p>
        </w:tc>
      </w:tr>
    </w:tbl>
    <w:p>
      <w:pPr>
        <w:pStyle w:val="9"/>
        <w:ind w:firstLine="0" w:firstLineChars="0"/>
        <w:jc w:val="center"/>
        <w:rPr>
          <w:rFonts w:ascii="Times New Roman" w:hAnsi="Times New Roman"/>
          <w:b/>
          <w:szCs w:val="21"/>
        </w:rPr>
      </w:pPr>
    </w:p>
    <w:p>
      <w:pPr>
        <w:widowControl/>
        <w:jc w:val="left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br w:type="page"/>
      </w:r>
    </w:p>
    <w:p>
      <w:pPr>
        <w:pStyle w:val="9"/>
        <w:ind w:firstLine="0" w:firstLineChars="0"/>
        <w:jc w:val="center"/>
        <w:rPr>
          <w:rFonts w:ascii="Times New Roman" w:hAnsi="Times New Roman"/>
          <w:sz w:val="20"/>
          <w:szCs w:val="20"/>
        </w:rPr>
      </w:pPr>
      <w:r>
        <w:rPr>
          <w:rFonts w:hint="eastAsia" w:ascii="Times New Roman" w:hAnsi="Times New Roman"/>
          <w:b/>
          <w:szCs w:val="21"/>
        </w:rPr>
        <w:t>Table S</w:t>
      </w:r>
      <w:r>
        <w:rPr>
          <w:rFonts w:ascii="Times New Roman" w:hAnsi="Times New Roman"/>
          <w:b/>
          <w:szCs w:val="21"/>
        </w:rPr>
        <w:t>2</w:t>
      </w:r>
      <w:r>
        <w:rPr>
          <w:rFonts w:hint="eastAsia" w:ascii="Times New Roman" w:hAnsi="Times New Roman"/>
          <w:szCs w:val="21"/>
        </w:rPr>
        <w:t xml:space="preserve"> Assay performances comparison of the published </w:t>
      </w:r>
      <w:r>
        <w:rPr>
          <w:rFonts w:ascii="Times New Roman" w:hAnsi="Times New Roman"/>
          <w:szCs w:val="21"/>
        </w:rPr>
        <w:t>method</w:t>
      </w:r>
      <w:r>
        <w:rPr>
          <w:rFonts w:hint="eastAsia" w:ascii="Times New Roman" w:hAnsi="Times New Roman"/>
          <w:szCs w:val="21"/>
        </w:rPr>
        <w:t>s</w:t>
      </w:r>
    </w:p>
    <w:tbl>
      <w:tblPr>
        <w:tblStyle w:val="6"/>
        <w:tblW w:w="4437" w:type="pct"/>
        <w:jc w:val="center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1476"/>
        <w:gridCol w:w="2035"/>
        <w:gridCol w:w="1470"/>
        <w:gridCol w:w="1563"/>
      </w:tblGrid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" w:type="pct"/>
            <w:tcBorders>
              <w:top w:val="single" w:color="000000" w:themeColor="text1" w:sz="8" w:space="0"/>
              <w:left w:val="nil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vAlign w:val="center"/>
          </w:tcPr>
          <w:p>
            <w:pPr>
              <w:pStyle w:val="9"/>
              <w:spacing w:before="0" w:after="0" w:line="36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 w:themeColor="text1" w:themeShade="BF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 w:val="20"/>
                <w:szCs w:val="20"/>
              </w:rPr>
              <w:t>Analyte</w:t>
            </w:r>
            <w:r>
              <w:rPr>
                <w:rFonts w:ascii="Times New Roman" w:hAnsi="Times New Roman"/>
                <w:b w:val="0"/>
                <w:bCs/>
                <w:color w:val="auto"/>
                <w:kern w:val="0"/>
                <w:sz w:val="20"/>
                <w:szCs w:val="20"/>
              </w:rPr>
              <w:t>s</w:t>
            </w:r>
          </w:p>
        </w:tc>
        <w:tc>
          <w:tcPr>
            <w:tcW w:w="976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vAlign w:val="center"/>
          </w:tcPr>
          <w:p>
            <w:pPr>
              <w:pStyle w:val="9"/>
              <w:spacing w:before="0" w:after="0" w:line="36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 w:themeColor="text1" w:themeShade="BF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 w:val="20"/>
                <w:szCs w:val="20"/>
              </w:rPr>
              <w:t>Method</w:t>
            </w:r>
            <w:r>
              <w:rPr>
                <w:rFonts w:ascii="Times New Roman" w:hAnsi="Times New Roman"/>
                <w:b w:val="0"/>
                <w:bCs/>
                <w:color w:val="auto"/>
                <w:kern w:val="0"/>
                <w:sz w:val="20"/>
                <w:szCs w:val="20"/>
              </w:rPr>
              <w:t>s</w:t>
            </w:r>
          </w:p>
        </w:tc>
        <w:tc>
          <w:tcPr>
            <w:tcW w:w="1346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vAlign w:val="center"/>
          </w:tcPr>
          <w:p>
            <w:pPr>
              <w:pStyle w:val="9"/>
              <w:spacing w:before="0" w:after="0" w:line="360" w:lineRule="auto"/>
              <w:ind w:firstLine="0" w:firstLineChars="0"/>
              <w:jc w:val="center"/>
              <w:rPr>
                <w:rFonts w:ascii="Times New Roman" w:hAnsi="Times New Roman"/>
                <w:b w:val="0"/>
                <w:bCs w:val="0"/>
                <w:color w:val="000000" w:themeColor="text1" w:themeShade="BF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 w:themeShade="BF"/>
                <w:kern w:val="0"/>
                <w:sz w:val="20"/>
                <w:szCs w:val="20"/>
              </w:rPr>
              <w:t>Samples</w:t>
            </w:r>
          </w:p>
        </w:tc>
        <w:tc>
          <w:tcPr>
            <w:tcW w:w="972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vAlign w:val="center"/>
          </w:tcPr>
          <w:p>
            <w:pPr>
              <w:pStyle w:val="9"/>
              <w:spacing w:before="0" w:after="0" w:line="36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 w:themeColor="text1" w:themeShade="BF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 w:val="20"/>
                <w:szCs w:val="20"/>
              </w:rPr>
              <w:t>LOD</w:t>
            </w:r>
          </w:p>
        </w:tc>
        <w:tc>
          <w:tcPr>
            <w:tcW w:w="1034" w:type="pct"/>
            <w:tcBorders>
              <w:top w:val="single" w:color="000000" w:themeColor="text1" w:sz="8" w:space="0"/>
              <w:bottom w:val="single" w:color="000000" w:themeColor="text1" w:sz="8" w:space="0"/>
              <w:right w:val="nil"/>
              <w:insideH w:val="single" w:sz="8" w:space="0"/>
              <w:insideV w:val="nil"/>
            </w:tcBorders>
            <w:vAlign w:val="center"/>
          </w:tcPr>
          <w:p>
            <w:pPr>
              <w:pStyle w:val="9"/>
              <w:spacing w:before="0" w:after="0" w:line="360" w:lineRule="auto"/>
              <w:ind w:firstLine="0" w:firstLineChars="0"/>
              <w:jc w:val="center"/>
              <w:rPr>
                <w:rFonts w:ascii="Times New Roman" w:hAnsi="Times New Roman"/>
                <w:b w:val="0"/>
                <w:bCs w:val="0"/>
                <w:color w:val="000000" w:themeColor="text1" w:themeShade="BF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 w:themeColor="text1" w:themeShade="BF"/>
                <w:kern w:val="0"/>
                <w:sz w:val="20"/>
                <w:szCs w:val="20"/>
              </w:rPr>
              <w:t>Reference</w:t>
            </w:r>
            <w:r>
              <w:rPr>
                <w:rFonts w:ascii="Times New Roman" w:hAnsi="Times New Roman"/>
                <w:b w:val="0"/>
                <w:bCs/>
                <w:color w:val="000000" w:themeColor="text1" w:themeShade="BF"/>
                <w:kern w:val="0"/>
                <w:sz w:val="20"/>
                <w:szCs w:val="20"/>
              </w:rPr>
              <w:t>s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 w:val="20"/>
                <w:szCs w:val="21"/>
              </w:rPr>
              <w:t>AHD</w:t>
            </w:r>
          </w:p>
        </w:tc>
        <w:tc>
          <w:tcPr>
            <w:tcW w:w="97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SERS</w:t>
            </w:r>
          </w:p>
        </w:tc>
        <w:tc>
          <w:tcPr>
            <w:tcW w:w="134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Sea cucumber</w:t>
            </w:r>
          </w:p>
        </w:tc>
        <w:tc>
          <w:tcPr>
            <w:tcW w:w="97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 xml:space="preserve">5 </w:t>
            </w:r>
            <w:r>
              <w:rPr>
                <w:rFonts w:hint="eastAsia"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ng/g</w:t>
            </w:r>
          </w:p>
        </w:tc>
        <w:tc>
          <w:tcPr>
            <w:tcW w:w="103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Fan et al., 2021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 w:themeShade="BF"/>
                <w:kern w:val="0"/>
                <w:sz w:val="20"/>
                <w:szCs w:val="21"/>
              </w:rPr>
              <w:t>AHD</w:t>
            </w:r>
          </w:p>
        </w:tc>
        <w:tc>
          <w:tcPr>
            <w:tcW w:w="97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ELISA</w:t>
            </w:r>
          </w:p>
        </w:tc>
        <w:tc>
          <w:tcPr>
            <w:tcW w:w="134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Water</w:t>
            </w:r>
          </w:p>
        </w:tc>
        <w:tc>
          <w:tcPr>
            <w:tcW w:w="97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0.2 ppb</w:t>
            </w:r>
          </w:p>
        </w:tc>
        <w:tc>
          <w:tcPr>
            <w:tcW w:w="1034" w:type="pct"/>
            <w:vAlign w:val="center"/>
          </w:tcPr>
          <w:p>
            <w:pPr>
              <w:widowControl/>
              <w:jc w:val="center"/>
              <w:rPr>
                <w:color w:val="000000" w:themeColor="text1" w:themeShade="BF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Liu et al., 2007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 w:themeShade="BF"/>
                <w:kern w:val="0"/>
                <w:sz w:val="20"/>
                <w:szCs w:val="21"/>
              </w:rPr>
              <w:t>AOZ</w:t>
            </w:r>
          </w:p>
        </w:tc>
        <w:tc>
          <w:tcPr>
            <w:tcW w:w="97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 xml:space="preserve">Immunoassay </w:t>
            </w:r>
          </w:p>
        </w:tc>
        <w:tc>
          <w:tcPr>
            <w:tcW w:w="134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M</w:t>
            </w:r>
            <w:r>
              <w:rPr>
                <w:rFonts w:hint="eastAsia"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il</w:t>
            </w: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k powder</w:t>
            </w:r>
            <w:r>
              <w:rPr>
                <w:rFonts w:hint="eastAsia"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/</w:t>
            </w: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S</w:t>
            </w:r>
            <w:r>
              <w:rPr>
                <w:rFonts w:hint="eastAsia"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hrimp</w:t>
            </w:r>
          </w:p>
        </w:tc>
        <w:tc>
          <w:tcPr>
            <w:tcW w:w="97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0.43 ng/mL</w:t>
            </w:r>
          </w:p>
        </w:tc>
        <w:tc>
          <w:tcPr>
            <w:tcW w:w="10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Su et al., 2021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 w:themeShade="BF"/>
                <w:kern w:val="0"/>
                <w:sz w:val="20"/>
                <w:szCs w:val="21"/>
              </w:rPr>
              <w:t>AMOZ</w:t>
            </w:r>
          </w:p>
        </w:tc>
        <w:tc>
          <w:tcPr>
            <w:tcW w:w="97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ELISA</w:t>
            </w:r>
          </w:p>
        </w:tc>
        <w:tc>
          <w:tcPr>
            <w:tcW w:w="134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Shrimps</w:t>
            </w:r>
          </w:p>
        </w:tc>
        <w:tc>
          <w:tcPr>
            <w:tcW w:w="97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 xml:space="preserve">0.16 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μg/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1"/>
              </w:rPr>
              <w:t>kg</w:t>
            </w:r>
          </w:p>
        </w:tc>
        <w:tc>
          <w:tcPr>
            <w:tcW w:w="10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bookmarkStart w:id="0" w:name="baep-author-id4"/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fldChar w:fldCharType="begin"/>
            </w: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instrText xml:space="preserve"> HYPERLINK "https://www.sciencedirect.com/science/article/abs/pii/S030881460900329X" \l "!" </w:instrText>
            </w: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fldChar w:fldCharType="separate"/>
            </w: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0"/>
              </w:rPr>
              <w:t>Pimpitak</w:t>
            </w: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fldChar w:fldCharType="end"/>
            </w:r>
            <w:bookmarkEnd w:id="0"/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 xml:space="preserve"> et al., 2009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 w:themeShade="BF"/>
                <w:kern w:val="0"/>
                <w:sz w:val="20"/>
                <w:szCs w:val="21"/>
              </w:rPr>
              <w:t>AMOZ</w:t>
            </w:r>
          </w:p>
        </w:tc>
        <w:tc>
          <w:tcPr>
            <w:tcW w:w="97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I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mmunosensor</w:t>
            </w:r>
          </w:p>
        </w:tc>
        <w:tc>
          <w:tcPr>
            <w:tcW w:w="134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Food samples</w:t>
            </w:r>
          </w:p>
        </w:tc>
        <w:tc>
          <w:tcPr>
            <w:tcW w:w="97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1 ng/mL</w:t>
            </w:r>
          </w:p>
        </w:tc>
        <w:tc>
          <w:tcPr>
            <w:tcW w:w="103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fldChar w:fldCharType="begin"/>
            </w:r>
            <w:r>
              <w:instrText xml:space="preserve"> HYPERLINK "https://www.sciencedirect.com/science/article/abs/pii/S030881460900329X" \l "!"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0"/>
              </w:rPr>
              <w:t>Jin</w:t>
            </w: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 xml:space="preserve"> et al., 2011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 w:themeShade="BF"/>
                <w:kern w:val="0"/>
                <w:sz w:val="20"/>
                <w:szCs w:val="21"/>
              </w:rPr>
              <w:t>SEM</w:t>
            </w:r>
          </w:p>
        </w:tc>
        <w:tc>
          <w:tcPr>
            <w:tcW w:w="97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HPLC</w:t>
            </w:r>
          </w:p>
        </w:tc>
        <w:tc>
          <w:tcPr>
            <w:tcW w:w="1346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Food matrices</w:t>
            </w:r>
          </w:p>
        </w:tc>
        <w:tc>
          <w:tcPr>
            <w:tcW w:w="97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 xml:space="preserve">0.4 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μg/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1"/>
              </w:rPr>
              <w:t>kg</w:t>
            </w:r>
          </w:p>
        </w:tc>
        <w:tc>
          <w:tcPr>
            <w:tcW w:w="1034" w:type="pct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Li et al., 2014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kern w:val="2"/>
                <w:sz w:val="20"/>
                <w:szCs w:val="21"/>
              </w:rPr>
              <w:t>AOZ</w:t>
            </w:r>
          </w:p>
        </w:tc>
        <w:tc>
          <w:tcPr>
            <w:tcW w:w="976" w:type="pct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1"/>
              </w:rPr>
              <w:t>Multiplex ICA</w:t>
            </w:r>
          </w:p>
        </w:tc>
        <w:tc>
          <w:tcPr>
            <w:tcW w:w="1346" w:type="pct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  <w:t>Red drum/Grass carp/Shrimp/ Scallop</w:t>
            </w:r>
          </w:p>
        </w:tc>
        <w:tc>
          <w:tcPr>
            <w:tcW w:w="97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0.198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1"/>
              </w:rPr>
              <w:t xml:space="preserve"> ng/mL</w:t>
            </w:r>
          </w:p>
        </w:tc>
        <w:tc>
          <w:tcPr>
            <w:tcW w:w="1034" w:type="pct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color w:val="000000" w:themeColor="text1" w:themeShade="BF"/>
                <w:kern w:val="2"/>
                <w:sz w:val="18"/>
                <w:szCs w:val="18"/>
              </w:rPr>
              <w:t>T</w:t>
            </w:r>
            <w:r>
              <w:rPr>
                <w:rFonts w:hint="eastAsia" w:ascii="Times New Roman" w:hAnsi="Times New Roman"/>
                <w:color w:val="000000" w:themeColor="text1" w:themeShade="BF"/>
                <w:kern w:val="2"/>
                <w:sz w:val="18"/>
                <w:szCs w:val="18"/>
              </w:rPr>
              <w:t>his work</w:t>
            </w: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 w:val="20"/>
                <w:szCs w:val="21"/>
              </w:rPr>
              <w:t>AHD</w:t>
            </w:r>
          </w:p>
        </w:tc>
        <w:tc>
          <w:tcPr>
            <w:tcW w:w="976" w:type="pct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</w:p>
        </w:tc>
        <w:tc>
          <w:tcPr>
            <w:tcW w:w="1346" w:type="pct"/>
            <w:vMerge w:val="continue"/>
            <w:tcBorders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</w:p>
        </w:tc>
        <w:tc>
          <w:tcPr>
            <w:tcW w:w="97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1"/>
              </w:rPr>
              <w:t>0.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138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1"/>
              </w:rPr>
              <w:t xml:space="preserve"> ng/mL</w:t>
            </w:r>
          </w:p>
        </w:tc>
        <w:tc>
          <w:tcPr>
            <w:tcW w:w="1034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 w:val="20"/>
                <w:szCs w:val="21"/>
              </w:rPr>
              <w:t>SEM</w:t>
            </w:r>
          </w:p>
        </w:tc>
        <w:tc>
          <w:tcPr>
            <w:tcW w:w="976" w:type="pct"/>
            <w:vMerge w:val="continue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</w:p>
        </w:tc>
        <w:tc>
          <w:tcPr>
            <w:tcW w:w="1346" w:type="pct"/>
            <w:vMerge w:val="continue"/>
            <w:tcBorders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</w:p>
        </w:tc>
        <w:tc>
          <w:tcPr>
            <w:tcW w:w="97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1"/>
              </w:rPr>
              <w:t>0.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071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1"/>
              </w:rPr>
              <w:t xml:space="preserve"> ng/mL</w:t>
            </w:r>
          </w:p>
        </w:tc>
        <w:tc>
          <w:tcPr>
            <w:tcW w:w="1034" w:type="pct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b w:val="0"/>
                <w:bCs/>
                <w:color w:val="auto"/>
                <w:kern w:val="0"/>
                <w:sz w:val="20"/>
                <w:szCs w:val="21"/>
              </w:rPr>
              <w:t>AMOZ</w:t>
            </w:r>
          </w:p>
        </w:tc>
        <w:tc>
          <w:tcPr>
            <w:tcW w:w="976" w:type="pct"/>
            <w:vMerge w:val="continue"/>
            <w:tcBorders>
              <w:top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</w:p>
        </w:tc>
        <w:tc>
          <w:tcPr>
            <w:tcW w:w="1346" w:type="pct"/>
            <w:vMerge w:val="continue"/>
            <w:tcBorders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</w:p>
        </w:tc>
        <w:tc>
          <w:tcPr>
            <w:tcW w:w="972" w:type="pct"/>
            <w:tcBorders>
              <w:top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1"/>
              </w:rPr>
              <w:t>0.</w:t>
            </w:r>
            <w:r>
              <w:rPr>
                <w:rFonts w:ascii="Times New Roman" w:hAnsi="Times New Roman"/>
                <w:color w:val="auto"/>
                <w:kern w:val="0"/>
                <w:sz w:val="20"/>
                <w:szCs w:val="21"/>
              </w:rPr>
              <w:t>157</w:t>
            </w:r>
            <w:r>
              <w:rPr>
                <w:rFonts w:hint="eastAsia" w:ascii="Times New Roman" w:hAnsi="Times New Roman"/>
                <w:color w:val="auto"/>
                <w:kern w:val="0"/>
                <w:sz w:val="20"/>
                <w:szCs w:val="21"/>
              </w:rPr>
              <w:t xml:space="preserve"> ng/mL</w:t>
            </w:r>
          </w:p>
        </w:tc>
        <w:tc>
          <w:tcPr>
            <w:tcW w:w="1034" w:type="pct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 w:themeColor="text1" w:themeShade="BF"/>
                <w:kern w:val="0"/>
                <w:sz w:val="20"/>
                <w:szCs w:val="21"/>
              </w:rPr>
            </w:pPr>
          </w:p>
        </w:tc>
      </w:tr>
    </w:tbl>
    <w:p>
      <w:pPr>
        <w:spacing w:line="480" w:lineRule="auto"/>
        <w:jc w:val="center"/>
        <w:rPr>
          <w:rFonts w:ascii="Times New Roman" w:hAnsi="Times New Roman"/>
          <w:szCs w:val="21"/>
        </w:rPr>
      </w:pPr>
    </w:p>
    <w:p>
      <w:pPr>
        <w:widowControl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br w:type="page"/>
      </w:r>
    </w:p>
    <w:p>
      <w:pPr>
        <w:spacing w:line="480" w:lineRule="auto"/>
        <w:jc w:val="center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b/>
          <w:szCs w:val="21"/>
        </w:rPr>
        <w:t>Table S</w:t>
      </w:r>
      <w:r>
        <w:rPr>
          <w:rFonts w:ascii="Times New Roman" w:hAnsi="Times New Roman"/>
          <w:b/>
          <w:szCs w:val="21"/>
        </w:rPr>
        <w:t>3</w:t>
      </w:r>
      <w:r>
        <w:rPr>
          <w:rFonts w:hint="eastAsia" w:ascii="Times New Roman" w:hAnsi="Times New Roman"/>
          <w:szCs w:val="21"/>
        </w:rPr>
        <w:t xml:space="preserve"> Recoveries of QB-based mICA strip for the detection of </w:t>
      </w:r>
      <w:r>
        <w:rPr>
          <w:rFonts w:ascii="Times New Roman" w:hAnsi="Times New Roman"/>
          <w:szCs w:val="21"/>
        </w:rPr>
        <w:t>nitrofuran metabolites</w:t>
      </w:r>
    </w:p>
    <w:tbl>
      <w:tblPr>
        <w:tblStyle w:val="5"/>
        <w:tblW w:w="5000" w:type="pct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914"/>
        <w:gridCol w:w="1986"/>
        <w:gridCol w:w="1842"/>
        <w:gridCol w:w="1468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pStyle w:val="9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Sample</w:t>
            </w:r>
          </w:p>
        </w:tc>
        <w:tc>
          <w:tcPr>
            <w:tcW w:w="1123" w:type="pct"/>
            <w:tcBorders>
              <w:top w:val="single" w:color="000000" w:sz="8" w:space="0"/>
              <w:bottom w:val="nil"/>
            </w:tcBorders>
            <w:shd w:val="clear" w:color="auto" w:fill="auto"/>
          </w:tcPr>
          <w:p>
            <w:pPr>
              <w:pStyle w:val="9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Spiked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(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>n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g/mL)</w:t>
            </w:r>
          </w:p>
        </w:tc>
        <w:tc>
          <w:tcPr>
            <w:tcW w:w="1165" w:type="pct"/>
            <w:tcBorders>
              <w:top w:val="single" w:color="000000" w:sz="8" w:space="0"/>
            </w:tcBorders>
            <w:shd w:val="clear" w:color="auto" w:fill="auto"/>
          </w:tcPr>
          <w:p>
            <w:pPr>
              <w:pStyle w:val="9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Measured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 xml:space="preserve"> (n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g/mL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081" w:type="pct"/>
            <w:tcBorders>
              <w:top w:val="single" w:color="000000" w:sz="8" w:space="0"/>
              <w:bottom w:val="nil"/>
            </w:tcBorders>
            <w:shd w:val="clear" w:color="auto" w:fill="auto"/>
          </w:tcPr>
          <w:p>
            <w:pPr>
              <w:pStyle w:val="9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Recovery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 xml:space="preserve"> (%)</w:t>
            </w:r>
          </w:p>
        </w:tc>
        <w:tc>
          <w:tcPr>
            <w:tcW w:w="861" w:type="pct"/>
            <w:tcBorders>
              <w:top w:val="single" w:color="000000" w:sz="8" w:space="0"/>
            </w:tcBorders>
            <w:shd w:val="clear" w:color="auto" w:fill="auto"/>
          </w:tcPr>
          <w:p>
            <w:pPr>
              <w:pStyle w:val="9"/>
              <w:ind w:firstLine="0" w:firstLineChars="0"/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RSD</w:t>
            </w:r>
            <w:r>
              <w:rPr>
                <w:rFonts w:hint="eastAsia" w:ascii="Times New Roman" w:hAnsi="Times New Roman"/>
                <w:b/>
                <w:bCs/>
                <w:color w:val="000000"/>
                <w:szCs w:val="21"/>
              </w:rPr>
              <w:t xml:space="preserve"> (%)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pct"/>
            <w:vMerge w:val="restar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/>
                <w:sz w:val="20"/>
                <w:szCs w:val="21"/>
              </w:rPr>
              <w:t>AOZ</w:t>
            </w:r>
          </w:p>
        </w:tc>
        <w:tc>
          <w:tcPr>
            <w:tcW w:w="112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0.5</w:t>
            </w:r>
          </w:p>
        </w:tc>
        <w:tc>
          <w:tcPr>
            <w:tcW w:w="1165" w:type="pct"/>
            <w:tcBorders>
              <w:top w:val="single" w:color="000000" w:sz="8" w:space="0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0.43</w:t>
            </w:r>
          </w:p>
        </w:tc>
        <w:tc>
          <w:tcPr>
            <w:tcW w:w="1081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86.2</w:t>
            </w:r>
          </w:p>
        </w:tc>
        <w:tc>
          <w:tcPr>
            <w:tcW w:w="861" w:type="pct"/>
            <w:tcBorders>
              <w:top w:val="single" w:color="000000" w:sz="8" w:space="0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5.86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pct"/>
            <w:vMerge w:val="continue"/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112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5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4.67</w:t>
            </w:r>
          </w:p>
        </w:tc>
        <w:tc>
          <w:tcPr>
            <w:tcW w:w="108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93.3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0.49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50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40.99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82.0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8.84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pct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/>
                <w:sz w:val="20"/>
                <w:szCs w:val="21"/>
              </w:rPr>
              <w:t>AHD</w:t>
            </w:r>
          </w:p>
        </w:tc>
        <w:tc>
          <w:tcPr>
            <w:tcW w:w="112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0.5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0.44</w:t>
            </w:r>
          </w:p>
        </w:tc>
        <w:tc>
          <w:tcPr>
            <w:tcW w:w="108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88.6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6.71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5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4.61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92.2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3.84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112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50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42.12</w:t>
            </w:r>
          </w:p>
        </w:tc>
        <w:tc>
          <w:tcPr>
            <w:tcW w:w="108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84.2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9.33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/>
                <w:sz w:val="20"/>
                <w:szCs w:val="21"/>
              </w:rPr>
              <w:t>SEM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0.5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0.46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92.0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3.69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pct"/>
            <w:vMerge w:val="continue"/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112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5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4.44</w:t>
            </w:r>
          </w:p>
        </w:tc>
        <w:tc>
          <w:tcPr>
            <w:tcW w:w="108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88.7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1.21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50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42.43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84.9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5.64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/>
                <w:sz w:val="20"/>
                <w:szCs w:val="21"/>
              </w:rPr>
              <w:t>AMOZ</w:t>
            </w:r>
          </w:p>
        </w:tc>
        <w:tc>
          <w:tcPr>
            <w:tcW w:w="112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0.5</w:t>
            </w:r>
          </w:p>
        </w:tc>
        <w:tc>
          <w:tcPr>
            <w:tcW w:w="1165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0.46</w:t>
            </w:r>
          </w:p>
        </w:tc>
        <w:tc>
          <w:tcPr>
            <w:tcW w:w="108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91.9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7.52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pct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5</w:t>
            </w:r>
          </w:p>
        </w:tc>
        <w:tc>
          <w:tcPr>
            <w:tcW w:w="11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4.52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90.3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2.13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0" w:type="pct"/>
            <w:vMerge w:val="continue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1123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50</w:t>
            </w:r>
          </w:p>
        </w:tc>
        <w:tc>
          <w:tcPr>
            <w:tcW w:w="1165" w:type="pct"/>
            <w:tcBorders>
              <w:top w:val="nil"/>
              <w:bottom w:val="single" w:color="000000" w:sz="8" w:space="0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46.49</w:t>
            </w:r>
          </w:p>
        </w:tc>
        <w:tc>
          <w:tcPr>
            <w:tcW w:w="1081" w:type="pct"/>
            <w:tcBorders>
              <w:top w:val="nil"/>
              <w:bottom w:val="single" w:color="000000" w:sz="8" w:space="0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93.0</w:t>
            </w:r>
          </w:p>
        </w:tc>
        <w:tc>
          <w:tcPr>
            <w:tcW w:w="861" w:type="pct"/>
            <w:tcBorders>
              <w:top w:val="nil"/>
              <w:bottom w:val="single" w:color="000000" w:sz="8" w:space="0"/>
            </w:tcBorders>
            <w:shd w:val="clear" w:color="auto" w:fill="auto"/>
            <w:vAlign w:val="bottom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hint="eastAsia" w:ascii="Times New Roman" w:hAnsi="Times New Roman"/>
                <w:sz w:val="20"/>
                <w:szCs w:val="21"/>
              </w:rPr>
              <w:t>5.40</w:t>
            </w:r>
          </w:p>
        </w:tc>
      </w:tr>
    </w:tbl>
    <w:p/>
    <w:p>
      <w:pPr>
        <w:widowControl/>
        <w:jc w:val="left"/>
      </w:pPr>
      <w:r>
        <w:br w:type="page"/>
      </w:r>
    </w:p>
    <w:p>
      <w:pPr>
        <w:spacing w:line="480" w:lineRule="auto"/>
        <w:jc w:val="left"/>
        <w:rPr>
          <w:rFonts w:ascii="Times New Roman" w:hAnsi="Times New Roman"/>
          <w:b/>
          <w:szCs w:val="21"/>
        </w:rPr>
      </w:pPr>
      <w:r>
        <w:rPr>
          <w:rFonts w:hint="eastAsia" w:ascii="Times New Roman" w:hAnsi="Times New Roman"/>
          <w:b/>
          <w:szCs w:val="21"/>
        </w:rPr>
        <w:t>Table S</w:t>
      </w:r>
      <w:r>
        <w:rPr>
          <w:rFonts w:ascii="Times New Roman" w:hAnsi="Times New Roman"/>
          <w:b/>
          <w:szCs w:val="21"/>
        </w:rPr>
        <w:t>4</w:t>
      </w:r>
      <w:r>
        <w:rPr>
          <w:rFonts w:hint="eastAsia" w:ascii="Times New Roman" w:hAnsi="Times New Roman"/>
          <w:b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Application </w:t>
      </w:r>
      <w:r>
        <w:rPr>
          <w:rFonts w:hint="eastAsia" w:ascii="Times New Roman" w:hAnsi="Times New Roman"/>
          <w:szCs w:val="21"/>
        </w:rPr>
        <w:t xml:space="preserve">of QB-based mICA strip </w:t>
      </w:r>
      <w:r>
        <w:rPr>
          <w:rFonts w:ascii="Times New Roman" w:hAnsi="Times New Roman"/>
          <w:szCs w:val="21"/>
        </w:rPr>
        <w:t>to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detect</w:t>
      </w:r>
      <w:r>
        <w:rPr>
          <w:rFonts w:hint="eastAsia" w:ascii="Times New Roman" w:hAnsi="Times New Roman"/>
          <w:szCs w:val="21"/>
        </w:rPr>
        <w:t xml:space="preserve"> nitrofuran </w:t>
      </w:r>
      <w:r>
        <w:rPr>
          <w:rFonts w:ascii="Times New Roman" w:hAnsi="Times New Roman"/>
          <w:sz w:val="20"/>
          <w:szCs w:val="21"/>
        </w:rPr>
        <w:t>metabolites</w:t>
      </w:r>
      <w:r>
        <w:rPr>
          <w:rFonts w:hint="eastAsia" w:ascii="Times New Roman" w:hAnsi="Times New Roman"/>
          <w:szCs w:val="21"/>
        </w:rPr>
        <w:t xml:space="preserve"> in different samples</w:t>
      </w:r>
    </w:p>
    <w:tbl>
      <w:tblPr>
        <w:tblStyle w:val="5"/>
        <w:tblW w:w="5000" w:type="pct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16"/>
        <w:gridCol w:w="832"/>
        <w:gridCol w:w="1014"/>
        <w:gridCol w:w="833"/>
        <w:gridCol w:w="1014"/>
        <w:gridCol w:w="738"/>
        <w:gridCol w:w="1016"/>
        <w:gridCol w:w="646"/>
        <w:gridCol w:w="765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80" w:type="pct"/>
            <w:vMerge w:val="restar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12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pacing w:val="-12"/>
                <w:sz w:val="16"/>
                <w:szCs w:val="16"/>
              </w:rPr>
              <w:t>sample</w:t>
            </w:r>
          </w:p>
        </w:tc>
        <w:tc>
          <w:tcPr>
            <w:tcW w:w="1084" w:type="pct"/>
            <w:gridSpan w:val="2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6"/>
                <w:szCs w:val="16"/>
              </w:rPr>
              <w:t>AOZ</w:t>
            </w:r>
          </w:p>
        </w:tc>
        <w:tc>
          <w:tcPr>
            <w:tcW w:w="1084" w:type="pct"/>
            <w:gridSpan w:val="2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6"/>
                <w:szCs w:val="16"/>
              </w:rPr>
              <w:t>AHD</w:t>
            </w:r>
          </w:p>
        </w:tc>
        <w:tc>
          <w:tcPr>
            <w:tcW w:w="1028" w:type="pct"/>
            <w:gridSpan w:val="2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6"/>
                <w:szCs w:val="16"/>
              </w:rPr>
              <w:t>SEM</w:t>
            </w:r>
          </w:p>
        </w:tc>
        <w:tc>
          <w:tcPr>
            <w:tcW w:w="975" w:type="pct"/>
            <w:gridSpan w:val="2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6"/>
                <w:szCs w:val="16"/>
              </w:rPr>
              <w:t>AMOZ</w:t>
            </w:r>
          </w:p>
        </w:tc>
        <w:tc>
          <w:tcPr>
            <w:tcW w:w="449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380" w:type="pct"/>
            <w:vMerge w:val="continue"/>
            <w:tcBorders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Spiked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（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μ</w:t>
            </w: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g/kg）</w:t>
            </w:r>
          </w:p>
        </w:tc>
        <w:tc>
          <w:tcPr>
            <w:tcW w:w="488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mICA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Spiked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（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μ</w:t>
            </w: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g/kg）</w:t>
            </w:r>
          </w:p>
        </w:tc>
        <w:tc>
          <w:tcPr>
            <w:tcW w:w="489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mICA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Spiked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（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μ</w:t>
            </w: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g/kg）</w:t>
            </w:r>
          </w:p>
        </w:tc>
        <w:tc>
          <w:tcPr>
            <w:tcW w:w="433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mICA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Spiked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（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μ</w:t>
            </w: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g/kg）</w:t>
            </w:r>
          </w:p>
        </w:tc>
        <w:tc>
          <w:tcPr>
            <w:tcW w:w="379" w:type="pct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mICA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mICA</w:t>
            </w:r>
          </w:p>
          <w:p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color w:val="000000"/>
                <w:sz w:val="16"/>
                <w:szCs w:val="16"/>
              </w:rPr>
              <w:t>images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80" w:type="pct"/>
            <w:vMerge w:val="restar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bCs/>
                <w:color w:val="000000"/>
                <w:sz w:val="16"/>
                <w:szCs w:val="16"/>
              </w:rPr>
              <w:t>Red drum</w:t>
            </w:r>
          </w:p>
        </w:tc>
        <w:tc>
          <w:tcPr>
            <w:tcW w:w="596" w:type="pct"/>
            <w:tcBorders>
              <w:top w:val="single" w:color="000000" w:sz="8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88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95" w:type="pct"/>
            <w:tcBorders>
              <w:top w:val="single" w:color="000000" w:sz="8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89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</w:p>
        </w:tc>
        <w:tc>
          <w:tcPr>
            <w:tcW w:w="595" w:type="pct"/>
            <w:tcBorders>
              <w:top w:val="single" w:color="000000" w:sz="8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33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</w:p>
        </w:tc>
        <w:tc>
          <w:tcPr>
            <w:tcW w:w="596" w:type="pct"/>
            <w:tcBorders>
              <w:top w:val="single" w:color="000000" w:sz="8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379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</w:p>
        </w:tc>
        <w:tc>
          <w:tcPr>
            <w:tcW w:w="449" w:type="pct"/>
            <w:vMerge w:val="restart"/>
            <w:tcBorders>
              <w:top w:val="single" w:color="000000" w:sz="8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drawing>
                <wp:inline distT="0" distB="0" distL="0" distR="0">
                  <wp:extent cx="390525" cy="466725"/>
                  <wp:effectExtent l="0" t="0" r="9525" b="952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380" w:type="pct"/>
            <w:vMerge w:val="continue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8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9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3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9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449" w:type="pct"/>
            <w:vMerge w:val="continue"/>
            <w:tcBorders>
              <w:left w:val="nil"/>
              <w:bottom w:val="nil"/>
              <w:right w:val="nil"/>
            </w:tcBorders>
            <w:shd w:val="clear" w:color="auto" w:fill="C0C0C0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380" w:type="pct"/>
            <w:vMerge w:val="continue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88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宋体" w:hAnsi="宋体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595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89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5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33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6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79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</w:p>
        </w:tc>
        <w:tc>
          <w:tcPr>
            <w:tcW w:w="449" w:type="pct"/>
            <w:vMerge w:val="continue"/>
            <w:tcBorders>
              <w:bottom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80" w:type="pct"/>
            <w:vMerge w:val="restar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Grass </w:t>
            </w:r>
            <w:r>
              <w:rPr>
                <w:rFonts w:hint="eastAsia" w:ascii="Times New Roman" w:hAnsi="Times New Roman"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arp</w:t>
            </w:r>
          </w:p>
        </w:tc>
        <w:tc>
          <w:tcPr>
            <w:tcW w:w="59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88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</w:p>
        </w:tc>
        <w:tc>
          <w:tcPr>
            <w:tcW w:w="59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89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</w:p>
        </w:tc>
        <w:tc>
          <w:tcPr>
            <w:tcW w:w="59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33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</w:p>
        </w:tc>
        <w:tc>
          <w:tcPr>
            <w:tcW w:w="59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379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</w:p>
        </w:tc>
        <w:tc>
          <w:tcPr>
            <w:tcW w:w="449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drawing>
                <wp:inline distT="0" distB="0" distL="0" distR="0">
                  <wp:extent cx="390525" cy="466725"/>
                  <wp:effectExtent l="0" t="0" r="9525" b="952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380" w:type="pct"/>
            <w:vMerge w:val="continue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8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9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3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59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9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449" w:type="pct"/>
            <w:vMerge w:val="continue"/>
            <w:tcBorders>
              <w:top w:val="nil"/>
              <w:bottom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380" w:type="pct"/>
            <w:vMerge w:val="continue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88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89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33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79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</w:p>
        </w:tc>
        <w:tc>
          <w:tcPr>
            <w:tcW w:w="449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80" w:type="pct"/>
            <w:vMerge w:val="restar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12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/>
                <w:spacing w:val="-12"/>
                <w:sz w:val="16"/>
                <w:szCs w:val="16"/>
              </w:rPr>
              <w:t>shrimp</w:t>
            </w:r>
          </w:p>
        </w:tc>
        <w:tc>
          <w:tcPr>
            <w:tcW w:w="596" w:type="pct"/>
            <w:tcBorders>
              <w:top w:val="single" w:color="000000" w:sz="8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88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</w:p>
        </w:tc>
        <w:tc>
          <w:tcPr>
            <w:tcW w:w="595" w:type="pct"/>
            <w:tcBorders>
              <w:top w:val="single" w:color="000000" w:sz="8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89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</w:p>
        </w:tc>
        <w:tc>
          <w:tcPr>
            <w:tcW w:w="595" w:type="pct"/>
            <w:tcBorders>
              <w:top w:val="single" w:color="000000" w:sz="8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33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</w:p>
        </w:tc>
        <w:tc>
          <w:tcPr>
            <w:tcW w:w="596" w:type="pct"/>
            <w:tcBorders>
              <w:top w:val="single" w:color="000000" w:sz="8" w:space="0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379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</w:p>
        </w:tc>
        <w:tc>
          <w:tcPr>
            <w:tcW w:w="449" w:type="pct"/>
            <w:vMerge w:val="restart"/>
            <w:tcBorders>
              <w:top w:val="single" w:color="000000" w:sz="8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drawing>
                <wp:inline distT="0" distB="0" distL="0" distR="0">
                  <wp:extent cx="419100" cy="466725"/>
                  <wp:effectExtent l="0" t="0" r="0" b="952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380" w:type="pct"/>
            <w:vMerge w:val="continue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8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9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3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9" w:type="pct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449" w:type="pct"/>
            <w:vMerge w:val="continue"/>
            <w:tcBorders>
              <w:left w:val="nil"/>
              <w:bottom w:val="nil"/>
              <w:right w:val="nil"/>
            </w:tcBorders>
            <w:shd w:val="clear" w:color="auto" w:fill="C0C0C0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380" w:type="pct"/>
            <w:vMerge w:val="continue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88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5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89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5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33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6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79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</w:p>
        </w:tc>
        <w:tc>
          <w:tcPr>
            <w:tcW w:w="449" w:type="pct"/>
            <w:vMerge w:val="continue"/>
            <w:tcBorders>
              <w:bottom w:val="single" w:color="000000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380" w:type="pct"/>
            <w:vMerge w:val="restar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pacing w:val="-12"/>
                <w:sz w:val="16"/>
                <w:szCs w:val="16"/>
              </w:rPr>
            </w:pPr>
            <w:r>
              <w:rPr>
                <w:rFonts w:hint="eastAsia" w:ascii="Times New Roman" w:hAnsi="Times New Roman"/>
                <w:bCs/>
                <w:color w:val="000000"/>
                <w:spacing w:val="-12"/>
                <w:sz w:val="16"/>
                <w:szCs w:val="16"/>
              </w:rPr>
              <w:t>scallop</w:t>
            </w:r>
          </w:p>
        </w:tc>
        <w:tc>
          <w:tcPr>
            <w:tcW w:w="59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88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</w:p>
        </w:tc>
        <w:tc>
          <w:tcPr>
            <w:tcW w:w="59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89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</w:p>
        </w:tc>
        <w:tc>
          <w:tcPr>
            <w:tcW w:w="59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433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</w:p>
        </w:tc>
        <w:tc>
          <w:tcPr>
            <w:tcW w:w="59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379" w:type="pct"/>
            <w:tcBorders>
              <w:top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+,+,+</w:t>
            </w:r>
          </w:p>
        </w:tc>
        <w:tc>
          <w:tcPr>
            <w:tcW w:w="449" w:type="pct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drawing>
                <wp:inline distT="0" distB="0" distL="0" distR="0">
                  <wp:extent cx="419100" cy="466725"/>
                  <wp:effectExtent l="0" t="0" r="0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380" w:type="pct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color w:val="000000"/>
                <w:szCs w:val="21"/>
              </w:rPr>
            </w:pPr>
          </w:p>
        </w:tc>
        <w:tc>
          <w:tcPr>
            <w:tcW w:w="59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3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59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±</w:t>
            </w:r>
          </w:p>
        </w:tc>
        <w:tc>
          <w:tcPr>
            <w:tcW w:w="449" w:type="pct"/>
            <w:vMerge w:val="continue"/>
            <w:tcBorders>
              <w:top w:val="nil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380" w:type="pct"/>
            <w:vMerge w:val="continue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88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89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33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79" w:type="pct"/>
            <w:tcBorders>
              <w:top w:val="nil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,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-</w:t>
            </w:r>
          </w:p>
        </w:tc>
        <w:tc>
          <w:tcPr>
            <w:tcW w:w="449" w:type="pct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>
      <w:pPr>
        <w:snapToGrid w:val="0"/>
        <w:spacing w:line="48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vertAlign w:val="superscript"/>
        </w:rPr>
        <w:t xml:space="preserve">a </w:t>
      </w:r>
      <w:r>
        <w:rPr>
          <w:rFonts w:hint="eastAsia" w:ascii="Times New Roman" w:hAnsi="Times New Roman"/>
          <w:szCs w:val="21"/>
        </w:rPr>
        <w:t>Negative result. An obvious fluorescence band was observed.</w:t>
      </w:r>
    </w:p>
    <w:p>
      <w:pPr>
        <w:snapToGrid w:val="0"/>
        <w:spacing w:line="48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vertAlign w:val="superscript"/>
        </w:rPr>
        <w:t xml:space="preserve">b </w:t>
      </w:r>
      <w:r>
        <w:rPr>
          <w:rFonts w:hint="eastAsia" w:ascii="Times New Roman" w:hAnsi="Times New Roman"/>
          <w:szCs w:val="21"/>
        </w:rPr>
        <w:t>Weakly positive result. The fluorescence band was light.</w:t>
      </w:r>
    </w:p>
    <w:p>
      <w:pPr>
        <w:snapToGrid w:val="0"/>
        <w:spacing w:line="48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vertAlign w:val="superscript"/>
        </w:rPr>
        <w:t xml:space="preserve">c </w:t>
      </w:r>
      <w:r>
        <w:rPr>
          <w:rFonts w:hint="eastAsia" w:ascii="Times New Roman" w:hAnsi="Times New Roman"/>
          <w:szCs w:val="21"/>
        </w:rPr>
        <w:t>Positive result. No fluorescence band was observed.</w:t>
      </w:r>
    </w:p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lNjgyMzRlZTAxZmNjNmY1NDE1M2QyNWIyZGY0ZGEifQ=="/>
  </w:docVars>
  <w:rsids>
    <w:rsidRoot w:val="003C52C9"/>
    <w:rsid w:val="00015E55"/>
    <w:rsid w:val="000210A4"/>
    <w:rsid w:val="00025591"/>
    <w:rsid w:val="001043D0"/>
    <w:rsid w:val="0019434A"/>
    <w:rsid w:val="001D55BA"/>
    <w:rsid w:val="00253A83"/>
    <w:rsid w:val="002C4BD9"/>
    <w:rsid w:val="003000FB"/>
    <w:rsid w:val="003C52C9"/>
    <w:rsid w:val="0040273C"/>
    <w:rsid w:val="00414884"/>
    <w:rsid w:val="004469CE"/>
    <w:rsid w:val="004516B6"/>
    <w:rsid w:val="00463AB0"/>
    <w:rsid w:val="00482B95"/>
    <w:rsid w:val="004C6596"/>
    <w:rsid w:val="005128DE"/>
    <w:rsid w:val="00513330"/>
    <w:rsid w:val="00526802"/>
    <w:rsid w:val="005D0F17"/>
    <w:rsid w:val="005D62EA"/>
    <w:rsid w:val="00652BAC"/>
    <w:rsid w:val="006640BB"/>
    <w:rsid w:val="006E7B3F"/>
    <w:rsid w:val="00741059"/>
    <w:rsid w:val="00753A01"/>
    <w:rsid w:val="008540BD"/>
    <w:rsid w:val="0089368B"/>
    <w:rsid w:val="00893830"/>
    <w:rsid w:val="008B2A92"/>
    <w:rsid w:val="008E1FD8"/>
    <w:rsid w:val="009A74A6"/>
    <w:rsid w:val="009E3999"/>
    <w:rsid w:val="00A718E5"/>
    <w:rsid w:val="00A805D3"/>
    <w:rsid w:val="00A97E16"/>
    <w:rsid w:val="00AD1F10"/>
    <w:rsid w:val="00B1565D"/>
    <w:rsid w:val="00B24FA0"/>
    <w:rsid w:val="00B32B3B"/>
    <w:rsid w:val="00B514AA"/>
    <w:rsid w:val="00B57002"/>
    <w:rsid w:val="00C30F31"/>
    <w:rsid w:val="00C373D7"/>
    <w:rsid w:val="00C87FF3"/>
    <w:rsid w:val="00CE7599"/>
    <w:rsid w:val="00D57068"/>
    <w:rsid w:val="00D94D15"/>
    <w:rsid w:val="00DB18AD"/>
    <w:rsid w:val="00DC4844"/>
    <w:rsid w:val="00F010F3"/>
    <w:rsid w:val="00F71BDB"/>
    <w:rsid w:val="00FF0489"/>
    <w:rsid w:val="2F20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 w:eastAsia="Times New Roman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Light Shading"/>
    <w:basedOn w:val="5"/>
    <w:uiPriority w:val="60"/>
    <w:rPr>
      <w:rFonts w:ascii="Times New Roman" w:hAnsi="Times New Roman" w:eastAsia="宋体" w:cs="Times New Roman"/>
      <w:color w:val="000000" w:themeColor="text1" w:themeShade="BF"/>
      <w:kern w:val="0"/>
      <w:sz w:val="20"/>
      <w:szCs w:val="20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标题 1 字符"/>
    <w:basedOn w:val="7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13">
    <w:name w:val="Unresolved Mention"/>
    <w:basedOn w:val="7"/>
    <w:semiHidden/>
    <w:unhideWhenUsed/>
    <w:uiPriority w:val="99"/>
    <w:rPr>
      <w:color w:val="605E5C"/>
      <w:shd w:val="clear" w:color="auto" w:fill="E1DFDD"/>
    </w:rPr>
  </w:style>
  <w:style w:type="character" w:customStyle="1" w:styleId="14">
    <w:name w:val="hlfld-title"/>
    <w:basedOn w:val="7"/>
    <w:uiPriority w:val="0"/>
  </w:style>
  <w:style w:type="character" w:customStyle="1" w:styleId="15">
    <w:name w:val="title-text"/>
    <w:basedOn w:val="7"/>
    <w:uiPriority w:val="0"/>
  </w:style>
  <w:style w:type="character" w:customStyle="1" w:styleId="16">
    <w:name w:val="text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411</Words>
  <Characters>1784</Characters>
  <Lines>17</Lines>
  <Paragraphs>4</Paragraphs>
  <TotalTime>207</TotalTime>
  <ScaleCrop>false</ScaleCrop>
  <LinksUpToDate>false</LinksUpToDate>
  <CharactersWithSpaces>1942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2021-11-10T13:33:00Z</dcterms:created>
  <dc:creator>Lijie Zhu</dc:creator>
  <cp:lastModifiedBy>13214</cp:lastModifiedBy>
  <dcterms:modified xsi:type="dcterms:W3CDTF">2022-09-05T14:22:23Z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E41F9E17C3F94B6FA7D9BEA11641CBE1</vt:lpwstr>
  </property>
</Properties>
</file>