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eastAsia="zh-Hans"/>
        </w:rPr>
      </w:pPr>
      <w:r>
        <w:rPr>
          <w:rFonts w:hint="default"/>
        </w:rPr>
        <w:t>S</w:t>
      </w:r>
      <w:r>
        <w:rPr>
          <w:rFonts w:hint="eastAsia"/>
          <w:lang w:val="en-US" w:eastAsia="zh-Hans"/>
        </w:rPr>
        <w:t>upp</w:t>
      </w:r>
      <w:r>
        <w:rPr>
          <w:rFonts w:hint="default"/>
          <w:lang w:eastAsia="zh-Hans"/>
        </w:rPr>
        <w:t>lement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Tables</w:t>
      </w:r>
    </w:p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TABLE 1</w:t>
      </w:r>
    </w:p>
    <w:p>
      <w:pPr>
        <w:spacing w:line="480" w:lineRule="auto"/>
        <w:jc w:val="center"/>
        <w:rPr>
          <w:rFonts w:hint="default" w:ascii="Times New Roman Regular" w:hAnsi="Times New Roman Regular" w:cs="Times New Roman Regular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Demographic characteristics of patients with COPD</w:t>
      </w:r>
    </w:p>
    <w:tbl>
      <w:tblPr>
        <w:tblStyle w:val="3"/>
        <w:tblW w:w="91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331"/>
        <w:gridCol w:w="985"/>
        <w:gridCol w:w="1158"/>
        <w:gridCol w:w="1057"/>
        <w:gridCol w:w="1247"/>
        <w:gridCol w:w="1145"/>
        <w:gridCol w:w="1285"/>
      </w:tblGrid>
      <w:tr>
        <w:trPr>
          <w:trHeight w:val="1222" w:hRule="atLeast"/>
          <w:jc w:val="center"/>
        </w:trPr>
        <w:tc>
          <w:tcPr>
            <w:tcW w:w="90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Item</w:t>
            </w:r>
          </w:p>
        </w:tc>
        <w:tc>
          <w:tcPr>
            <w:tcW w:w="13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Category</w:t>
            </w:r>
          </w:p>
        </w:tc>
        <w:tc>
          <w:tcPr>
            <w:tcW w:w="9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Number of cases</w:t>
            </w:r>
          </w:p>
        </w:tc>
        <w:tc>
          <w:tcPr>
            <w:tcW w:w="11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Proportion (%)</w:t>
            </w:r>
          </w:p>
        </w:tc>
        <w:tc>
          <w:tcPr>
            <w:tcW w:w="10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Item</w:t>
            </w:r>
          </w:p>
        </w:tc>
        <w:tc>
          <w:tcPr>
            <w:tcW w:w="124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Category</w:t>
            </w:r>
          </w:p>
        </w:tc>
        <w:tc>
          <w:tcPr>
            <w:tcW w:w="11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Number of cases</w:t>
            </w:r>
          </w:p>
        </w:tc>
        <w:tc>
          <w:tcPr>
            <w:tcW w:w="12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Proportion (%)</w:t>
            </w:r>
          </w:p>
        </w:tc>
      </w:tr>
      <w:tr>
        <w:trPr>
          <w:trHeight w:val="602" w:hRule="atLeast"/>
          <w:jc w:val="center"/>
        </w:trPr>
        <w:tc>
          <w:tcPr>
            <w:tcW w:w="908" w:type="dxa"/>
            <w:vMerge w:val="restart"/>
            <w:tcBorders>
              <w:top w:val="single" w:color="000000" w:sz="4" w:space="0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Sex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Male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243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76.7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Ethnicity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Han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308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97.2</w:t>
            </w:r>
          </w:p>
        </w:tc>
      </w:tr>
      <w:tr>
        <w:trPr>
          <w:trHeight w:val="602" w:hRule="atLeast"/>
          <w:jc w:val="center"/>
        </w:trPr>
        <w:tc>
          <w:tcPr>
            <w:tcW w:w="908" w:type="dxa"/>
            <w:vMerge w:val="continue"/>
            <w:tcBorders>
              <w:top w:val="single" w:color="000000" w:sz="4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Female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74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23.3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Others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2.8</w:t>
            </w:r>
          </w:p>
        </w:tc>
      </w:tr>
      <w:tr>
        <w:trPr>
          <w:trHeight w:val="1165" w:hRule="atLeast"/>
          <w:jc w:val="center"/>
        </w:trPr>
        <w:tc>
          <w:tcPr>
            <w:tcW w:w="908" w:type="dxa"/>
            <w:vMerge w:val="restart"/>
            <w:tcBorders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Education</w:t>
            </w:r>
          </w:p>
        </w:tc>
        <w:tc>
          <w:tcPr>
            <w:tcW w:w="1331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Primary school</w:t>
            </w: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140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44.2</w:t>
            </w:r>
          </w:p>
        </w:tc>
        <w:tc>
          <w:tcPr>
            <w:tcW w:w="1057" w:type="dxa"/>
            <w:vMerge w:val="restart"/>
            <w:tcBorders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Occupation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Worker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77</w:t>
            </w: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24.3</w:t>
            </w:r>
          </w:p>
        </w:tc>
      </w:tr>
      <w:tr>
        <w:trPr>
          <w:trHeight w:val="118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Junior high school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35.6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Farmer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123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38.8</w:t>
            </w:r>
          </w:p>
        </w:tc>
      </w:tr>
      <w:tr>
        <w:trPr>
          <w:trHeight w:val="118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Senior high school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#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14.2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Teacher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5.7</w:t>
            </w:r>
          </w:p>
        </w:tc>
      </w:tr>
      <w:tr>
        <w:trPr>
          <w:trHeight w:val="602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College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3.8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Cadre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16.7</w:t>
            </w:r>
          </w:p>
        </w:tc>
      </w:tr>
      <w:tr>
        <w:trPr>
          <w:trHeight w:val="916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University or above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2.2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Others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14.5</w:t>
            </w:r>
          </w:p>
        </w:tc>
      </w:tr>
      <w:tr>
        <w:trPr>
          <w:trHeight w:val="583" w:hRule="atLeast"/>
          <w:jc w:val="center"/>
        </w:trPr>
        <w:tc>
          <w:tcPr>
            <w:tcW w:w="908" w:type="dxa"/>
            <w:vMerge w:val="restart"/>
            <w:tcBorders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Marital status</w:t>
            </w:r>
          </w:p>
        </w:tc>
        <w:tc>
          <w:tcPr>
            <w:tcW w:w="1331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Unmarried</w:t>
            </w: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1.3</w:t>
            </w:r>
          </w:p>
        </w:tc>
        <w:tc>
          <w:tcPr>
            <w:tcW w:w="1057" w:type="dxa"/>
            <w:vMerge w:val="restart"/>
            <w:tcBorders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Medical insurance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Self-pay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9.1</w:t>
            </w:r>
          </w:p>
        </w:tc>
      </w:tr>
      <w:tr>
        <w:trPr>
          <w:trHeight w:val="1369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Married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83.6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 medical insurance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&amp;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232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73.2</w:t>
            </w:r>
          </w:p>
        </w:tc>
      </w:tr>
      <w:tr>
        <w:trPr>
          <w:trHeight w:val="118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Divorced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0.9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dott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Commercial health insurance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1.6</w:t>
            </w:r>
          </w:p>
        </w:tc>
      </w:tr>
      <w:tr>
        <w:trPr>
          <w:trHeight w:val="1369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Widowed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14.2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Cooperative medical insurance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51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16.1</w:t>
            </w:r>
          </w:p>
        </w:tc>
      </w:tr>
      <w:tr>
        <w:trPr>
          <w:trHeight w:val="583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Economic condition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Poor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87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27.4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36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</w:t>
            </w:r>
          </w:p>
        </w:tc>
      </w:tr>
      <w:tr>
        <w:trPr>
          <w:trHeight w:val="640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Middle-class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63.4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7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</w:tr>
      <w:tr>
        <w:trPr>
          <w:trHeight w:val="69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Rich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9.1</w:t>
            </w: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7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</w:tr>
      <w:tr>
        <w:trPr>
          <w:trHeight w:val="557" w:hRule="atLeast"/>
          <w:jc w:val="center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highlight w:val="none"/>
                <w:vertAlign w:val="superscript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highlight w:val="none"/>
              </w:rPr>
              <w:t>Including technical secondary school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</w:tr>
      <w:tr>
        <w:trPr>
          <w:trHeight w:val="511" w:hRule="atLeast"/>
          <w:jc w:val="center"/>
        </w:trPr>
        <w:tc>
          <w:tcPr>
            <w:tcW w:w="9116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1"/>
                <w:szCs w:val="21"/>
                <w:highlight w:val="none"/>
                <w:vertAlign w:val="superscript"/>
              </w:rPr>
              <w:t>&amp;</w:t>
            </w: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highlight w:val="none"/>
              </w:rPr>
              <w:t xml:space="preserve"> Referring to urban employee medical insurance</w:t>
            </w:r>
          </w:p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TABLE 2</w:t>
      </w:r>
    </w:p>
    <w:p>
      <w:pPr>
        <w:spacing w:line="480" w:lineRule="auto"/>
        <w:jc w:val="center"/>
        <w:rPr>
          <w:rFonts w:hint="default" w:ascii="Times New Roman Regular" w:hAnsi="Times New Roman Regular" w:cs="Times New Roman Regular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Internal consistency and split-half reliability of domains and facets of QLICD-COPD (V2.0)</w:t>
      </w:r>
    </w:p>
    <w:tbl>
      <w:tblPr>
        <w:tblStyle w:val="3"/>
        <w:tblpPr w:leftFromText="180" w:rightFromText="180" w:vertAnchor="text" w:horzAnchor="page" w:tblpX="1999" w:tblpY="617"/>
        <w:tblOverlap w:val="never"/>
        <w:tblW w:w="79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700"/>
        <w:gridCol w:w="2243"/>
      </w:tblGrid>
      <w:tr>
        <w:trPr>
          <w:trHeight w:val="283" w:hRule="atLeast"/>
        </w:trPr>
        <w:tc>
          <w:tcPr>
            <w:tcW w:w="29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1"/>
                <w:szCs w:val="21"/>
                <w:highlight w:val="none"/>
              </w:rPr>
              <w:t>Domain/facet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1"/>
                <w:szCs w:val="21"/>
                <w:highlight w:val="none"/>
              </w:rPr>
              <w:t>Cronbach’s alpha</w:t>
            </w:r>
          </w:p>
        </w:tc>
        <w:tc>
          <w:tcPr>
            <w:tcW w:w="22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  <w:t>Split-half reliability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Physiological domain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0.719</w:t>
            </w:r>
          </w:p>
        </w:tc>
        <w:tc>
          <w:tcPr>
            <w:tcW w:w="224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0.524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Basic physiological functioning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0.605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0.53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Independence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0.84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0.793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Energy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0.562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0.562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Psychological domain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0.817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0.840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Cognition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0.405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0.405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Emotion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0.787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0.774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Will and personality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0.352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0.352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 domain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0.685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0.682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Interpersonal communication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0.513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0.600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 support and security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0.456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0.302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 role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0.226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0.226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Core/general domain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0.875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0.778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Specific domain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0.669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0.627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Cough and sputum production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0.585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0.467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Shortness of breath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0.665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0.574</w:t>
            </w:r>
          </w:p>
        </w:tc>
      </w:tr>
      <w:tr>
        <w:trPr>
          <w:trHeight w:val="283" w:hRule="atLeast"/>
        </w:trPr>
        <w:tc>
          <w:tcPr>
            <w:tcW w:w="295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Total scale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0.889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0.864</w:t>
            </w:r>
          </w:p>
        </w:tc>
      </w:tr>
    </w:tbl>
    <w:p>
      <w:pPr>
        <w:widowControl/>
        <w:spacing w:line="480" w:lineRule="auto"/>
        <w:ind w:firstLine="420" w:firstLineChars="200"/>
        <w:jc w:val="center"/>
        <w:textAlignment w:val="baseline"/>
        <w:rPr>
          <w:rFonts w:hint="default" w:ascii="Times New Roman Regular" w:hAnsi="Times New Roman Regular" w:eastAsia="宋体" w:cs="Times New Roman Regular"/>
          <w:b/>
          <w:bCs/>
          <w:color w:val="00000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21"/>
          <w:szCs w:val="21"/>
          <w:highlight w:val="none"/>
        </w:rPr>
        <w:t>TABLE 3</w:t>
      </w:r>
    </w:p>
    <w:p>
      <w:pPr>
        <w:widowControl/>
        <w:spacing w:line="480" w:lineRule="auto"/>
        <w:ind w:firstLine="420" w:firstLineChars="200"/>
        <w:jc w:val="center"/>
        <w:textAlignment w:val="baseline"/>
        <w:rPr>
          <w:rFonts w:hint="default" w:ascii="Times New Roman Regular" w:hAnsi="Times New Roman Regular" w:eastAsia="宋体" w:cs="Times New Roman Regular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21"/>
          <w:szCs w:val="21"/>
          <w:highlight w:val="none"/>
        </w:rPr>
        <w:t>Inter- and intra-domain correlation and Cronbach’s alpha coefficients</w:t>
      </w:r>
    </w:p>
    <w:tbl>
      <w:tblPr>
        <w:tblStyle w:val="3"/>
        <w:tblW w:w="86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1600"/>
        <w:gridCol w:w="1600"/>
        <w:gridCol w:w="1600"/>
        <w:gridCol w:w="1832"/>
      </w:tblGrid>
      <w:tr>
        <w:trPr>
          <w:trHeight w:val="270" w:hRule="atLeast"/>
          <w:jc w:val="center"/>
        </w:trPr>
        <w:tc>
          <w:tcPr>
            <w:tcW w:w="2029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  <w:tc>
          <w:tcPr>
            <w:tcW w:w="6632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</w:tr>
      <w:tr>
        <w:trPr>
          <w:trHeight w:val="270" w:hRule="atLeast"/>
          <w:jc w:val="center"/>
        </w:trPr>
        <w:tc>
          <w:tcPr>
            <w:tcW w:w="20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Physiological domain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Psychological domain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</w:t>
            </w:r>
          </w:p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  <w:tc>
          <w:tcPr>
            <w:tcW w:w="18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Specific</w:t>
            </w:r>
          </w:p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</w:tr>
      <w:tr>
        <w:trPr>
          <w:trHeight w:val="270" w:hRule="atLeast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Physiological domain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0.719*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0.467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0.522</w:t>
            </w:r>
          </w:p>
        </w:tc>
      </w:tr>
      <w:tr>
        <w:trPr>
          <w:trHeight w:val="270" w:hRule="atLeast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Psychological domain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0.817*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0.650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0.555</w:t>
            </w:r>
          </w:p>
        </w:tc>
      </w:tr>
      <w:tr>
        <w:trPr>
          <w:trHeight w:val="270" w:hRule="atLeast"/>
          <w:jc w:val="center"/>
        </w:trPr>
        <w:tc>
          <w:tcPr>
            <w:tcW w:w="2029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 domain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0.467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0.650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0.685*</w:t>
            </w: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0.388</w:t>
            </w:r>
          </w:p>
        </w:tc>
      </w:tr>
      <w:tr>
        <w:trPr>
          <w:trHeight w:val="270" w:hRule="atLeast"/>
          <w:jc w:val="center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Specific domain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0.388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0.669*</w:t>
            </w:r>
          </w:p>
        </w:tc>
      </w:tr>
      <w:tr>
        <w:trPr>
          <w:trHeight w:val="270" w:hRule="atLeast"/>
          <w:jc w:val="center"/>
        </w:trPr>
        <w:tc>
          <w:tcPr>
            <w:tcW w:w="8661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 Regular" w:hAnsi="Times New Roman Regular" w:eastAsia="等线" w:cs="Times New Roman Regular"/>
                <w:b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等线" w:cs="Times New Roman Regular"/>
                <w:b w:val="0"/>
                <w:bCs w:val="0"/>
                <w:sz w:val="21"/>
                <w:szCs w:val="21"/>
                <w:highlight w:val="none"/>
              </w:rPr>
              <w:t>Internal consistency</w:t>
            </w:r>
          </w:p>
        </w:tc>
      </w:tr>
    </w:tbl>
    <w:p>
      <w:pPr>
        <w:widowControl/>
        <w:spacing w:line="480" w:lineRule="auto"/>
        <w:jc w:val="center"/>
        <w:textAlignment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TABLE 4</w:t>
      </w:r>
    </w:p>
    <w:p>
      <w:pPr>
        <w:widowControl/>
        <w:spacing w:line="480" w:lineRule="auto"/>
        <w:jc w:val="center"/>
        <w:textAlignment w:val="center"/>
        <w:rPr>
          <w:rFonts w:hint="default" w:ascii="Times New Roman Regular" w:hAnsi="Times New Roman Regular" w:eastAsia="等线" w:cs="Times New Roman Regular"/>
          <w:b w:val="0"/>
          <w:bCs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Item-domain correlations of QLICD-COPD (V2.0)</w:t>
      </w:r>
    </w:p>
    <w:tbl>
      <w:tblPr>
        <w:tblStyle w:val="3"/>
        <w:tblW w:w="81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598"/>
        <w:gridCol w:w="1517"/>
        <w:gridCol w:w="1885"/>
        <w:gridCol w:w="1862"/>
      </w:tblGrid>
      <w:tr>
        <w:trPr>
          <w:trHeight w:val="650" w:hRule="atLeast"/>
          <w:jc w:val="center"/>
        </w:trPr>
        <w:tc>
          <w:tcPr>
            <w:tcW w:w="1327" w:type="dxa"/>
            <w:vMerge w:val="restart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  <w:t>Item</w:t>
            </w:r>
          </w:p>
        </w:tc>
        <w:tc>
          <w:tcPr>
            <w:tcW w:w="6862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  <w:t>Domain</w:t>
            </w:r>
          </w:p>
        </w:tc>
      </w:tr>
      <w:tr>
        <w:trPr>
          <w:trHeight w:val="1250" w:hRule="atLeast"/>
          <w:jc w:val="center"/>
        </w:trPr>
        <w:tc>
          <w:tcPr>
            <w:tcW w:w="13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  <w:t>Physiological domain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  <w:t>Psychological domain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Specific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</w:tr>
      <w:tr>
        <w:trPr>
          <w:trHeight w:val="63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GPH1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0.599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0.229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0.225</w:t>
            </w: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0.237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0.521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0.275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0.247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0.332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0.368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0.153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0.214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0.136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0.437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0.148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0.063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0.171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0.456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0.390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0.420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0.671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0.294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0.628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0.280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0.287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0.296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0.691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0.337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0.274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GPH9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0.589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0.344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0.390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0.528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0.444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0.291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0.390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0.269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0.540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0.388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0.258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0.474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0.248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0.321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0.632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0.454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0.334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0.193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0.642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0.369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0.377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0.360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0.772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0.467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0.423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0.703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0.489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0.335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0.209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0.660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0.380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0.414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0.634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0.546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0.281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GPS11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0.212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0.568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0.353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0.410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0.361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0.520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0.231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0.126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0.640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0.179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0.095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0.288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0.622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0.144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0.170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0.274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0.565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0.113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0.645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0.196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0.274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0.547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0.560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0.327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0.364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0.404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0.534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0.318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GSO8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0.514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0.158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0.120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0.185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0.135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0.424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0.229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0.178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0.113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0.446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0.253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0.150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0.574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0.151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0.204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0.583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0.417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0.335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0.315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0.615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0.273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0.150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0.505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0.448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0.562</w:t>
            </w:r>
          </w:p>
        </w:tc>
      </w:tr>
      <w:tr>
        <w:trPr>
          <w:trHeight w:val="62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0.307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0.236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0.520</w:t>
            </w:r>
          </w:p>
        </w:tc>
      </w:tr>
      <w:tr>
        <w:trPr>
          <w:trHeight w:val="65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COPD9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0.378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0.241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0.470</w:t>
            </w:r>
          </w:p>
        </w:tc>
      </w:tr>
    </w:tbl>
    <w:p>
      <w:pPr>
        <w:spacing w:line="480" w:lineRule="auto"/>
        <w:ind w:firstLine="420" w:firstLineChars="200"/>
        <w:jc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TABLE 5</w:t>
      </w:r>
    </w:p>
    <w:p>
      <w:pPr>
        <w:spacing w:line="480" w:lineRule="auto"/>
        <w:ind w:firstLine="420" w:firstLineChars="200"/>
        <w:jc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Principal components of the specific module and orthogonal rotated factor loadings using the equamax method</w:t>
      </w:r>
    </w:p>
    <w:tbl>
      <w:tblPr>
        <w:tblStyle w:val="3"/>
        <w:tblpPr w:leftFromText="180" w:rightFromText="180" w:vertAnchor="text" w:horzAnchor="page" w:tblpX="1852" w:tblpY="936"/>
        <w:tblOverlap w:val="never"/>
        <w:tblW w:w="77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48"/>
        <w:gridCol w:w="1592"/>
        <w:gridCol w:w="1579"/>
        <w:gridCol w:w="1471"/>
      </w:tblGrid>
      <w:tr>
        <w:trPr>
          <w:trHeight w:val="603" w:hRule="atLeast"/>
        </w:trPr>
        <w:tc>
          <w:tcPr>
            <w:tcW w:w="1429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Item</w:t>
            </w:r>
          </w:p>
        </w:tc>
        <w:tc>
          <w:tcPr>
            <w:tcW w:w="6290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Principal component (contribution to variance, %)</w:t>
            </w:r>
          </w:p>
        </w:tc>
      </w:tr>
      <w:tr>
        <w:trPr>
          <w:trHeight w:val="585" w:hRule="atLeast"/>
        </w:trPr>
        <w:tc>
          <w:tcPr>
            <w:tcW w:w="142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1 (27.77)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2 (18.35)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3 (11.79)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4 (9.45)</w:t>
            </w:r>
          </w:p>
        </w:tc>
      </w:tr>
      <w:tr>
        <w:trPr>
          <w:trHeight w:val="585" w:hRule="atLeast"/>
        </w:trPr>
        <w:tc>
          <w:tcPr>
            <w:tcW w:w="1429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COPD1</w:t>
            </w: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-0.118</w:t>
            </w:r>
          </w:p>
        </w:tc>
        <w:tc>
          <w:tcPr>
            <w:tcW w:w="15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0.384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0.129</w:t>
            </w:r>
          </w:p>
        </w:tc>
        <w:tc>
          <w:tcPr>
            <w:tcW w:w="147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0.541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-0.043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0.065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0.825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0.116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0.077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0.875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0.108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0.059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1"/>
                <w:szCs w:val="21"/>
                <w:highlight w:val="none"/>
              </w:rPr>
              <w:t>0.087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0.856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-0.010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0.236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0.763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0.043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0.006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0.807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0.102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-0.155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0.123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0.635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0.033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0.361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0.003</w:t>
            </w:r>
          </w:p>
        </w:tc>
      </w:tr>
      <w:tr>
        <w:trPr>
          <w:trHeight w:val="575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0.054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0.615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-0.018</w:t>
            </w:r>
          </w:p>
        </w:tc>
      </w:tr>
      <w:tr>
        <w:trPr>
          <w:trHeight w:val="603" w:hRule="atLeast"/>
        </w:trPr>
        <w:tc>
          <w:tcPr>
            <w:tcW w:w="142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COPD9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0.159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0.041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0.001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1"/>
                <w:szCs w:val="21"/>
                <w:highlight w:val="none"/>
              </w:rPr>
              <w:t>0.895</w:t>
            </w:r>
          </w:p>
        </w:tc>
      </w:tr>
    </w:tbl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TABLE 6</w:t>
      </w:r>
    </w:p>
    <w:p>
      <w:pPr>
        <w:spacing w:line="480" w:lineRule="auto"/>
        <w:jc w:val="center"/>
        <w:rPr>
          <w:rFonts w:hint="default" w:ascii="Times New Roman Regular" w:hAnsi="Times New Roman Regular" w:cs="Times New Roman Regular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Correlation coefficients between domains of SF-36 and domains of QLICD-COPD (V2.0)</w:t>
      </w:r>
    </w:p>
    <w:tbl>
      <w:tblPr>
        <w:tblStyle w:val="3"/>
        <w:tblW w:w="8618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635"/>
        <w:gridCol w:w="1522"/>
        <w:gridCol w:w="1782"/>
        <w:gridCol w:w="1161"/>
      </w:tblGrid>
      <w:tr>
        <w:trPr>
          <w:trHeight w:val="716" w:hRule="atLeast"/>
        </w:trPr>
        <w:tc>
          <w:tcPr>
            <w:tcW w:w="2518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SF-36</w:t>
            </w:r>
          </w:p>
        </w:tc>
        <w:tc>
          <w:tcPr>
            <w:tcW w:w="6100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QLICD-COPD (V2.0)</w:t>
            </w:r>
          </w:p>
        </w:tc>
      </w:tr>
      <w:tr>
        <w:trPr>
          <w:trHeight w:val="1122" w:hRule="atLeast"/>
        </w:trPr>
        <w:tc>
          <w:tcPr>
            <w:tcW w:w="251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Physiological domain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Psychological domain</w:t>
            </w: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Social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Specific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domain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Physical functioning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0.453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0.288</w:t>
            </w: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0.245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0.245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Physical role functioning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0.192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0.292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0.192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Bodily pain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0.450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0.297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General health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0.466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0.349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0.309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Vitality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0.470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0.288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Social role functioning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0.540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0.354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0.369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0.143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Emotional role functioning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0.170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0.477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0.261</w:t>
            </w:r>
          </w:p>
        </w:tc>
      </w:tr>
      <w:tr>
        <w:trPr>
          <w:trHeight w:val="454" w:hRule="atLeast"/>
        </w:trPr>
        <w:tc>
          <w:tcPr>
            <w:tcW w:w="251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Mental health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0.358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0.612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0.487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highlight w:val="none"/>
              </w:rPr>
              <w:t>0.214</w:t>
            </w:r>
          </w:p>
        </w:tc>
      </w:tr>
    </w:tbl>
    <w:p>
      <w:pPr>
        <w:widowControl/>
        <w:spacing w:line="480" w:lineRule="auto"/>
        <w:jc w:val="center"/>
        <w:textAlignment w:val="center"/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TABLE 7</w:t>
      </w:r>
    </w:p>
    <w:p>
      <w:pPr>
        <w:spacing w:line="480" w:lineRule="auto"/>
        <w:jc w:val="center"/>
        <w:rPr>
          <w:rFonts w:hint="default" w:ascii="Times New Roman Regular" w:hAnsi="Times New Roman Regular" w:cs="Times New Roman Regular"/>
          <w:sz w:val="21"/>
          <w:szCs w:val="21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kern w:val="0"/>
          <w:sz w:val="21"/>
          <w:szCs w:val="21"/>
          <w:highlight w:val="none"/>
        </w:rPr>
        <w:t>Comparison of scores of domains and facets in patients with COPD at admission and discharge</w:t>
      </w:r>
    </w:p>
    <w:tbl>
      <w:tblPr>
        <w:tblStyle w:val="3"/>
        <w:tblW w:w="8957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908"/>
        <w:gridCol w:w="908"/>
        <w:gridCol w:w="747"/>
        <w:gridCol w:w="826"/>
        <w:gridCol w:w="666"/>
        <w:gridCol w:w="532"/>
        <w:gridCol w:w="804"/>
        <w:gridCol w:w="574"/>
        <w:gridCol w:w="627"/>
      </w:tblGrid>
      <w:tr>
        <w:trPr>
          <w:trHeight w:val="695" w:hRule="atLeast"/>
        </w:trPr>
        <w:tc>
          <w:tcPr>
            <w:tcW w:w="2365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Domain/facet</w:t>
            </w:r>
          </w:p>
        </w:tc>
        <w:tc>
          <w:tcPr>
            <w:tcW w:w="181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At admission</w:t>
            </w:r>
          </w:p>
        </w:tc>
        <w:tc>
          <w:tcPr>
            <w:tcW w:w="157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At discharge</w:t>
            </w:r>
          </w:p>
        </w:tc>
        <w:tc>
          <w:tcPr>
            <w:tcW w:w="2002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Difference</w:t>
            </w:r>
          </w:p>
        </w:tc>
        <w:tc>
          <w:tcPr>
            <w:tcW w:w="120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 xml:space="preserve">Paired </w:t>
            </w:r>
            <w:r>
              <w:rPr>
                <w:rFonts w:hint="default" w:ascii="Times New Roman Regular" w:hAnsi="Times New Roman Regular" w:eastAsia="宋体" w:cs="Times New Roman Regular"/>
                <w:i/>
                <w:iCs/>
                <w:color w:val="000000"/>
                <w:sz w:val="21"/>
                <w:szCs w:val="21"/>
                <w:highlight w:val="none"/>
              </w:rPr>
              <w:t>t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-test</w:t>
            </w:r>
          </w:p>
        </w:tc>
      </w:tr>
      <w:tr>
        <w:trPr>
          <w:trHeight w:val="636" w:hRule="atLeast"/>
        </w:trPr>
        <w:tc>
          <w:tcPr>
            <w:tcW w:w="23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Mean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SD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  <w:vertAlign w:val="superscript"/>
              </w:rPr>
              <w:t>#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Mean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SD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  <w:vertAlign w:val="superscript"/>
              </w:rPr>
              <w:t>#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Mean</w:t>
            </w:r>
          </w:p>
        </w:tc>
        <w:tc>
          <w:tcPr>
            <w:tcW w:w="5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SD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  <w:vertAlign w:val="superscript"/>
              </w:rPr>
              <w:t>#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SRM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1"/>
                <w:szCs w:val="21"/>
                <w:highlight w:val="none"/>
                <w:vertAlign w:val="superscript"/>
              </w:rPr>
              <w:t>&amp;</w:t>
            </w:r>
          </w:p>
        </w:tc>
        <w:tc>
          <w:tcPr>
            <w:tcW w:w="5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color w:val="00000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/>
                <w:color w:val="000000"/>
                <w:sz w:val="21"/>
                <w:szCs w:val="21"/>
                <w:highlight w:val="none"/>
              </w:rPr>
              <w:t>P</w:t>
            </w:r>
          </w:p>
        </w:tc>
      </w:tr>
      <w:tr>
        <w:trPr>
          <w:trHeight w:val="636" w:hRule="atLeast"/>
        </w:trPr>
        <w:tc>
          <w:tcPr>
            <w:tcW w:w="236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Physiological domain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48.86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13.16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56.14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12.31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7.29</w:t>
            </w:r>
          </w:p>
        </w:tc>
        <w:tc>
          <w:tcPr>
            <w:tcW w:w="5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8.14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57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-15.92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Basic physiological functioning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48.00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55.95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12.08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7.95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10.82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-13.06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Independence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52.61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22.21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55.51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22.04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2.90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9.69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-5.32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Energy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44.94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22.07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57.48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17.34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12.54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17.83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-12.50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Psychological domain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59.39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61.46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2.06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6.61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-5.55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Cognition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56.33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16.83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60.17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16.34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3.84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-5.11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Emotion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59.15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16.24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60.86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15.19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1.71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7.80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-3.89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Will and personality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63.29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17.00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64.83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17.14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1.54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12.56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-2.18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0.030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Social domain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68.58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12.58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67.89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-0.69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6.69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1.84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0.067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Interpersonal communication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75.58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75.92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14.28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0.34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8.99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-0.68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0.498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Social support and security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72.23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16.49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70.75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16.62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-1.48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9.18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2.86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0.005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Social role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52.61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18.69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51.54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19.32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-1.07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14.03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-0.08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1.35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0.177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Core/general domain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58.63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11.12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61.59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10.89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2.96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5.03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-10.44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Specific domain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50.82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13.09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64.92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11.70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14.10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11.53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-21.74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Cough and sputum production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47.39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16.47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67.64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14.95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20.25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15.98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-22.53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Shortness of breath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48.97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19.58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61.47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15.81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12.50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15.25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-14.57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16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firstLine="210" w:firstLine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Pulmonary encephalopathy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69.30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25.65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73.34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21.80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4.03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20.93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-3.43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0.001</w:t>
            </w:r>
          </w:p>
        </w:tc>
      </w:tr>
      <w:tr>
        <w:trPr>
          <w:trHeight w:val="1847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ind w:left="210" w:leftChars="10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Implications of specific psychological features for the patient’s life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51.58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24.75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55.93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24.04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4.35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17.56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-4.40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0.000</w:t>
            </w:r>
          </w:p>
        </w:tc>
      </w:tr>
      <w:tr>
        <w:trPr>
          <w:trHeight w:val="695" w:hRule="atLeast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Total scale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56.73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10.63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62.40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10.08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5.67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5.63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 w:val="21"/>
                <w:szCs w:val="21"/>
                <w:highlight w:val="none"/>
              </w:rPr>
              <w:t>-17.88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  <w:t>0.00</w:t>
            </w:r>
          </w:p>
        </w:tc>
      </w:tr>
      <w:tr>
        <w:trPr>
          <w:trHeight w:val="695" w:hRule="atLeast"/>
        </w:trPr>
        <w:tc>
          <w:tcPr>
            <w:tcW w:w="895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 w:val="0"/>
                <w:iCs w:val="0"/>
                <w:sz w:val="21"/>
                <w:szCs w:val="21"/>
                <w:highlight w:val="none"/>
                <w:vertAlign w:val="superscript"/>
              </w:rPr>
              <w:t xml:space="preserve">#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</w:rPr>
              <w:t>Standard deviation</w:t>
            </w:r>
          </w:p>
        </w:tc>
      </w:tr>
      <w:tr>
        <w:trPr>
          <w:trHeight w:val="695" w:hRule="atLeast"/>
        </w:trPr>
        <w:tc>
          <w:tcPr>
            <w:tcW w:w="8957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i w:val="0"/>
                <w:iCs w:val="0"/>
                <w:sz w:val="21"/>
                <w:szCs w:val="21"/>
                <w:highlight w:val="none"/>
                <w:vertAlign w:val="superscript"/>
              </w:rPr>
              <w:t>&amp;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sz w:val="21"/>
                <w:szCs w:val="21"/>
                <w:highlight w:val="none"/>
              </w:rPr>
              <w:t>Standardized response mean</w:t>
            </w:r>
          </w:p>
        </w:tc>
      </w:tr>
    </w:tbl>
    <w:p>
      <w:pPr>
        <w:rPr>
          <w:rFonts w:hint="default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CC28D"/>
    <w:rsid w:val="F2FCC28D"/>
    <w:rsid w:val="FF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Bumblebee</dc:creator>
  <cp:lastModifiedBy>Bumblebee</cp:lastModifiedBy>
  <dcterms:modified xsi:type="dcterms:W3CDTF">2022-09-05T17:04:30Z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19B9B665227B17E8DBBA15634D27979B</vt:lpwstr>
  </property>
</Properties>
</file>