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ECB" w:rsidRDefault="00051ECB" w:rsidP="00051ECB">
      <w:pPr>
        <w:pStyle w:val="MDPI62BackMatter"/>
        <w:spacing w:after="0" w:line="360" w:lineRule="auto"/>
        <w:ind w:left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Supplementary Materials</w:t>
      </w:r>
    </w:p>
    <w:p w:rsidR="00051ECB" w:rsidRDefault="00051ECB" w:rsidP="00051ECB">
      <w:pPr>
        <w:pStyle w:val="MDPI62BackMatter"/>
        <w:spacing w:after="0" w:line="360" w:lineRule="auto"/>
        <w:ind w:left="0"/>
        <w:rPr>
          <w:rFonts w:ascii="Times New Roman" w:eastAsia="SimSun" w:hAnsi="Times New Roman"/>
          <w:sz w:val="20"/>
          <w:lang w:eastAsia="zh-CN"/>
        </w:rPr>
      </w:pPr>
      <w:r>
        <w:rPr>
          <w:rFonts w:ascii="Times New Roman" w:hAnsi="Times New Roman"/>
          <w:sz w:val="20"/>
        </w:rPr>
        <w:t xml:space="preserve">Table S1: </w:t>
      </w:r>
      <w:r>
        <w:rPr>
          <w:rFonts w:ascii="Times New Roman" w:hAnsi="Times New Roman"/>
          <w:sz w:val="20"/>
          <w:lang w:eastAsia="zh-CN"/>
        </w:rPr>
        <w:t>The r</w:t>
      </w:r>
      <w:r>
        <w:rPr>
          <w:rFonts w:ascii="Times New Roman" w:hAnsi="Times New Roman"/>
          <w:sz w:val="20"/>
        </w:rPr>
        <w:t xml:space="preserve">elative abundance (%) of </w:t>
      </w:r>
      <w:r>
        <w:rPr>
          <w:rFonts w:ascii="Times New Roman" w:hAnsi="Times New Roman"/>
          <w:sz w:val="20"/>
          <w:lang w:eastAsia="zh-CN"/>
        </w:rPr>
        <w:t>rumen eukaryotic communities at</w:t>
      </w:r>
      <w:r>
        <w:rPr>
          <w:rFonts w:ascii="Times New Roman" w:hAnsi="Times New Roman"/>
          <w:sz w:val="20"/>
        </w:rPr>
        <w:t xml:space="preserve"> phyla </w:t>
      </w:r>
      <w:r>
        <w:rPr>
          <w:rFonts w:ascii="Times New Roman" w:hAnsi="Times New Roman"/>
          <w:sz w:val="20"/>
          <w:lang w:eastAsia="zh-CN"/>
        </w:rPr>
        <w:t>level among four SeHLan supplemented groups (average relative abundance &gt; 0.1% for at least one group)</w:t>
      </w:r>
      <w:r>
        <w:rPr>
          <w:rFonts w:ascii="Times New Roman" w:hAnsi="Times New Roman"/>
          <w:sz w:val="20"/>
        </w:rPr>
        <w:t>; Table S</w:t>
      </w:r>
      <w:r>
        <w:rPr>
          <w:rFonts w:ascii="Times New Roman" w:eastAsia="SimSun" w:hAnsi="Times New Roman"/>
          <w:sz w:val="20"/>
          <w:lang w:eastAsia="zh-CN"/>
        </w:rPr>
        <w:t>2</w:t>
      </w:r>
      <w:r>
        <w:rPr>
          <w:rFonts w:ascii="Times New Roman" w:hAnsi="Times New Roman"/>
          <w:sz w:val="20"/>
        </w:rPr>
        <w:t>:</w:t>
      </w:r>
      <w:r>
        <w:rPr>
          <w:rFonts w:ascii="Times New Roman" w:eastAsia="SimSun" w:hAnsi="Times New Roman"/>
          <w:sz w:val="20"/>
          <w:lang w:eastAsia="zh-CN"/>
        </w:rPr>
        <w:t xml:space="preserve"> The relative abundance (%) of rumen eukaryotic communities at family level among four SeHLan supplemented groups (average relative abundance &gt;1% for at least one group); Table S3: The relative abundance (%) of rumen eukaryotic communities at genera level among four SeHLan supplemented groups (average relative abundance &gt;1% for at least one group).</w:t>
      </w:r>
    </w:p>
    <w:p w:rsidR="00E1715D" w:rsidRDefault="00051ECB">
      <w:bookmarkStart w:id="0" w:name="_GoBack"/>
      <w:bookmarkEnd w:id="0"/>
    </w:p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ECB"/>
    <w:rsid w:val="00051ECB"/>
    <w:rsid w:val="001942F0"/>
    <w:rsid w:val="002C0857"/>
    <w:rsid w:val="00884728"/>
    <w:rsid w:val="008E2845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BA4B04-22BE-4C10-A3F2-6071E30D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62BackMatter">
    <w:name w:val="MDPI_6.2_BackMatter"/>
    <w:qFormat/>
    <w:rsid w:val="00051ECB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2022-09-12T09:12:00Z</dcterms:created>
  <dcterms:modified xsi:type="dcterms:W3CDTF">2022-09-12T09:12:00Z</dcterms:modified>
</cp:coreProperties>
</file>