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21"/>
          <w:szCs w:val="21"/>
        </w:rPr>
        <w:t>Supplementary</w:t>
      </w:r>
      <w:r>
        <w:rPr>
          <w:rFonts w:hint="eastAsia" w:ascii="Times New Roman" w:hAnsi="Times New Roman" w:eastAsia="宋体" w:cs="Times New Roman"/>
          <w:b/>
          <w:sz w:val="21"/>
          <w:szCs w:val="21"/>
          <w:lang w:val="en-US" w:eastAsia="zh-CN"/>
        </w:rPr>
        <w:t xml:space="preserve"> Tables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  <w:t>Supplementary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 xml:space="preserve"> Table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 S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Explanation table for the number of subjects enrolled bOPV boost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er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immunization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2"/>
        <w:gridCol w:w="2027"/>
        <w:gridCol w:w="2025"/>
        <w:gridCol w:w="2025"/>
        <w:gridCol w:w="2025"/>
        <w:gridCol w:w="2025"/>
        <w:gridCol w:w="202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3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6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-bOPV-bOPV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(-bOPV)</w:t>
            </w:r>
          </w:p>
        </w:tc>
        <w:tc>
          <w:tcPr>
            <w:tcW w:w="2025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-bOPV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(-bOPV)</w:t>
            </w:r>
          </w:p>
        </w:tc>
        <w:tc>
          <w:tcPr>
            <w:tcW w:w="2025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-tOPV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(-bOPV)</w:t>
            </w:r>
          </w:p>
        </w:tc>
        <w:tc>
          <w:tcPr>
            <w:tcW w:w="2025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sIPV-bOPV-bOPV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(-bOPV)</w:t>
            </w:r>
          </w:p>
        </w:tc>
        <w:tc>
          <w:tcPr>
            <w:tcW w:w="2025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(-bOPV)</w:t>
            </w:r>
          </w:p>
        </w:tc>
        <w:tc>
          <w:tcPr>
            <w:tcW w:w="2025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(-bOPV)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3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26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n=183</w:t>
            </w:r>
          </w:p>
        </w:tc>
        <w:tc>
          <w:tcPr>
            <w:tcW w:w="2025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n=183</w:t>
            </w:r>
          </w:p>
        </w:tc>
        <w:tc>
          <w:tcPr>
            <w:tcW w:w="2025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n=184</w:t>
            </w:r>
          </w:p>
        </w:tc>
        <w:tc>
          <w:tcPr>
            <w:tcW w:w="2025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n=188</w:t>
            </w:r>
          </w:p>
        </w:tc>
        <w:tc>
          <w:tcPr>
            <w:tcW w:w="2025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n=186</w:t>
            </w:r>
          </w:p>
        </w:tc>
        <w:tc>
          <w:tcPr>
            <w:tcW w:w="2025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n=180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24 months-IPV, n</w:t>
            </w:r>
          </w:p>
        </w:tc>
        <w:tc>
          <w:tcPr>
            <w:tcW w:w="202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36 months-IPV, n</w:t>
            </w:r>
          </w:p>
        </w:tc>
        <w:tc>
          <w:tcPr>
            <w:tcW w:w="202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48 months-IPV, n</w:t>
            </w:r>
          </w:p>
        </w:tc>
        <w:tc>
          <w:tcPr>
            <w:tcW w:w="202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20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Samples dropped out, n</w:t>
            </w:r>
          </w:p>
        </w:tc>
        <w:tc>
          <w:tcPr>
            <w:tcW w:w="202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66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Style w:val="6"/>
                <w:rFonts w:hint="default" w:ascii="Times New Roman" w:hAnsi="Times New Roman" w:cs="Times New Roman"/>
                <w:sz w:val="16"/>
                <w:szCs w:val="16"/>
              </w:rPr>
              <w:t>En</w:t>
            </w:r>
            <w:r>
              <w:rPr>
                <w:rStyle w:val="6"/>
                <w:rFonts w:hint="eastAsia" w:cs="Times New Roman"/>
                <w:sz w:val="16"/>
                <w:szCs w:val="16"/>
                <w:lang w:val="en-US" w:eastAsia="zh-CN"/>
              </w:rPr>
              <w:t>roll</w:t>
            </w:r>
            <w:r>
              <w:rPr>
                <w:rStyle w:val="6"/>
                <w:rFonts w:hint="default" w:ascii="Times New Roman" w:hAnsi="Times New Roman" w:cs="Times New Roman"/>
                <w:sz w:val="16"/>
                <w:szCs w:val="16"/>
              </w:rPr>
              <w:t xml:space="preserve">ed the </w:t>
            </w:r>
            <w:r>
              <w:rPr>
                <w:rStyle w:val="7"/>
                <w:rFonts w:hint="default" w:ascii="Times New Roman" w:hAnsi="Times New Roman" w:cs="Times New Roman"/>
                <w:sz w:val="16"/>
                <w:szCs w:val="16"/>
              </w:rPr>
              <w:t>boost</w:t>
            </w:r>
            <w:r>
              <w:rPr>
                <w:rStyle w:val="7"/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er</w:t>
            </w:r>
            <w:r>
              <w:rPr>
                <w:rStyle w:val="7"/>
                <w:rFonts w:hint="default" w:ascii="Times New Roman" w:hAnsi="Times New Roman" w:cs="Times New Roman"/>
                <w:sz w:val="16"/>
                <w:szCs w:val="16"/>
              </w:rPr>
              <w:t xml:space="preserve"> immunization clinical trial, n</w:t>
            </w:r>
          </w:p>
        </w:tc>
        <w:tc>
          <w:tcPr>
            <w:tcW w:w="202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71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</w:tr>
    </w:tbl>
    <w:p>
      <w:pPr>
        <w:rPr>
          <w:color w:val="auto"/>
          <w:sz w:val="16"/>
          <w:szCs w:val="16"/>
        </w:rPr>
      </w:pPr>
      <w:r>
        <w:rPr>
          <w:rFonts w:hint="eastAsia" w:ascii="Times New Roman" w:hAnsi="Times New Roman" w:cs="Times New Roman"/>
          <w:color w:val="auto"/>
          <w:spacing w:val="15"/>
          <w:sz w:val="16"/>
          <w:szCs w:val="16"/>
          <w:lang w:eastAsia="zh-CN"/>
        </w:rPr>
        <w:t>wIPV</w:t>
      </w:r>
      <w:r>
        <w:rPr>
          <w:rFonts w:hint="default" w:ascii="Times New Roman" w:hAnsi="Times New Roman" w:cs="Times New Roman"/>
          <w:color w:val="auto"/>
          <w:spacing w:val="15"/>
          <w:sz w:val="16"/>
          <w:szCs w:val="16"/>
        </w:rPr>
        <w:t>：conventional inactivated poliovirus vaccine；sIPV：Sabin strain-based inactivated poliovirus vaccine；tOPV：trivalent oral poliovirus vaccine；bOPV：bivalent oral poliovirus vaccine</w:t>
      </w:r>
    </w:p>
    <w:p>
      <w:pPr>
        <w:spacing w:line="480" w:lineRule="auto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</w:p>
    <w:p>
      <w:pPr>
        <w:spacing w:line="480" w:lineRule="auto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</w:p>
    <w:p>
      <w:pPr>
        <w:spacing w:line="480" w:lineRule="auto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</w:p>
    <w:p>
      <w:pPr>
        <w:spacing w:line="480" w:lineRule="auto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</w:p>
    <w:p>
      <w:pPr>
        <w:spacing w:line="480" w:lineRule="auto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</w:p>
    <w:p>
      <w:pPr>
        <w:spacing w:line="480" w:lineRule="auto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cs="Times New Roman"/>
          <w:color w:val="FF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  <w:t>Supplementary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 xml:space="preserve"> Table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 S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Demographic characteristics of Subjects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6"/>
        <w:gridCol w:w="1878"/>
        <w:gridCol w:w="1878"/>
        <w:gridCol w:w="1878"/>
        <w:gridCol w:w="1878"/>
        <w:gridCol w:w="1878"/>
        <w:gridCol w:w="1878"/>
        <w:gridCol w:w="1000"/>
      </w:tblGrid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-bOPV-bOPV</w:t>
            </w:r>
          </w:p>
        </w:tc>
        <w:tc>
          <w:tcPr>
            <w:tcW w:w="66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-bOPV</w:t>
            </w:r>
          </w:p>
        </w:tc>
        <w:tc>
          <w:tcPr>
            <w:tcW w:w="66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-tOPV</w:t>
            </w:r>
          </w:p>
        </w:tc>
        <w:tc>
          <w:tcPr>
            <w:tcW w:w="66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sIPV-bOPV-bOPV</w:t>
            </w:r>
          </w:p>
        </w:tc>
        <w:tc>
          <w:tcPr>
            <w:tcW w:w="66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66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35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</w:rPr>
              <w:t xml:space="preserve"> Value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exact"/>
        </w:trPr>
        <w:tc>
          <w:tcPr>
            <w:tcW w:w="67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(n=183)</w:t>
            </w:r>
          </w:p>
        </w:tc>
        <w:tc>
          <w:tcPr>
            <w:tcW w:w="66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(n=183)</w:t>
            </w:r>
          </w:p>
        </w:tc>
        <w:tc>
          <w:tcPr>
            <w:tcW w:w="66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(n=184)</w:t>
            </w:r>
          </w:p>
        </w:tc>
        <w:tc>
          <w:tcPr>
            <w:tcW w:w="66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(n=188)</w:t>
            </w:r>
          </w:p>
        </w:tc>
        <w:tc>
          <w:tcPr>
            <w:tcW w:w="66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(n=186)</w:t>
            </w:r>
          </w:p>
        </w:tc>
        <w:tc>
          <w:tcPr>
            <w:tcW w:w="66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(n=180)</w:t>
            </w:r>
          </w:p>
        </w:tc>
        <w:tc>
          <w:tcPr>
            <w:tcW w:w="35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Age (years), mean ± SD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2.6±0.1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2.6±0.1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2.6±0.1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2.6±0.1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2.6±0.1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2.6±0.1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0.99</w:t>
            </w:r>
            <w:r>
              <w:rPr>
                <w:rFonts w:hint="eastAsia" w:ascii="Times New Roman" w:hAnsi="Times New Roman" w:cs="Times New Roman"/>
                <w:sz w:val="16"/>
                <w:szCs w:val="16"/>
                <w:vertAlign w:val="superscript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Sex, n (%)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0.46</w:t>
            </w:r>
            <w:r>
              <w:rPr>
                <w:rFonts w:hint="eastAsia" w:ascii="Times New Roman" w:hAnsi="Times New Roman" w:cs="Times New Roman"/>
                <w:sz w:val="16"/>
                <w:szCs w:val="16"/>
                <w:vertAlign w:val="superscript"/>
                <w:lang w:val="en-US" w:eastAsia="zh-CN"/>
              </w:rPr>
              <w:t>b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90(49.2)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105(57.4)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97(52.7)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107(56.9)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100(53.8)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89(49.4)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93(50.8)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78(42.6)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87(47.3)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81(43.1)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86(46.2)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91(50.6)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Race, n (%)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Han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53(33%)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59(32.2%)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62(33.7%)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62(33%)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50(26.9%)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48(26.7%)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0.5</w:t>
            </w:r>
            <w:r>
              <w:rPr>
                <w:rFonts w:hint="eastAsia" w:ascii="Times New Roman" w:hAnsi="Times New Roman" w:cs="Times New Roman"/>
                <w:sz w:val="16"/>
                <w:szCs w:val="16"/>
                <w:vertAlign w:val="superscript"/>
                <w:lang w:val="en-US" w:eastAsia="zh-CN"/>
              </w:rPr>
              <w:t>b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Zhuang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115(62.8%)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111(60.7%)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106(57.6%)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113(60.1%)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121(65.1%)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116(64.4%)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0.7</w:t>
            </w:r>
            <w:r>
              <w:rPr>
                <w:rFonts w:hint="eastAsia" w:ascii="Times New Roman" w:hAnsi="Times New Roman" w:cs="Times New Roman"/>
                <w:sz w:val="16"/>
                <w:szCs w:val="16"/>
                <w:vertAlign w:val="superscript"/>
                <w:lang w:val="en-US" w:eastAsia="zh-CN"/>
              </w:rPr>
              <w:t>b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Miao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4(2.2%)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4(2.2%)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5(2.7%)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4(2.1%)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4(2.2%)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3(1.7%)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hint="eastAsia" w:ascii="Times New Roman" w:hAnsi="Times New Roman" w:cs="Times New Roman"/>
                <w:sz w:val="16"/>
                <w:szCs w:val="16"/>
                <w:vertAlign w:val="superscript"/>
                <w:lang w:val="en-US" w:eastAsia="zh-CN"/>
              </w:rPr>
              <w:t>b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Yao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1(0.5%)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3(1.6%)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0(0%)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1(0.5%)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1(0.5%)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2(1.1%)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0.5</w:t>
            </w:r>
            <w:r>
              <w:rPr>
                <w:rFonts w:hint="eastAsia" w:ascii="Times New Roman" w:hAnsi="Times New Roman" w:cs="Times New Roman"/>
                <w:sz w:val="16"/>
                <w:szCs w:val="16"/>
                <w:vertAlign w:val="superscript"/>
                <w:lang w:val="en-US" w:eastAsia="zh-CN"/>
              </w:rPr>
              <w:t>b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Other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10(5.5%)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6(3.3%)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11(6%)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8(4.3%)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10(5.4%)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11(6.1%)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0.8</w:t>
            </w:r>
            <w:r>
              <w:rPr>
                <w:rFonts w:hint="eastAsia" w:ascii="Times New Roman" w:hAnsi="Times New Roman" w:cs="Times New Roman"/>
                <w:sz w:val="16"/>
                <w:szCs w:val="16"/>
                <w:vertAlign w:val="superscript"/>
                <w:lang w:val="en-US" w:eastAsia="zh-CN"/>
              </w:rPr>
              <w:t>b</w:t>
            </w:r>
          </w:p>
        </w:tc>
      </w:tr>
    </w:tbl>
    <w:p>
      <w:pPr>
        <w:rPr>
          <w:rFonts w:hint="default" w:ascii="Times New Roman" w:hAnsi="Times New Roman" w:cs="Times New Roman"/>
          <w:color w:val="auto"/>
          <w:spacing w:val="15"/>
          <w:sz w:val="16"/>
          <w:szCs w:val="16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pacing w:val="15"/>
          <w:sz w:val="16"/>
          <w:szCs w:val="16"/>
          <w:lang w:eastAsia="zh-CN"/>
        </w:rPr>
        <w:t>wIPV</w:t>
      </w:r>
      <w:r>
        <w:rPr>
          <w:rFonts w:hint="default" w:ascii="Times New Roman" w:hAnsi="Times New Roman" w:cs="Times New Roman"/>
          <w:color w:val="auto"/>
          <w:spacing w:val="15"/>
          <w:sz w:val="16"/>
          <w:szCs w:val="16"/>
        </w:rPr>
        <w:t>：conventional inactivated poliovirus vaccine；sIPV：Sabin strain-based inactivated poliovirus vaccine；tOPV：trivalent oral poliovirus vaccine；bOPV：bivalent oral poliovirus vaccine</w:t>
      </w:r>
      <w:r>
        <w:rPr>
          <w:rFonts w:hint="eastAsia" w:ascii="Times New Roman" w:hAnsi="Times New Roman" w:cs="Times New Roman"/>
          <w:color w:val="auto"/>
          <w:spacing w:val="15"/>
          <w:sz w:val="16"/>
          <w:szCs w:val="16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color w:val="auto"/>
          <w:spacing w:val="15"/>
          <w:sz w:val="16"/>
          <w:szCs w:val="16"/>
          <w:lang w:val="en-GB" w:eastAsia="zh-CN"/>
        </w:rPr>
        <w:t>SD</w:t>
      </w:r>
      <w:r>
        <w:rPr>
          <w:rFonts w:hint="eastAsia" w:ascii="Times New Roman" w:hAnsi="Times New Roman" w:cs="Times New Roman"/>
          <w:color w:val="auto"/>
          <w:spacing w:val="15"/>
          <w:sz w:val="16"/>
          <w:szCs w:val="16"/>
          <w:lang w:val="en-US" w:eastAsia="zh-CN"/>
        </w:rPr>
        <w:t xml:space="preserve">: </w:t>
      </w:r>
      <w:r>
        <w:rPr>
          <w:rFonts w:hint="eastAsia" w:ascii="Times New Roman" w:hAnsi="Times New Roman" w:cs="Times New Roman"/>
          <w:color w:val="auto"/>
          <w:spacing w:val="15"/>
          <w:sz w:val="16"/>
          <w:szCs w:val="16"/>
          <w:lang w:val="en-GB" w:eastAsia="zh-CN"/>
        </w:rPr>
        <w:t>standard deviation</w:t>
      </w:r>
      <w:r>
        <w:rPr>
          <w:rFonts w:hint="eastAsia" w:ascii="Times New Roman" w:hAnsi="Times New Roman" w:cs="Times New Roman"/>
          <w:color w:val="auto"/>
          <w:spacing w:val="15"/>
          <w:sz w:val="16"/>
          <w:szCs w:val="16"/>
          <w:lang w:val="en-US" w:eastAsia="zh-CN"/>
        </w:rPr>
        <w:t xml:space="preserve">. a: </w:t>
      </w:r>
      <w:r>
        <w:rPr>
          <w:rFonts w:hint="default" w:ascii="Times New Roman" w:hAnsi="Times New Roman" w:cs="Times New Roman"/>
          <w:color w:val="000000"/>
          <w:sz w:val="16"/>
          <w:szCs w:val="16"/>
        </w:rPr>
        <w:t>Kruskal-Wallis test</w:t>
      </w:r>
      <w:r>
        <w:rPr>
          <w:rFonts w:hint="eastAsia" w:ascii="Times New Roman" w:hAnsi="Times New Roman" w:cs="Times New Roman"/>
          <w:color w:val="000000"/>
          <w:sz w:val="16"/>
          <w:szCs w:val="16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color w:val="auto"/>
          <w:spacing w:val="15"/>
          <w:sz w:val="16"/>
          <w:szCs w:val="16"/>
          <w:lang w:val="en-US" w:eastAsia="zh-CN"/>
        </w:rPr>
        <w:t>b: Pearson’s chi-square test.</w:t>
      </w:r>
    </w:p>
    <w:p>
      <w:pPr>
        <w:rPr>
          <w:rFonts w:hint="default" w:eastAsiaTheme="minorEastAsia"/>
          <w:color w:val="auto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  <w:t>Supplementary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 xml:space="preserve"> Table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 S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Negative rate for neutralizing antibody against PV1, PV2, and PV3 at 28 days after basic immunization</w:t>
      </w:r>
    </w:p>
    <w:tbl>
      <w:tblPr>
        <w:tblStyle w:val="3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0"/>
        <w:gridCol w:w="1775"/>
        <w:gridCol w:w="1752"/>
        <w:gridCol w:w="1758"/>
        <w:gridCol w:w="1896"/>
        <w:gridCol w:w="1896"/>
        <w:gridCol w:w="1758"/>
        <w:gridCol w:w="175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54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26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-bOPV-bOPV</w:t>
            </w:r>
          </w:p>
        </w:tc>
        <w:tc>
          <w:tcPr>
            <w:tcW w:w="618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-bOPV</w:t>
            </w:r>
          </w:p>
        </w:tc>
        <w:tc>
          <w:tcPr>
            <w:tcW w:w="620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-tOPV</w:t>
            </w:r>
          </w:p>
        </w:tc>
        <w:tc>
          <w:tcPr>
            <w:tcW w:w="669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sIPV-bOPV-bOPV</w:t>
            </w:r>
          </w:p>
        </w:tc>
        <w:tc>
          <w:tcPr>
            <w:tcW w:w="669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620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620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zh-CN"/>
              </w:rPr>
              <w:t xml:space="preserve">P 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lang w:val="en-US" w:eastAsia="zh-CN"/>
              </w:rPr>
              <w:t>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n=194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n=194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n=191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n=195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n=197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n=194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Type 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bookmarkStart w:id="0" w:name="OLE_LINK1" w:colFirst="1" w:colLast="6"/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Negative , n(%)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/194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/194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/191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/195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/197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/194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vertAlign w:val="superscript"/>
                <w:lang w:val="en-US" w:eastAsia="zh-CN" w:bidi="ar"/>
              </w:rPr>
              <w:t>a</w:t>
            </w: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Type 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Negative , n(%)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/194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（17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.5%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2/194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.0%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1/191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.5%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/195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（28.2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/197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（2.5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/194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&lt;0.0001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vertAlign w:val="superscript"/>
                <w:lang w:val="en-US" w:eastAsia="zh-CN" w:bidi="ar"/>
              </w:rPr>
              <w:t>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Type 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Negative , n(%)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/194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/194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/191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/195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/197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1/194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.5%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0.664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vertAlign w:val="superscript"/>
                <w:lang w:val="en-US" w:eastAsia="zh-CN" w:bidi="ar"/>
              </w:rPr>
              <w:t>a</w:t>
            </w:r>
          </w:p>
        </w:tc>
      </w:tr>
    </w:tbl>
    <w:p>
      <w:pPr>
        <w:rPr>
          <w:rFonts w:hint="default" w:ascii="Times New Roman" w:hAnsi="Times New Roman" w:cs="Times New Roman"/>
          <w:spacing w:val="15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pacing w:val="15"/>
          <w:sz w:val="16"/>
          <w:szCs w:val="16"/>
          <w:lang w:eastAsia="zh-CN"/>
        </w:rPr>
        <w:t>wIPV</w:t>
      </w:r>
      <w:r>
        <w:rPr>
          <w:rFonts w:hint="default" w:ascii="Times New Roman" w:hAnsi="Times New Roman" w:cs="Times New Roman"/>
          <w:color w:val="auto"/>
          <w:spacing w:val="15"/>
          <w:sz w:val="16"/>
          <w:szCs w:val="16"/>
        </w:rPr>
        <w:t>：</w:t>
      </w:r>
      <w:r>
        <w:rPr>
          <w:rFonts w:hint="default" w:ascii="Times New Roman" w:hAnsi="Times New Roman" w:cs="Times New Roman"/>
          <w:color w:val="auto"/>
          <w:spacing w:val="15"/>
          <w:sz w:val="16"/>
          <w:szCs w:val="16"/>
          <w:lang w:val="en-US" w:eastAsia="zh-CN"/>
        </w:rPr>
        <w:t>wild/</w:t>
      </w:r>
      <w:r>
        <w:rPr>
          <w:rFonts w:hint="default" w:ascii="Times New Roman" w:hAnsi="Times New Roman" w:cs="Times New Roman"/>
          <w:color w:val="auto"/>
          <w:spacing w:val="15"/>
          <w:sz w:val="16"/>
          <w:szCs w:val="16"/>
        </w:rPr>
        <w:t>conventional inactivated poliovirus vaccine；sIPV：Sabin strain-based inactivated poliovirus vaccine；tOPV：trivalent oral poliovirus vaccine；bOPV：bivalent oral poliovirus vaccine</w:t>
      </w:r>
      <w:r>
        <w:rPr>
          <w:rFonts w:hint="default" w:ascii="Times New Roman" w:hAnsi="Times New Roman" w:cs="Times New Roman"/>
          <w:color w:val="auto"/>
          <w:spacing w:val="15"/>
          <w:sz w:val="16"/>
          <w:szCs w:val="16"/>
          <w:lang w:val="en-US" w:eastAsia="zh-CN"/>
        </w:rPr>
        <w:t>.</w:t>
      </w:r>
      <w:r>
        <w:rPr>
          <w:rFonts w:hint="eastAsia" w:ascii="Times New Roman" w:hAnsi="Times New Roman" w:cs="Times New Roman"/>
          <w:color w:val="auto"/>
          <w:spacing w:val="15"/>
          <w:sz w:val="16"/>
          <w:szCs w:val="16"/>
          <w:lang w:val="en-US" w:eastAsia="zh-CN"/>
        </w:rPr>
        <w:t xml:space="preserve"> </w:t>
      </w:r>
      <w:r>
        <w:rPr>
          <w:rFonts w:hint="eastAsia"/>
          <w:sz w:val="16"/>
          <w:szCs w:val="16"/>
          <w:lang w:val="en-US" w:eastAsia="zh-CN"/>
        </w:rPr>
        <w:t xml:space="preserve">a: </w:t>
      </w:r>
      <w:r>
        <w:rPr>
          <w:sz w:val="16"/>
          <w:szCs w:val="16"/>
        </w:rPr>
        <w:t>Fisher’s exact test</w:t>
      </w:r>
      <w:r>
        <w:rPr>
          <w:rFonts w:hint="eastAsia"/>
          <w:sz w:val="16"/>
          <w:szCs w:val="16"/>
          <w:lang w:val="en-US" w:eastAsia="zh-CN"/>
        </w:rPr>
        <w:t xml:space="preserve">. </w:t>
      </w:r>
    </w:p>
    <w:p>
      <w:pPr>
        <w:rPr>
          <w:rFonts w:hint="default" w:ascii="Times New Roman" w:hAnsi="Times New Roman" w:cs="Times New Roman"/>
        </w:rPr>
      </w:pPr>
    </w:p>
    <w:p/>
    <w:p/>
    <w:p/>
    <w:p/>
    <w:p/>
    <w:p/>
    <w:p/>
    <w:p/>
    <w:p/>
    <w:p/>
    <w:p/>
    <w:p/>
    <w:p>
      <w:pPr>
        <w:rPr>
          <w:rFonts w:hint="default" w:eastAsiaTheme="minorEastAsia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  <w:t>Supplementary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 xml:space="preserve"> Table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 S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Multiple comparisons of seronegativity against PV2 at 28 days after basic immunization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2"/>
        <w:gridCol w:w="2362"/>
        <w:gridCol w:w="2362"/>
        <w:gridCol w:w="2362"/>
        <w:gridCol w:w="2363"/>
        <w:gridCol w:w="236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Immunogenicity indicator</w:t>
            </w:r>
          </w:p>
        </w:tc>
        <w:tc>
          <w:tcPr>
            <w:tcW w:w="23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Group</w:t>
            </w:r>
          </w:p>
        </w:tc>
        <w:tc>
          <w:tcPr>
            <w:tcW w:w="23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3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Group</w:t>
            </w:r>
          </w:p>
        </w:tc>
        <w:tc>
          <w:tcPr>
            <w:tcW w:w="23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Test method</w:t>
            </w:r>
          </w:p>
        </w:tc>
        <w:tc>
          <w:tcPr>
            <w:tcW w:w="23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 xml:space="preserve">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poliovirus type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236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-bOPV-bOPV</w:t>
            </w:r>
          </w:p>
        </w:tc>
        <w:tc>
          <w:tcPr>
            <w:tcW w:w="236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36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-bOPV</w:t>
            </w:r>
          </w:p>
        </w:tc>
        <w:tc>
          <w:tcPr>
            <w:tcW w:w="236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-tOPV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sIPV-bOPV-bOPV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0.016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-bOPV</w:t>
            </w: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-tOPV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sIPV-bOPV-bOPV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0.449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0.499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-tOPV</w:t>
            </w: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sIPV-bOPV-bOPV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0.496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sIPV-bOPV-bOPV</w:t>
            </w: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0.061</w:t>
            </w:r>
          </w:p>
        </w:tc>
      </w:tr>
    </w:tbl>
    <w:p>
      <w:pPr>
        <w:rPr>
          <w:rFonts w:hint="default" w:ascii="Times New Roman" w:hAnsi="Times New Roman" w:eastAsia="宋体" w:cs="Times New Roman"/>
          <w:color w:val="auto"/>
          <w:spacing w:val="15"/>
          <w:sz w:val="16"/>
          <w:szCs w:val="16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pacing w:val="15"/>
          <w:sz w:val="16"/>
          <w:szCs w:val="16"/>
          <w:lang w:eastAsia="zh-CN"/>
        </w:rPr>
        <w:t>wIPV</w:t>
      </w:r>
      <w:r>
        <w:rPr>
          <w:rFonts w:hint="default" w:ascii="Times New Roman" w:hAnsi="Times New Roman" w:cs="Times New Roman"/>
          <w:color w:val="auto"/>
          <w:spacing w:val="15"/>
          <w:sz w:val="16"/>
          <w:szCs w:val="16"/>
        </w:rPr>
        <w:t>：conventional inactivated poliovirus vaccine；sIPV：Sabin strain-based inactivated poliovirus vaccine；tOPV：trivalent oral poliovirus vaccine；bOPV：bivalent oral poliovirus vaccine</w:t>
      </w:r>
      <w:r>
        <w:rPr>
          <w:rFonts w:hint="eastAsia" w:ascii="Times New Roman" w:hAnsi="Times New Roman" w:cs="Times New Roman"/>
          <w:color w:val="auto"/>
          <w:spacing w:val="15"/>
          <w:sz w:val="16"/>
          <w:szCs w:val="16"/>
          <w:lang w:val="en-US" w:eastAsia="zh-CN"/>
        </w:rPr>
        <w:t>.</w:t>
      </w:r>
    </w:p>
    <w:p>
      <w:pPr>
        <w:rPr>
          <w:rFonts w:hint="default"/>
          <w:lang w:val="en-US" w:eastAsia="zh-CN"/>
        </w:rPr>
      </w:pPr>
    </w:p>
    <w:p/>
    <w:p/>
    <w:p/>
    <w:p/>
    <w:p/>
    <w:p>
      <w:pPr>
        <w:jc w:val="left"/>
        <w:rPr>
          <w:rFonts w:hint="default" w:ascii="Times New Roman" w:hAnsi="Times New Roman" w:cs="Times New Roman"/>
          <w:sz w:val="24"/>
          <w:szCs w:val="24"/>
        </w:rPr>
      </w:pPr>
    </w:p>
    <w:p>
      <w:pPr>
        <w:jc w:val="lef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  <w:t>Supplementary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 xml:space="preserve"> Table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 S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Multiple comparisons of the number of subjects re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vaccinated with 1 dose of IPV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2"/>
        <w:gridCol w:w="2835"/>
        <w:gridCol w:w="850"/>
        <w:gridCol w:w="2835"/>
        <w:gridCol w:w="2363"/>
        <w:gridCol w:w="236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age of revaccination</w:t>
            </w:r>
          </w:p>
        </w:tc>
        <w:tc>
          <w:tcPr>
            <w:tcW w:w="283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Group</w:t>
            </w:r>
          </w:p>
        </w:tc>
        <w:tc>
          <w:tcPr>
            <w:tcW w:w="85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83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Group</w:t>
            </w:r>
          </w:p>
        </w:tc>
        <w:tc>
          <w:tcPr>
            <w:tcW w:w="236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Test method</w:t>
            </w:r>
          </w:p>
        </w:tc>
        <w:tc>
          <w:tcPr>
            <w:tcW w:w="236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24 months of age</w:t>
            </w:r>
          </w:p>
        </w:tc>
        <w:tc>
          <w:tcPr>
            <w:tcW w:w="2835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-bOPV-bOPV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835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-bOPV</w:t>
            </w:r>
          </w:p>
        </w:tc>
        <w:tc>
          <w:tcPr>
            <w:tcW w:w="2363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-tOPV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sIPV-bOPV-bOPV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-bOPV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-tOPV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0.121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sIPV-bOPV-bOPV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0.747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0.215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-tOPV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sIPV-bOPV-bOPV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0.372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sIPV-bOPV-bOPV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0.373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36 months of age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-bOPV-bOPV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-bOPV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0.052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-tOPV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0.00018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sIPV-bOPV-bOPV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0.00049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0.877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0.00033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-bOPV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-tOPV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0.088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sIPV-bOPV-bOPV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0.075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0.134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-tOPV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sIPV-bOPV-bOPV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sIPV-bOPV-bOPV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0.00017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48 months of age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-bOPV-bOPV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-bOPV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0.508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-tOPV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0.00003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sIPV-bOPV-bOPV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0.205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-bOPV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-tOPV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sIPV-bOPV-bOPV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0.65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0.515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-tOPV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sIPV-bOPV-bOPV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0.00003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sIPV-bOPV-bOPV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0.271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</w:tbl>
    <w:p>
      <w:pPr>
        <w:rPr>
          <w:rFonts w:hint="default" w:ascii="Times New Roman" w:hAnsi="Times New Roman" w:eastAsia="宋体" w:cs="Times New Roman"/>
          <w:color w:val="auto"/>
          <w:spacing w:val="15"/>
          <w:sz w:val="16"/>
          <w:szCs w:val="16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pacing w:val="15"/>
          <w:sz w:val="16"/>
          <w:szCs w:val="16"/>
          <w:lang w:eastAsia="zh-CN"/>
        </w:rPr>
        <w:t>wIPV</w:t>
      </w:r>
      <w:r>
        <w:rPr>
          <w:rFonts w:hint="default" w:ascii="Times New Roman" w:hAnsi="Times New Roman" w:cs="Times New Roman"/>
          <w:color w:val="auto"/>
          <w:spacing w:val="15"/>
          <w:sz w:val="16"/>
          <w:szCs w:val="16"/>
        </w:rPr>
        <w:t>：conventional inactivated poliovirus vaccine；sIPV：Sabin strain-based inactivated poliovirus vaccine；tOPV：trivalent oral poliovirus vaccine；bOPV：bivalent oral poliovirus vaccine</w:t>
      </w:r>
      <w:r>
        <w:rPr>
          <w:rFonts w:hint="eastAsia" w:ascii="Times New Roman" w:hAnsi="Times New Roman" w:cs="Times New Roman"/>
          <w:color w:val="auto"/>
          <w:spacing w:val="15"/>
          <w:sz w:val="16"/>
          <w:szCs w:val="16"/>
          <w:lang w:val="en-US" w:eastAsia="zh-CN"/>
        </w:rPr>
        <w:t>.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jc w:val="left"/>
        <w:rPr>
          <w:rFonts w:hint="default" w:ascii="Times New Roman" w:hAnsi="Times New Roman" w:cs="Times New Roman"/>
          <w:sz w:val="24"/>
          <w:szCs w:val="24"/>
        </w:rPr>
      </w:pPr>
    </w:p>
    <w:p>
      <w:pPr>
        <w:jc w:val="left"/>
        <w:rPr>
          <w:rFonts w:hint="default" w:ascii="Times New Roman" w:hAnsi="Times New Roman" w:cs="Times New Roman"/>
          <w:sz w:val="24"/>
          <w:szCs w:val="24"/>
        </w:rPr>
      </w:pPr>
    </w:p>
    <w:p>
      <w:pPr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  <w:t>Supplementary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 xml:space="preserve"> Table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 S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Multiple comparison of neutralizing antibody geometric mean titers (GMT)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at </w:t>
      </w:r>
      <w:r>
        <w:rPr>
          <w:rFonts w:hint="default" w:ascii="Times New Roman" w:hAnsi="Times New Roman" w:cs="Times New Roman"/>
          <w:sz w:val="24"/>
          <w:szCs w:val="24"/>
        </w:rPr>
        <w:t>28 days after re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vaccination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with </w:t>
      </w:r>
      <w:r>
        <w:rPr>
          <w:rFonts w:hint="default" w:ascii="Times New Roman" w:hAnsi="Times New Roman" w:cs="Times New Roman"/>
          <w:sz w:val="24"/>
          <w:szCs w:val="24"/>
        </w:rPr>
        <w:t>IPV</w:t>
      </w:r>
    </w:p>
    <w:tbl>
      <w:tblPr>
        <w:tblStyle w:val="4"/>
        <w:tblW w:w="4998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5"/>
        <w:gridCol w:w="2636"/>
        <w:gridCol w:w="989"/>
        <w:gridCol w:w="2636"/>
        <w:gridCol w:w="2636"/>
        <w:gridCol w:w="263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age-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Immunogenicity indicator</w:t>
            </w:r>
          </w:p>
        </w:tc>
        <w:tc>
          <w:tcPr>
            <w:tcW w:w="93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Group</w:t>
            </w:r>
          </w:p>
        </w:tc>
        <w:tc>
          <w:tcPr>
            <w:tcW w:w="3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93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Group</w:t>
            </w:r>
          </w:p>
        </w:tc>
        <w:tc>
          <w:tcPr>
            <w:tcW w:w="93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Test method</w:t>
            </w:r>
          </w:p>
        </w:tc>
        <w:tc>
          <w:tcPr>
            <w:tcW w:w="93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24 months-type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 xml:space="preserve"> 1</w:t>
            </w:r>
          </w:p>
        </w:tc>
        <w:tc>
          <w:tcPr>
            <w:tcW w:w="930" w:type="pct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wIPV-bOPV-bOPV(-IPV)</w:t>
            </w:r>
          </w:p>
        </w:tc>
        <w:tc>
          <w:tcPr>
            <w:tcW w:w="349" w:type="pct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930" w:type="pct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wIPV-wIPV-bOPV(-IPV)</w:t>
            </w:r>
          </w:p>
        </w:tc>
        <w:tc>
          <w:tcPr>
            <w:tcW w:w="930" w:type="pct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tcBorders>
              <w:top w:val="single" w:color="auto" w:sz="4" w:space="0"/>
            </w:tcBorders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wIPV-wIPV-tOPV(-IPV)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sIPV-bOPV-bOPV(-IPV)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0.544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sIPV-sIPV-bOPV(-IPV)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sIPV-sIPV-tOPV(-IPV)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wIPV-wIPV-bOPV(-IPV)</w:t>
            </w: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wIPV-wIPV-tOPV(-IPV)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sIPV-bOPV-bOPV(-IPV)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0.3279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sIPV-sIPV-bOPV(-IPV)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0.9012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sIPV-sIPV-tOPV(-IPV)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0.3161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wIPV-wIPV-tOPV(-IPV)</w:t>
            </w: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sIPV-bOPV-bOPV(-IPV)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sIPV-sIPV-bOPV(-IPV)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sIPV-sIPV-tOPV(-IPV)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sIPV-bOPV-bOPV(-IPV)</w:t>
            </w: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sIPV-sIPV-bOPV(-IPV)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sIPV-sIPV-tOPV(-IPV)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sIPV-sIPV-bOPV(-IPV)</w:t>
            </w: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sIPV-sIPV-tOPV(-IPV)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24 months-type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 xml:space="preserve"> 3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wIPV-bOPV-bOPV(-IPV)</w:t>
            </w: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wIPV-wIPV-bOPV(-IPV)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0.8389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wIPV-wIPV-tOPV(-IPV)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sIPV-bOPV-bOPV(-IPV)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sIPV-sIPV-bOPV(-IPV)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0.6798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sIPV-sIPV-tOPV(-IPV)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wIPV-wIPV-bOPV(-IPV)</w:t>
            </w: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wIPV-wIPV-tOPV(-IPV)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sIPV-bOPV-bOPV(-IPV)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0.5901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sIPV-sIPV-bOPV(-IPV)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0.0654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sIPV-sIPV-tOPV(-IPV)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wIPV-wIPV-tOPV(-IPV)</w:t>
            </w: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sIPV-bOPV-bOPV(-IPV)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sIPV-sIPV-bOPV(-IPV)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sIPV-sIPV-tOPV(-IPV)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sIPV-bOPV-bOPV(-IPV)</w:t>
            </w: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sIPV-sIPV-bOPV(-IPV)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0.8822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sIPV-sIPV-tOPV(-IPV)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sIPV-sIPV-bOPV(-IPV)</w:t>
            </w: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sIPV-sIPV-tOPV(-IPV)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0.2387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36 months-type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 xml:space="preserve"> 1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wIPV-bOPV-bOPV(-IPV)</w:t>
            </w: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wIPV-wIPV-bOPV(-IPV)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0.1956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wIPV-wIPV-tOPV(-IPV)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0.0928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sIPV-bOPV-bOPV(-IPV)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sIPV-sIPV-bOPV(-IPV)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sIPV-sIPV-tOPV(-IPV)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0.4391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wIPV-wIPV-bOPV(-IPV)</w:t>
            </w: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wIPV-wIPV-tOPV(-IPV)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sIPV-bOPV-bOPV(-IPV)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0.1895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sIPV-sIPV-bOPV(-IPV)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0.0624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sIPV-sIPV-tOPV(-IPV)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FF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0.0038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wIPV-wIPV-tOPV(-IPV)</w:t>
            </w: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sIPV-bOPV-bOPV(-IPV)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0.1026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sIPV-sIPV-bOPV(-IPV)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0.0383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sIPV-sIPV-tOPV(-IPV)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sIPV-bOPV-bOPV(-IPV)</w:t>
            </w: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sIPV-sIPV-bOPV(-IPV)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sIPV-sIPV-tOPV(-IPV)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0.2069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sIPV-sIPV-bOPV(-IPV)</w:t>
            </w: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sIPV-sIPV-tOPV(-IPV)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0.8971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36 months-type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 xml:space="preserve"> 2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wIPV-bOPV-bOPV(-IPV)</w:t>
            </w: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wIPV-wIPV-bOPV(-IPV)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wIPV-wIPV-tOPV(-IPV)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sIPV-bOPV-bOPV(-IPV)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0.1628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sIPV-sIPV-bOPV(-IPV)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sIPV-sIPV-tOPV(-IPV)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0.1188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wIPV-wIPV-bOPV(-IPV)</w:t>
            </w: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wIPV-wIPV-tOPV(-IPV)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sIPV-bOPV-bOPV(-IPV)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sIPV-sIPV-bOPV(-IPV)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sIPV-sIPV-tOPV(-IPV)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0.0722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wIPV-wIPV-tOPV(-IPV)</w:t>
            </w: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sIPV-bOPV-bOPV(-IPV)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0.0587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sIPV-sIPV-bOPV(-IPV)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sIPV-sIPV-tOPV(-IPV)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sIPV-bOPV-bOPV(-IPV)</w:t>
            </w: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sIPV-sIPV-bOPV(-IPV)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0.0233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sIPV-sIPV-tOPV(-IPV)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0.0005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sIPV-sIPV-bOPV(-IPV)</w:t>
            </w: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sIPV-sIPV-tOPV(-IPV)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0.3096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48 months-type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 xml:space="preserve"> 3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wIPV-bOPV-bOPV(-IPV)</w:t>
            </w: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wIPV-wIPV-bOPV(-IPV)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0.3089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wIPV-wIPV-tOPV(-IPV)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sIPV-bOPV-bOPV(-IPV)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0.687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sIPV-sIPV-bOPV(-IPV)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FF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wIPV-wIPV-bOPV(-IPV)</w:t>
            </w: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wIPV-wIPV-tOPV(-IPV)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sIPV-bOPV-bOPV(-IPV)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sIPV-sIPV-bOPV(-IPV)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wIPV-wIPV-tOPV(-IPV)</w:t>
            </w: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sIPV-bOPV-bOPV(-IPV)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sIPV-sIPV-bOPV(-IPV)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sIPV-bOPV-bOPV(-IPV)</w:t>
            </w:r>
          </w:p>
        </w:tc>
        <w:tc>
          <w:tcPr>
            <w:tcW w:w="349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sIPV-sIPV-bOPV(-IPV)</w:t>
            </w:r>
          </w:p>
        </w:tc>
        <w:tc>
          <w:tcPr>
            <w:tcW w:w="930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930" w:type="pct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</w:tbl>
    <w:p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pacing w:val="15"/>
          <w:sz w:val="16"/>
          <w:szCs w:val="16"/>
          <w:lang w:eastAsia="zh-CN"/>
        </w:rPr>
        <w:t>wIPV</w:t>
      </w:r>
      <w:r>
        <w:rPr>
          <w:rFonts w:hint="default" w:ascii="Times New Roman" w:hAnsi="Times New Roman" w:cs="Times New Roman"/>
          <w:color w:val="auto"/>
          <w:spacing w:val="15"/>
          <w:sz w:val="16"/>
          <w:szCs w:val="16"/>
        </w:rPr>
        <w:t>：conventional inactivated poliovirus vaccine；sIPV：Sabin strain-based inactivated poliovirus vaccine；tOPV：trivalent oral poliovirus vaccine；bOPV：bivalent oral poliovirus vaccin</w:t>
      </w:r>
      <w:r>
        <w:rPr>
          <w:rFonts w:hint="eastAsia" w:ascii="Times New Roman" w:hAnsi="Times New Roman" w:cs="Times New Roman"/>
          <w:color w:val="auto"/>
          <w:spacing w:val="15"/>
          <w:sz w:val="16"/>
          <w:szCs w:val="16"/>
          <w:lang w:val="en-US" w:eastAsia="zh-CN"/>
        </w:rPr>
        <w:t>.</w:t>
      </w:r>
    </w:p>
    <w:p>
      <w:pPr>
        <w:jc w:val="left"/>
        <w:rPr>
          <w:rFonts w:hint="default" w:ascii="Times New Roman" w:hAnsi="Times New Roman" w:cs="Times New Roman"/>
        </w:rPr>
      </w:pPr>
    </w:p>
    <w:p>
      <w:pPr>
        <w:jc w:val="left"/>
        <w:rPr>
          <w:rFonts w:hint="default" w:ascii="Times New Roman" w:hAnsi="Times New Roman" w:cs="Times New Roman"/>
        </w:rPr>
      </w:pPr>
    </w:p>
    <w:p>
      <w:pPr>
        <w:jc w:val="left"/>
        <w:rPr>
          <w:rFonts w:hint="default" w:ascii="Times New Roman" w:hAnsi="Times New Roman" w:cs="Times New Roman"/>
        </w:rPr>
      </w:pPr>
    </w:p>
    <w:p>
      <w:pPr>
        <w:jc w:val="left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>
      <w:pPr>
        <w:jc w:val="left"/>
        <w:rPr>
          <w:rFonts w:hint="default" w:ascii="Times New Roman" w:hAnsi="Times New Roman" w:cs="Times New Roman"/>
          <w:color w:val="FF0000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  <w:t>Supplementary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 xml:space="preserve"> Table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 S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Multiple comparisons of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antibody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positive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rates against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PV2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before boost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er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immunization at 48 months of age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2"/>
        <w:gridCol w:w="2362"/>
        <w:gridCol w:w="2362"/>
        <w:gridCol w:w="2362"/>
        <w:gridCol w:w="2363"/>
        <w:gridCol w:w="236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Immunogenicity indicator</w:t>
            </w:r>
          </w:p>
        </w:tc>
        <w:tc>
          <w:tcPr>
            <w:tcW w:w="23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Group</w:t>
            </w:r>
          </w:p>
        </w:tc>
        <w:tc>
          <w:tcPr>
            <w:tcW w:w="23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3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Group</w:t>
            </w:r>
          </w:p>
        </w:tc>
        <w:tc>
          <w:tcPr>
            <w:tcW w:w="23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Test method</w:t>
            </w:r>
          </w:p>
        </w:tc>
        <w:tc>
          <w:tcPr>
            <w:tcW w:w="23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 xml:space="preserve">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poliovirus type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236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-bOPV-bOPV</w:t>
            </w:r>
          </w:p>
        </w:tc>
        <w:tc>
          <w:tcPr>
            <w:tcW w:w="236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36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-bOPV</w:t>
            </w:r>
          </w:p>
        </w:tc>
        <w:tc>
          <w:tcPr>
            <w:tcW w:w="236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0.321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-tOPV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sIPV-bOPV-bOPV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0.598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0.511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0.041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-bOPV</w:t>
            </w: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-tOPV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0.401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sIPV-bOPV-bOPV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0.116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0.403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-tOPV</w:t>
            </w: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sIPV-bOPV-bOPV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sIPV-bOPV-bOPV</w:t>
            </w: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36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Fisher exact test</w:t>
            </w:r>
          </w:p>
        </w:tc>
        <w:tc>
          <w:tcPr>
            <w:tcW w:w="236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</w:tbl>
    <w:p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pacing w:val="15"/>
          <w:sz w:val="16"/>
          <w:szCs w:val="16"/>
          <w:lang w:eastAsia="zh-CN"/>
        </w:rPr>
        <w:t>wIPV</w:t>
      </w:r>
      <w:r>
        <w:rPr>
          <w:rFonts w:hint="default" w:ascii="Times New Roman" w:hAnsi="Times New Roman" w:cs="Times New Roman"/>
          <w:color w:val="auto"/>
          <w:spacing w:val="15"/>
          <w:sz w:val="16"/>
          <w:szCs w:val="16"/>
        </w:rPr>
        <w:t>：conventional inactivated poliovirus vaccine；sIPV：Sabin strain-based inactivated poliovirus vaccine；tOPV：trivalent oral poliovirus vaccine；bOPV：bivalent oral poliovirus vaccin</w:t>
      </w:r>
      <w:r>
        <w:rPr>
          <w:rFonts w:hint="eastAsia" w:ascii="Times New Roman" w:hAnsi="Times New Roman" w:cs="Times New Roman"/>
          <w:color w:val="auto"/>
          <w:spacing w:val="15"/>
          <w:sz w:val="16"/>
          <w:szCs w:val="16"/>
          <w:lang w:val="en-US" w:eastAsia="zh-CN"/>
        </w:rPr>
        <w:t>.</w:t>
      </w:r>
    </w:p>
    <w:p>
      <w:pPr>
        <w:jc w:val="left"/>
        <w:rPr>
          <w:rFonts w:hint="default" w:ascii="Times New Roman" w:hAnsi="Times New Roman" w:cs="Times New Roman" w:eastAsiaTheme="minorEastAsia"/>
          <w:color w:val="000000"/>
        </w:rPr>
      </w:pPr>
    </w:p>
    <w:p>
      <w:pPr>
        <w:jc w:val="left"/>
        <w:rPr>
          <w:rFonts w:hint="default" w:ascii="Times New Roman" w:hAnsi="Times New Roman" w:cs="Times New Roman" w:eastAsiaTheme="minorEastAsia"/>
          <w:color w:val="000000"/>
        </w:rPr>
      </w:pPr>
    </w:p>
    <w:p>
      <w:pPr>
        <w:jc w:val="left"/>
        <w:rPr>
          <w:rFonts w:hint="default" w:ascii="Times New Roman" w:hAnsi="Times New Roman" w:cs="Times New Roman" w:eastAsiaTheme="minorEastAsia"/>
          <w:color w:val="000000"/>
        </w:rPr>
      </w:pPr>
    </w:p>
    <w:p>
      <w:pPr>
        <w:jc w:val="left"/>
        <w:rPr>
          <w:rFonts w:hint="default" w:ascii="Times New Roman" w:hAnsi="Times New Roman" w:cs="Times New Roman"/>
          <w:color w:val="000000"/>
        </w:rPr>
      </w:pPr>
    </w:p>
    <w:p>
      <w:pPr>
        <w:jc w:val="left"/>
        <w:rPr>
          <w:rFonts w:hint="default" w:ascii="Times New Roman" w:hAnsi="Times New Roman" w:cs="Times New Roman"/>
          <w:color w:val="000000"/>
        </w:rPr>
      </w:pPr>
    </w:p>
    <w:p>
      <w:pPr>
        <w:jc w:val="left"/>
        <w:rPr>
          <w:rFonts w:hint="default" w:ascii="Times New Roman" w:hAnsi="Times New Roman" w:cs="Times New Roman"/>
          <w:color w:val="000000"/>
        </w:rPr>
      </w:pPr>
    </w:p>
    <w:p>
      <w:pPr>
        <w:jc w:val="left"/>
        <w:rPr>
          <w:rFonts w:hint="default" w:ascii="Times New Roman" w:hAnsi="Times New Roman" w:cs="Times New Roman"/>
          <w:color w:val="000000"/>
        </w:rPr>
      </w:pPr>
    </w:p>
    <w:p>
      <w:pPr>
        <w:jc w:val="left"/>
        <w:rPr>
          <w:rFonts w:hint="default" w:ascii="Times New Roman" w:hAnsi="Times New Roman" w:cs="Times New Roman"/>
          <w:color w:val="FF0000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  <w:t>Supplementary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 xml:space="preserve"> Table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 S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Multiple comparisons of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GMT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for neutralizing antibody against PV1, PV2, and PV3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before boost immunization at 48 months of age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2"/>
        <w:gridCol w:w="2362"/>
        <w:gridCol w:w="2362"/>
        <w:gridCol w:w="2362"/>
        <w:gridCol w:w="2363"/>
        <w:gridCol w:w="236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Immunogenicity indicator</w:t>
            </w:r>
          </w:p>
        </w:tc>
        <w:tc>
          <w:tcPr>
            <w:tcW w:w="23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Group</w:t>
            </w:r>
          </w:p>
        </w:tc>
        <w:tc>
          <w:tcPr>
            <w:tcW w:w="23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3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Group</w:t>
            </w:r>
          </w:p>
        </w:tc>
        <w:tc>
          <w:tcPr>
            <w:tcW w:w="23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Test method</w:t>
            </w:r>
          </w:p>
        </w:tc>
        <w:tc>
          <w:tcPr>
            <w:tcW w:w="23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 xml:space="preserve">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poliovirus type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236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-bOPV-bOPV</w:t>
            </w:r>
          </w:p>
        </w:tc>
        <w:tc>
          <w:tcPr>
            <w:tcW w:w="236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36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-bOPV</w:t>
            </w:r>
          </w:p>
        </w:tc>
        <w:tc>
          <w:tcPr>
            <w:tcW w:w="236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-tOPV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0.0448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sIPV-bOPV-bOPV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0.0835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0.1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349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-bOPV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-tOPV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0.0076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sIPV-bOPV-bOPV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0.1115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0.1797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-tOPV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sIPV-bOPV-bOPV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0.0002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sIPV-bOPV-bOPV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0.1833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3111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poliovirus type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-bOPV-bOPV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-bOPV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-tOPV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sIPV-bOPV-bOPV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-bOPV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-tOPV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sIPV-bOPV-bOPV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-tOPV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sIPV-bOPV-bOPV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sIPV-bOPV-bOPV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poliovirus type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3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-bOPV-bOPV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-bOPV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0.0718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-tOPV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sIPV-bOPV-bOPV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0.1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907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-bOPV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-tOPV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sIPV-bOPV-bOPV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0.0680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-tOPV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sIPV-bOPV-bOPV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0.00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51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sIPV-bOPV-bOPV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sIPV-sIPV-bOPV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sIPV-sIPV-tOPV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0.1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536</w:t>
            </w:r>
          </w:p>
        </w:tc>
      </w:tr>
    </w:tbl>
    <w:p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pacing w:val="15"/>
          <w:sz w:val="16"/>
          <w:szCs w:val="16"/>
          <w:lang w:eastAsia="zh-CN"/>
        </w:rPr>
        <w:t>wIPV</w:t>
      </w:r>
      <w:r>
        <w:rPr>
          <w:rFonts w:hint="default" w:ascii="Times New Roman" w:hAnsi="Times New Roman" w:cs="Times New Roman"/>
          <w:color w:val="auto"/>
          <w:spacing w:val="15"/>
          <w:sz w:val="16"/>
          <w:szCs w:val="16"/>
        </w:rPr>
        <w:t>：conventional inactivated poliovirus vaccine；sIPV：Sabin strain-based inactivated poliovirus vaccine；tOPV：trivalent oral poliovirus vaccine；bOPV：bivalent oral poliovirus vaccin</w:t>
      </w:r>
      <w:r>
        <w:rPr>
          <w:rFonts w:hint="eastAsia" w:ascii="Times New Roman" w:hAnsi="Times New Roman" w:cs="Times New Roman"/>
          <w:color w:val="auto"/>
          <w:spacing w:val="15"/>
          <w:sz w:val="16"/>
          <w:szCs w:val="16"/>
          <w:lang w:val="en-US" w:eastAsia="zh-CN"/>
        </w:rPr>
        <w:t>.</w:t>
      </w:r>
    </w:p>
    <w:p>
      <w:pPr>
        <w:pStyle w:val="2"/>
        <w:spacing w:beforeAutospacing="0" w:afterAutospacing="0" w:line="328" w:lineRule="atLeast"/>
        <w:jc w:val="both"/>
        <w:rPr>
          <w:rFonts w:hint="default" w:ascii="Times New Roman" w:hAnsi="Times New Roman" w:cs="Times New Roman" w:eastAsiaTheme="minorEastAsia"/>
          <w:color w:val="auto"/>
          <w:spacing w:val="15"/>
          <w:kern w:val="2"/>
          <w:sz w:val="16"/>
          <w:szCs w:val="16"/>
          <w:lang w:val="en-US" w:eastAsia="zh-CN" w:bidi="ar-SA"/>
        </w:rPr>
      </w:pPr>
    </w:p>
    <w:p>
      <w:pPr>
        <w:jc w:val="left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>
      <w:pPr>
        <w:jc w:val="left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>
      <w:pPr>
        <w:jc w:val="left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  <w:t>Supplementary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 xml:space="preserve"> Table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 S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Multiple comparisons of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GMT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for neutralizing antibody against PV2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at </w:t>
      </w:r>
      <w:bookmarkStart w:id="1" w:name="_GoBack"/>
      <w:bookmarkEnd w:id="1"/>
      <w:r>
        <w:rPr>
          <w:rFonts w:hint="default" w:ascii="Times New Roman" w:hAnsi="Times New Roman" w:cs="Times New Roman"/>
          <w:color w:val="auto"/>
          <w:sz w:val="24"/>
          <w:szCs w:val="24"/>
        </w:rPr>
        <w:t>28 days after boost immunization at 48 months of age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2"/>
        <w:gridCol w:w="2362"/>
        <w:gridCol w:w="2362"/>
        <w:gridCol w:w="2362"/>
        <w:gridCol w:w="2363"/>
        <w:gridCol w:w="236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Immunogenicity indicator</w:t>
            </w:r>
          </w:p>
        </w:tc>
        <w:tc>
          <w:tcPr>
            <w:tcW w:w="23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Group</w:t>
            </w:r>
          </w:p>
        </w:tc>
        <w:tc>
          <w:tcPr>
            <w:tcW w:w="23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3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Group</w:t>
            </w:r>
          </w:p>
        </w:tc>
        <w:tc>
          <w:tcPr>
            <w:tcW w:w="23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Test method</w:t>
            </w:r>
          </w:p>
        </w:tc>
        <w:tc>
          <w:tcPr>
            <w:tcW w:w="23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 xml:space="preserve">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poliovirus type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236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wIPV-bOPV-bOPV(-bOPV)</w:t>
            </w:r>
          </w:p>
        </w:tc>
        <w:tc>
          <w:tcPr>
            <w:tcW w:w="236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36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wIPV-wIPV-bOPV(-bOPV)</w:t>
            </w:r>
          </w:p>
        </w:tc>
        <w:tc>
          <w:tcPr>
            <w:tcW w:w="236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wIPV-wIPV-tOPV(-bOPV)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sIPV-bOPV-bOPV(-bOPV)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sIPV-sIPV-bOPV(-bOPV)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sIPV-sIPV-tOPV(-bOPV)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wIPV-wIPV-bOPV(-bOPV)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wIPV-wIPV-tOPV(-bOPV)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sIPV-bOPV-bOPV(-bOPV)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sIPV-sIPV-bOPV(-bOPV)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sIPV-sIPV-tOPV(-bOPV)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wIPV-wIPV-tOPV(-bOPV)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sIPV-bOPV-bOPV(-bOPV)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sIPV-sIPV-bOPV(-bOPV)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sIPV-sIPV-tOPV(-bOPV)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sIPV-bOPV-bOPV(-bOPV)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sIPV-sIPV-bOPV(-bOPV)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&gt;0.9999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sIPV-sIPV-tOPV(-bOPV)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sIPV-sIPV-bOPV(-bOPV)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VS.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sIPV-sIPV-tOPV(-bOPV)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Kruskal-Wallis test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</w:tbl>
    <w:p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pacing w:val="15"/>
          <w:sz w:val="16"/>
          <w:szCs w:val="16"/>
          <w:lang w:eastAsia="zh-CN"/>
        </w:rPr>
        <w:t>wIPV</w:t>
      </w:r>
      <w:r>
        <w:rPr>
          <w:rFonts w:hint="default" w:ascii="Times New Roman" w:hAnsi="Times New Roman" w:cs="Times New Roman"/>
          <w:color w:val="auto"/>
          <w:spacing w:val="15"/>
          <w:sz w:val="16"/>
          <w:szCs w:val="16"/>
        </w:rPr>
        <w:t>：conventional inactivated poliovirus vaccine；sIPV：Sabin strain-based inactivated poliovirus vaccine；tOPV：trivalent oral poliovirus vaccine；bOPV：bivalent oral poliovirus vaccin</w:t>
      </w:r>
      <w:r>
        <w:rPr>
          <w:rFonts w:hint="eastAsia" w:ascii="Times New Roman" w:hAnsi="Times New Roman" w:cs="Times New Roman"/>
          <w:color w:val="auto"/>
          <w:spacing w:val="15"/>
          <w:sz w:val="16"/>
          <w:szCs w:val="16"/>
          <w:lang w:val="en-US" w:eastAsia="zh-CN"/>
        </w:rPr>
        <w:t>.</w:t>
      </w:r>
    </w:p>
    <w:p>
      <w:pPr>
        <w:pStyle w:val="2"/>
        <w:spacing w:beforeAutospacing="0" w:afterAutospacing="0" w:line="328" w:lineRule="atLeast"/>
        <w:jc w:val="both"/>
        <w:rPr>
          <w:color w:val="000000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spacing w:line="360" w:lineRule="auto"/>
      </w:pPr>
    </w:p>
    <w:p>
      <w:pPr>
        <w:rPr>
          <w:rFonts w:ascii="Times New Roman" w:hAnsi="Times New Roman" w:cs="Times New Roman"/>
          <w:sz w:val="24"/>
          <w:szCs w:val="24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yMTc5MTk1NzViYzJlNDY0Njc1MTZhYWQ2YjM4NWQifQ=="/>
  </w:docVars>
  <w:rsids>
    <w:rsidRoot w:val="0088071F"/>
    <w:rsid w:val="000477A9"/>
    <w:rsid w:val="0007067C"/>
    <w:rsid w:val="001D7C28"/>
    <w:rsid w:val="001E2D17"/>
    <w:rsid w:val="00204920"/>
    <w:rsid w:val="002C762F"/>
    <w:rsid w:val="004666AD"/>
    <w:rsid w:val="00493854"/>
    <w:rsid w:val="004967A3"/>
    <w:rsid w:val="00643BE3"/>
    <w:rsid w:val="00663A42"/>
    <w:rsid w:val="00681247"/>
    <w:rsid w:val="007E543E"/>
    <w:rsid w:val="0088071F"/>
    <w:rsid w:val="00A01306"/>
    <w:rsid w:val="00B525AB"/>
    <w:rsid w:val="00BD3B3D"/>
    <w:rsid w:val="00F556C5"/>
    <w:rsid w:val="00F750C6"/>
    <w:rsid w:val="00F86792"/>
    <w:rsid w:val="015E6884"/>
    <w:rsid w:val="02344C5D"/>
    <w:rsid w:val="043E2A14"/>
    <w:rsid w:val="0483283A"/>
    <w:rsid w:val="04934A97"/>
    <w:rsid w:val="06171E91"/>
    <w:rsid w:val="07C55FF1"/>
    <w:rsid w:val="0AB13566"/>
    <w:rsid w:val="0AD0351D"/>
    <w:rsid w:val="0B1D330C"/>
    <w:rsid w:val="0C2137A6"/>
    <w:rsid w:val="0CEA61D4"/>
    <w:rsid w:val="0FA1275E"/>
    <w:rsid w:val="10376C1E"/>
    <w:rsid w:val="106A0F61"/>
    <w:rsid w:val="10812576"/>
    <w:rsid w:val="10896921"/>
    <w:rsid w:val="11776A7F"/>
    <w:rsid w:val="12024E68"/>
    <w:rsid w:val="122B4561"/>
    <w:rsid w:val="12BA4800"/>
    <w:rsid w:val="13516249"/>
    <w:rsid w:val="138A175B"/>
    <w:rsid w:val="13FB34CD"/>
    <w:rsid w:val="143C2A55"/>
    <w:rsid w:val="15BB209F"/>
    <w:rsid w:val="15C04FA0"/>
    <w:rsid w:val="15D94148"/>
    <w:rsid w:val="183A5F08"/>
    <w:rsid w:val="1ACC1877"/>
    <w:rsid w:val="1B467862"/>
    <w:rsid w:val="1BDF6945"/>
    <w:rsid w:val="1EBD7F56"/>
    <w:rsid w:val="2059673D"/>
    <w:rsid w:val="20DA6DC6"/>
    <w:rsid w:val="215A451A"/>
    <w:rsid w:val="21D95D87"/>
    <w:rsid w:val="22234801"/>
    <w:rsid w:val="24763D61"/>
    <w:rsid w:val="2536529E"/>
    <w:rsid w:val="262A3107"/>
    <w:rsid w:val="263F0183"/>
    <w:rsid w:val="26561604"/>
    <w:rsid w:val="27035654"/>
    <w:rsid w:val="27B16E5E"/>
    <w:rsid w:val="28C03598"/>
    <w:rsid w:val="2953641F"/>
    <w:rsid w:val="2AB4113F"/>
    <w:rsid w:val="2B0D0850"/>
    <w:rsid w:val="2B7D3C27"/>
    <w:rsid w:val="2C056F32"/>
    <w:rsid w:val="2CD51841"/>
    <w:rsid w:val="2D850B71"/>
    <w:rsid w:val="2DC773DC"/>
    <w:rsid w:val="2FC17E5A"/>
    <w:rsid w:val="30502AFC"/>
    <w:rsid w:val="30654C8A"/>
    <w:rsid w:val="30EA0573"/>
    <w:rsid w:val="30EB518F"/>
    <w:rsid w:val="30F25539"/>
    <w:rsid w:val="31440D43"/>
    <w:rsid w:val="32894C60"/>
    <w:rsid w:val="3378063F"/>
    <w:rsid w:val="35621232"/>
    <w:rsid w:val="35B82660"/>
    <w:rsid w:val="35E01E6A"/>
    <w:rsid w:val="361A2073"/>
    <w:rsid w:val="366B28CE"/>
    <w:rsid w:val="37EA2644"/>
    <w:rsid w:val="382673F4"/>
    <w:rsid w:val="397F6DBC"/>
    <w:rsid w:val="39C8681F"/>
    <w:rsid w:val="3BB645EB"/>
    <w:rsid w:val="3BDE71D7"/>
    <w:rsid w:val="3C0B1BBF"/>
    <w:rsid w:val="3E1D5D05"/>
    <w:rsid w:val="3F6A7BC7"/>
    <w:rsid w:val="404A055F"/>
    <w:rsid w:val="413C37E5"/>
    <w:rsid w:val="41FE4FBB"/>
    <w:rsid w:val="42D8023B"/>
    <w:rsid w:val="432E696A"/>
    <w:rsid w:val="44823C05"/>
    <w:rsid w:val="45875A48"/>
    <w:rsid w:val="477D785B"/>
    <w:rsid w:val="48862BC6"/>
    <w:rsid w:val="4888427C"/>
    <w:rsid w:val="49161579"/>
    <w:rsid w:val="497F2250"/>
    <w:rsid w:val="49A40D74"/>
    <w:rsid w:val="49FE7E07"/>
    <w:rsid w:val="4A4200BE"/>
    <w:rsid w:val="4A6A4F1F"/>
    <w:rsid w:val="4AB16FF2"/>
    <w:rsid w:val="4C4A5008"/>
    <w:rsid w:val="4DDE3689"/>
    <w:rsid w:val="4E8642F1"/>
    <w:rsid w:val="4F4555C4"/>
    <w:rsid w:val="4F87001C"/>
    <w:rsid w:val="5082112D"/>
    <w:rsid w:val="51F021AD"/>
    <w:rsid w:val="529B659D"/>
    <w:rsid w:val="531504A8"/>
    <w:rsid w:val="532C190B"/>
    <w:rsid w:val="534F4D46"/>
    <w:rsid w:val="53B4545D"/>
    <w:rsid w:val="541025F2"/>
    <w:rsid w:val="555E4EC0"/>
    <w:rsid w:val="55656F16"/>
    <w:rsid w:val="564156CE"/>
    <w:rsid w:val="57DD6F4B"/>
    <w:rsid w:val="586236D9"/>
    <w:rsid w:val="5A6951F3"/>
    <w:rsid w:val="5B2F1F99"/>
    <w:rsid w:val="5B61236E"/>
    <w:rsid w:val="5CB86594"/>
    <w:rsid w:val="5D0134C1"/>
    <w:rsid w:val="5D297FCA"/>
    <w:rsid w:val="5D5A0E23"/>
    <w:rsid w:val="5D69550A"/>
    <w:rsid w:val="5EF1322B"/>
    <w:rsid w:val="5F805D1E"/>
    <w:rsid w:val="61FA15D5"/>
    <w:rsid w:val="624B1348"/>
    <w:rsid w:val="63585C28"/>
    <w:rsid w:val="63FD075A"/>
    <w:rsid w:val="64406FC4"/>
    <w:rsid w:val="64845144"/>
    <w:rsid w:val="64AA6B34"/>
    <w:rsid w:val="64AC465A"/>
    <w:rsid w:val="65044496"/>
    <w:rsid w:val="66611474"/>
    <w:rsid w:val="66647EA1"/>
    <w:rsid w:val="67674A25"/>
    <w:rsid w:val="67ED7463"/>
    <w:rsid w:val="67FC352B"/>
    <w:rsid w:val="693469CC"/>
    <w:rsid w:val="69831701"/>
    <w:rsid w:val="69AF0748"/>
    <w:rsid w:val="69F044E9"/>
    <w:rsid w:val="6B327C19"/>
    <w:rsid w:val="6DA2127C"/>
    <w:rsid w:val="6DA854AB"/>
    <w:rsid w:val="6E0E12ED"/>
    <w:rsid w:val="6E8126B3"/>
    <w:rsid w:val="6ED57FAD"/>
    <w:rsid w:val="6EEC7F85"/>
    <w:rsid w:val="6EF21258"/>
    <w:rsid w:val="6FE42E18"/>
    <w:rsid w:val="70187047"/>
    <w:rsid w:val="702251E2"/>
    <w:rsid w:val="70C04FE9"/>
    <w:rsid w:val="70E56A5D"/>
    <w:rsid w:val="71834994"/>
    <w:rsid w:val="71A32941"/>
    <w:rsid w:val="732D25A5"/>
    <w:rsid w:val="745B39A7"/>
    <w:rsid w:val="75E579CC"/>
    <w:rsid w:val="75E8126A"/>
    <w:rsid w:val="77043E82"/>
    <w:rsid w:val="78580A55"/>
    <w:rsid w:val="79FC5EB9"/>
    <w:rsid w:val="7C5E5DE2"/>
    <w:rsid w:val="7C776C92"/>
    <w:rsid w:val="7CEA3B1A"/>
    <w:rsid w:val="7D586CD5"/>
    <w:rsid w:val="7E8D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21"/>
    <w:basedOn w:val="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7">
    <w:name w:val="font3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8">
    <w:name w:val="font01"/>
    <w:basedOn w:val="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perscript"/>
    </w:rPr>
  </w:style>
  <w:style w:type="character" w:customStyle="1" w:styleId="9">
    <w:name w:val="font5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  <w:vertAlign w:val="superscript"/>
    </w:rPr>
  </w:style>
  <w:style w:type="character" w:customStyle="1" w:styleId="10">
    <w:name w:val="font6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1805</Words>
  <Characters>13780</Characters>
  <Lines>98</Lines>
  <Paragraphs>27</Paragraphs>
  <TotalTime>0</TotalTime>
  <ScaleCrop>false</ScaleCrop>
  <LinksUpToDate>false</LinksUpToDate>
  <CharactersWithSpaces>14419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2022-03-07T05:33:00Z</dcterms:created>
  <dc:creator>赵依依</dc:creator>
  <cp:lastModifiedBy>997</cp:lastModifiedBy>
  <dcterms:modified xsi:type="dcterms:W3CDTF">2022-09-03T12:01:28Z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1D92CB2E4B2242E5B8AD7964CA9E2610</vt:lpwstr>
  </property>
</Properties>
</file>