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ind w:hanging="2"/>
        <w:pBdr>
          <w:between w:val="nil"/>
          <w:top w:val="nil"/>
          <w:left w:val="nil"/>
          <w:bottom w:val="nil"/>
          <w:right w:val="nil"/>
        </w:pBdr>
        <w:spacing w:after="240" w:line="360" w:lineRule="auto"/>
        <w:rPr>
          <w:rFonts w:eastAsia="Times New Roman"/>
          <w:b/>
          <w:color w:val="000000"/>
        </w:rPr>
      </w:pPr>
      <w:r>
        <w:rPr>
          <w:rFonts w:eastAsia="Times New Roman"/>
          <w:b/>
          <w:color w:val="000000"/>
        </w:rPr>
        <w:t>Supplementary Information</w:t>
      </w:r>
    </w:p>
    <w:p>
      <w:pPr>
        <w:jc w:val="both"/>
        <w:pBdr>
          <w:between w:val="nil"/>
          <w:top w:val="nil"/>
          <w:left w:val="nil"/>
          <w:bottom w:val="nil"/>
          <w:right w:val="nil"/>
        </w:pBdr>
        <w:spacing w:line="360" w:lineRule="auto"/>
        <w:rPr>
          <w:b/>
        </w:rPr>
      </w:pPr>
      <w:bookmarkStart w:id="1" w:name="_heading=h.gjdgxs" w:colFirst="0" w:colLast="0"/>
      <w:bookmarkEnd w:id="1"/>
      <w:r>
        <w:rPr>
          <w:b/>
        </w:rPr>
        <w:t>Balanced coexistence of reversible and irreversible covalent bonds in a conductive triple polymeric network enables stretchable hydrogel with high toughness and adhesiveness</w:t>
      </w:r>
    </w:p>
    <w:p>
      <w:pPr>
        <w:ind w:hanging="2"/>
        <w:jc w:val="both"/>
        <w:pBdr>
          <w:between w:val="nil"/>
          <w:top w:val="nil"/>
          <w:left w:val="nil"/>
          <w:bottom w:val="nil"/>
          <w:right w:val="nil"/>
        </w:pBdr>
        <w:spacing w:before="240" w:line="360" w:lineRule="auto"/>
        <w:rPr>
          <w:color w:val="000000"/>
          <w:vertAlign w:val="superscript"/>
        </w:rPr>
      </w:pPr>
      <w:r>
        <w:rPr>
          <w:color w:val="000000"/>
        </w:rPr>
        <w:t>Kyuha Park</w:t>
      </w:r>
      <w:r>
        <w:rPr>
          <w:color w:val="000000"/>
          <w:vertAlign w:val="superscript"/>
        </w:rPr>
        <w:t>1,2</w:t>
      </w:r>
      <w:r>
        <w:rPr>
          <w:vertAlign w:val="superscript"/>
        </w:rPr>
        <w:t>†</w:t>
      </w:r>
      <w:r>
        <w:rPr>
          <w:color w:val="000000"/>
        </w:rPr>
        <w:t>, Kyumin Kang</w:t>
      </w:r>
      <w:r>
        <w:rPr>
          <w:color w:val="000000"/>
          <w:vertAlign w:val="superscript"/>
        </w:rPr>
        <w:t>1,2</w:t>
      </w:r>
      <w:r>
        <w:rPr>
          <w:vertAlign w:val="superscript"/>
        </w:rPr>
        <w:t>†</w:t>
      </w:r>
      <w:r>
        <w:rPr>
          <w:color w:val="000000"/>
        </w:rPr>
        <w:t>, Jungwoo Kim</w:t>
      </w:r>
      <w:r>
        <w:rPr>
          <w:color w:val="000000"/>
          <w:vertAlign w:val="superscript"/>
        </w:rPr>
        <w:t>3</w:t>
      </w:r>
      <w:r>
        <w:rPr>
          <w:color w:val="000000"/>
        </w:rPr>
        <w:t>, Subin Jin</w:t>
      </w:r>
      <w:r>
        <w:rPr>
          <w:color w:val="000000"/>
          <w:vertAlign w:val="superscript"/>
        </w:rPr>
        <w:t>3</w:t>
      </w:r>
      <w:r>
        <w:rPr>
          <w:color w:val="000000"/>
        </w:rPr>
        <w:t>, Mikyung Shin</w:t>
      </w:r>
      <w:r>
        <w:rPr>
          <w:color w:val="000000"/>
          <w:vertAlign w:val="superscript"/>
        </w:rPr>
        <w:t>2,3,4</w:t>
      </w:r>
      <w:r>
        <w:rPr>
          <w:color w:val="000000"/>
        </w:rPr>
        <w:t>*, and Donghee Son</w:t>
      </w:r>
      <w:r>
        <w:rPr>
          <w:color w:val="000000"/>
          <w:vertAlign w:val="superscript"/>
        </w:rPr>
        <w:t>1,2,5</w:t>
      </w:r>
      <w:r>
        <w:rPr>
          <w:color w:val="000000"/>
        </w:rPr>
        <w:t>*</w:t>
      </w:r>
    </w:p>
    <w:p>
      <w:pPr>
        <w:ind w:hanging="2"/>
        <w:pBdr>
          <w:between w:val="nil"/>
          <w:top w:val="nil"/>
          <w:left w:val="nil"/>
          <w:bottom w:val="nil"/>
          <w:right w:val="nil"/>
        </w:pBdr>
        <w:spacing w:line="360" w:lineRule="auto"/>
        <w:rPr>
          <w:color w:val="000000"/>
        </w:rPr>
      </w:pPr>
      <w:r>
        <w:rPr>
          <w:color w:val="000000"/>
          <w:vertAlign w:val="superscript"/>
        </w:rPr>
        <w:t>1</w:t>
      </w:r>
      <w:r>
        <w:rPr>
          <w:color w:val="000000"/>
        </w:rPr>
        <w:t>Department of Electrical and Computer Engineering, Sungkyunkwan University, Suwon 16419, Republic of Korea</w:t>
      </w:r>
    </w:p>
    <w:p>
      <w:pPr>
        <w:ind w:hanging="2"/>
        <w:pBdr>
          <w:between w:val="nil"/>
          <w:top w:val="nil"/>
          <w:left w:val="nil"/>
          <w:bottom w:val="nil"/>
          <w:right w:val="nil"/>
        </w:pBdr>
        <w:spacing w:line="360" w:lineRule="auto"/>
        <w:rPr>
          <w:color w:val="000000"/>
        </w:rPr>
      </w:pPr>
      <w:r>
        <w:rPr>
          <w:color w:val="000000"/>
          <w:vertAlign w:val="superscript"/>
        </w:rPr>
        <w:t>2</w:t>
      </w:r>
      <w:r>
        <w:rPr>
          <w:color w:val="000000"/>
        </w:rPr>
        <w:t>Center for Neuroscience Imaging Research, Institute for Basic Science (IBS), Suwon 16419, Republic of Korea</w:t>
      </w:r>
    </w:p>
    <w:p>
      <w:pPr>
        <w:ind w:hanging="2"/>
        <w:pBdr>
          <w:between w:val="nil"/>
          <w:top w:val="nil"/>
          <w:left w:val="nil"/>
          <w:bottom w:val="nil"/>
          <w:right w:val="nil"/>
        </w:pBdr>
        <w:spacing w:line="360" w:lineRule="auto"/>
        <w:rPr>
          <w:color w:val="000000"/>
        </w:rPr>
      </w:pPr>
      <w:r>
        <w:rPr>
          <w:color w:val="000000"/>
          <w:vertAlign w:val="superscript"/>
        </w:rPr>
        <w:t>3</w:t>
      </w:r>
      <w:r>
        <w:rPr>
          <w:color w:val="000000"/>
        </w:rPr>
        <w:t>Department of Intelligent Precision Healthcare Convergence, Sungkyunkwan University, Suwon 16419, Republic of Korea</w:t>
      </w:r>
    </w:p>
    <w:p>
      <w:pPr>
        <w:ind w:hanging="2"/>
        <w:pBdr>
          <w:between w:val="nil"/>
          <w:top w:val="nil"/>
          <w:left w:val="nil"/>
          <w:bottom w:val="nil"/>
          <w:right w:val="nil"/>
        </w:pBdr>
        <w:spacing w:line="360" w:lineRule="auto"/>
        <w:rPr>
          <w:color w:val="000000"/>
        </w:rPr>
      </w:pPr>
      <w:bookmarkStart w:id="2" w:name="_heading=h.1fob9te" w:colFirst="0" w:colLast="0"/>
      <w:bookmarkEnd w:id="2"/>
      <w:r>
        <w:rPr>
          <w:color w:val="000000"/>
          <w:vertAlign w:val="superscript"/>
        </w:rPr>
        <w:t>4</w:t>
      </w:r>
      <w:r>
        <w:rPr>
          <w:color w:val="000000"/>
        </w:rPr>
        <w:t>Department of Biomedical Engineering, Sungkyunkwan University, Suwon 16419, Republic of Korea</w:t>
      </w:r>
    </w:p>
    <w:p>
      <w:pPr>
        <w:ind w:hanging="2"/>
        <w:pBdr>
          <w:between w:val="nil"/>
          <w:top w:val="nil"/>
          <w:left w:val="nil"/>
          <w:bottom w:val="nil"/>
          <w:right w:val="nil"/>
        </w:pBdr>
        <w:spacing w:line="360" w:lineRule="auto"/>
        <w:rPr>
          <w:color w:val="000000"/>
        </w:rPr>
      </w:pPr>
      <w:r>
        <w:rPr>
          <w:color w:val="000000"/>
          <w:vertAlign w:val="superscript"/>
        </w:rPr>
        <w:t>5</w:t>
      </w:r>
      <w:r>
        <w:rPr>
          <w:color w:val="000000"/>
        </w:rPr>
        <w:t>Department of Superintelligence Engineering, Sungkyunkwan University, Suwon 16419, Republic of Korea</w:t>
      </w:r>
    </w:p>
    <w:p>
      <w:pPr>
        <w:ind w:hanging="2"/>
        <w:jc w:val="both"/>
        <w:pBdr>
          <w:between w:val="nil"/>
          <w:top w:val="nil"/>
          <w:left w:val="nil"/>
          <w:bottom w:val="nil"/>
          <w:right w:val="nil"/>
        </w:pBdr>
        <w:spacing w:line="360" w:lineRule="auto"/>
      </w:pPr>
      <w:r>
        <w:rPr>
          <w:vertAlign w:val="superscript"/>
        </w:rPr>
        <w:t>†</w:t>
      </w:r>
      <w:r>
        <w:t>These  authors  contributed  equally  to  this  work.</w:t>
      </w:r>
    </w:p>
    <w:p>
      <w:pPr>
        <w:pBdr>
          <w:between w:val="nil"/>
          <w:top w:val="nil"/>
          <w:left w:val="nil"/>
          <w:bottom w:val="nil"/>
          <w:right w:val="nil"/>
        </w:pBdr>
        <w:spacing w:line="360" w:lineRule="auto"/>
      </w:pPr>
    </w:p>
    <w:p>
      <w:pPr>
        <w:ind w:hanging="2"/>
        <w:pBdr>
          <w:between w:val="nil"/>
          <w:top w:val="nil"/>
          <w:left w:val="nil"/>
          <w:bottom w:val="nil"/>
          <w:right w:val="nil"/>
        </w:pBdr>
        <w:spacing w:line="360" w:lineRule="auto"/>
      </w:pPr>
      <w:r>
        <w:rPr>
          <w:b/>
        </w:rPr>
        <w:t>This Supplementary Information includes</w:t>
      </w:r>
      <w:r>
        <w:t>:</w:t>
      </w:r>
    </w:p>
    <w:p>
      <w:pPr>
        <w:ind w:hanging="2"/>
        <w:pBdr>
          <w:between w:val="nil"/>
          <w:top w:val="nil"/>
          <w:left w:val="nil"/>
          <w:bottom w:val="nil"/>
          <w:right w:val="nil"/>
        </w:pBdr>
        <w:spacing w:line="360" w:lineRule="auto"/>
      </w:pPr>
      <w:r>
        <w:t>Fig. S1 to S7</w:t>
      </w:r>
    </w:p>
    <w:p>
      <w:pPr>
        <w:ind w:hanging="2"/>
        <w:pBdr>
          <w:between w:val="nil"/>
          <w:top w:val="nil"/>
          <w:left w:val="nil"/>
          <w:bottom w:val="nil"/>
          <w:right w:val="nil"/>
        </w:pBdr>
        <w:spacing w:line="360" w:lineRule="auto"/>
      </w:pPr>
      <w:r>
        <w:t>Table S1</w:t>
      </w:r>
    </w:p>
    <w:p>
      <w:pPr>
        <w:ind w:hanging="2"/>
        <w:pBdr>
          <w:between w:val="nil"/>
          <w:top w:val="nil"/>
          <w:left w:val="nil"/>
          <w:bottom w:val="nil"/>
          <w:right w:val="nil"/>
        </w:pBdr>
        <w:spacing w:line="360" w:lineRule="auto"/>
      </w:pPr>
      <w:r>
        <w:t xml:space="preserve">Captions for </w:t>
      </w:r>
      <w:r>
        <w:t>Supplementary</w:t>
      </w:r>
      <w:r>
        <w:t xml:space="preserve"> </w:t>
      </w:r>
      <w:r>
        <w:t>Video 1 to 4</w:t>
      </w:r>
    </w:p>
    <w:p>
      <w:pPr>
        <w:pBdr>
          <w:between w:val="nil"/>
          <w:top w:val="nil"/>
          <w:left w:val="nil"/>
          <w:bottom w:val="nil"/>
          <w:right w:val="nil"/>
        </w:pBdr>
        <w:spacing w:line="360" w:lineRule="auto"/>
        <w:rPr>
          <w:b/>
        </w:rPr>
      </w:pPr>
      <w:r>
        <w:br w:type="column"/>
      </w:r>
      <w:r>
        <w:rPr>
          <w:b/>
        </w:rPr>
        <w:t>Supplementary Figures</w:t>
      </w:r>
    </w:p>
    <w:p>
      <w:pPr>
        <w:ind w:hanging="2"/>
        <w:spacing w:line="360" w:lineRule="auto"/>
      </w:pPr>
      <w:r>
        <w:rPr>
          <w:noProof/>
        </w:rPr>
        <w:drawing>
          <wp:inline distT="0" distB="0" distL="0" distR="0">
            <wp:extent cx="5712272" cy="2159461"/>
            <wp:effectExtent l="0" t="0" r="0" b="0"/>
            <wp:docPr id="1025" name="shape1025" hidden="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0">
                      <a:picLocks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9" r="1418"/>
                    <a:stretch>
                      <a:fillRect/>
                    </a:stretch>
                  </pic:blipFill>
                  <pic:spPr>
                    <a:xfrm>
                      <a:off x="0" y="0"/>
                      <a:ext cx="5712272" cy="2159461"/>
                    </a:xfrm>
                    <a:prstGeom prst="rect"/>
                    <a:ln>
                      <a:solidFill>
                        <a:schemeClr val="lt1">
                          <a:alpha val="10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ind w:hanging="2"/>
        <w:spacing w:line="360" w:lineRule="auto"/>
        <w:rPr>
          <w:color w:val="000000"/>
        </w:rPr>
      </w:pPr>
      <w:r>
        <w:rPr>
          <w:b/>
        </w:rPr>
        <w:t>Fig. S1</w:t>
      </w:r>
      <w:r>
        <w:t xml:space="preserve"> </w:t>
      </w:r>
      <w:r>
        <w:rPr>
          <w:b/>
        </w:rPr>
        <w:t xml:space="preserve">a) </w:t>
      </w:r>
      <w:r>
        <w:rPr>
          <w:color w:val="000000"/>
        </w:rPr>
        <w:t xml:space="preserve">Photographs for gelation of each formulation, ET-2, ET-3, ET-4, and ET-5, as a function of time. Scale bar = 20 mm. </w:t>
      </w:r>
      <w:r>
        <w:rPr>
          <w:b/>
        </w:rPr>
        <w:t xml:space="preserve">b) </w:t>
      </w:r>
      <w:r>
        <w:t>Time to complete gelation of the formulations.</w:t>
      </w:r>
    </w:p>
    <w:p>
      <w:pPr>
        <w:ind w:hanging="2"/>
        <w:spacing w:line="360" w:lineRule="auto"/>
        <w:rPr>
          <w:b/>
        </w:rPr>
      </w:pPr>
      <w:r>
        <w:br w:type="column"/>
      </w:r>
      <w:r>
        <w:rPr>
          <w:noProof/>
        </w:rPr>
        <w:drawing>
          <wp:inline distT="0" distB="0" distL="0" distR="0">
            <wp:extent cx="5731510" cy="4010025"/>
            <wp:effectExtent l="0" t="0" r="0" b="0"/>
            <wp:docPr id="1026" name="shape1026" hidden="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0">
                      <a:picLocks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10025"/>
                    </a:xfrm>
                    <a:prstGeom prst="rect"/>
                    <a:ln>
                      <a:solidFill>
                        <a:schemeClr val="lt1">
                          <a:alpha val="10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ind w:hanging="2"/>
        <w:spacing w:line="360" w:lineRule="auto"/>
      </w:pPr>
      <w:r>
        <w:rPr>
          <w:b/>
        </w:rPr>
        <w:t xml:space="preserve">Fig. S2. </w:t>
      </w:r>
      <w:r>
        <w:t xml:space="preserve">Cross-sectional SEM images of </w:t>
      </w:r>
      <w:r>
        <w:rPr>
          <w:color w:val="000000"/>
        </w:rPr>
        <w:t>ET-2 (top) and ET-5 (bottom)</w:t>
      </w:r>
      <w:r>
        <w:t xml:space="preserve"> and their elemental analysis of oxygen (O; red), nitrogen (N; blue), and sulfur (S; cyan).</w:t>
      </w:r>
    </w:p>
    <w:p>
      <w:pPr>
        <w:ind w:hanging="2"/>
        <w:spacing w:line="360" w:lineRule="auto"/>
      </w:pPr>
      <w:r>
        <w:br w:type="column"/>
      </w:r>
      <w:r>
        <w:rPr>
          <w:noProof/>
        </w:rPr>
        <w:drawing>
          <wp:inline distT="0" distB="0" distL="0" distR="0">
            <wp:extent cx="5734837" cy="1308453"/>
            <wp:effectExtent l="0" t="0" r="0" b="0"/>
            <wp:docPr id="1027" name="shape1027" hidden="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0">
                      <a:picLocks/>
                    </pic:cNvPicPr>
                  </pic:nvPicPr>
                  <pic:blipFill>
                    <a:blip r:embed="rId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5" r="1775"/>
                    <a:stretch>
                      <a:fillRect/>
                    </a:stretch>
                  </pic:blipFill>
                  <pic:spPr>
                    <a:xfrm>
                      <a:off x="0" y="0"/>
                      <a:ext cx="5734837" cy="1308453"/>
                    </a:xfrm>
                    <a:prstGeom prst="rect"/>
                    <a:ln>
                      <a:solidFill>
                        <a:schemeClr val="lt1">
                          <a:alpha val="10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ind w:hanging="2"/>
        <w:spacing w:line="360" w:lineRule="auto"/>
        <w:rPr>
          <w:b/>
        </w:rPr>
      </w:pPr>
      <w:r>
        <w:rPr>
          <w:b/>
        </w:rPr>
        <w:t>Fig. S3 a)</w:t>
      </w:r>
      <w:r>
        <w:t xml:space="preserve"> Comparison of chemical structures of Alg with cis-diol groups to that of CMC without cis-diol groups. </w:t>
      </w:r>
      <w:r>
        <w:rPr>
          <w:b/>
        </w:rPr>
        <w:t xml:space="preserve">b) </w:t>
      </w:r>
      <w:r>
        <w:t>and</w:t>
      </w:r>
      <w:r>
        <w:rPr>
          <w:b/>
        </w:rPr>
        <w:t xml:space="preserve"> c)</w:t>
      </w:r>
      <w:r>
        <w:t xml:space="preserve"> Rheological properties of CMC-containing ET-6 hydrogels </w:t>
      </w:r>
      <w:r>
        <w:rPr>
          <w:b/>
          <w:color w:val="000000"/>
        </w:rPr>
        <w:t>b)</w:t>
      </w:r>
      <w:r>
        <w:rPr>
          <w:color w:val="000000"/>
        </w:rPr>
        <w:t xml:space="preserve"> </w:t>
      </w:r>
      <w:r>
        <w:t xml:space="preserve">or Alg-containing ones </w:t>
      </w:r>
      <w:r>
        <w:rPr>
          <w:b/>
        </w:rPr>
        <w:t>c)</w:t>
      </w:r>
      <w:r>
        <w:t xml:space="preserve">. G’ for black symbol and G” for red one. </w:t>
      </w:r>
      <w:r>
        <w:rPr>
          <w:b/>
        </w:rPr>
        <w:t>d)</w:t>
      </w:r>
      <w:r>
        <w:t xml:space="preserve"> Tensile stress-strain curves of CMC- (blue) or Alg- (purple) based ET-4.</w:t>
      </w:r>
    </w:p>
    <w:p>
      <w:pPr>
        <w:ind w:hanging="2"/>
        <w:jc w:val="center"/>
        <w:spacing w:line="360" w:lineRule="auto"/>
      </w:pPr>
      <w:r>
        <w:br w:type="column"/>
      </w:r>
      <w:r>
        <w:rPr>
          <w:noProof/>
        </w:rPr>
        <w:drawing>
          <wp:inline distT="0" distB="0" distL="0" distR="0">
            <wp:extent cx="3623480" cy="2988945"/>
            <wp:effectExtent l="0" t="0" r="0" b="0"/>
            <wp:docPr id="1028" name="shape1028" hidden="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0">
                      <a:picLocks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611"/>
                    <a:stretch>
                      <a:fillRect/>
                    </a:stretch>
                  </pic:blipFill>
                  <pic:spPr>
                    <a:xfrm>
                      <a:off x="0" y="0"/>
                      <a:ext cx="3623480" cy="2988945"/>
                    </a:xfrm>
                    <a:prstGeom prst="rect"/>
                    <a:ln>
                      <a:solidFill>
                        <a:schemeClr val="lt1">
                          <a:alpha val="10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ind w:hanging="2"/>
        <w:spacing w:line="360" w:lineRule="auto"/>
      </w:pPr>
      <w:r>
        <w:rPr>
          <w:b/>
        </w:rPr>
        <w:t>Fig. S4</w:t>
      </w:r>
      <w:r>
        <w:t xml:space="preserve"> Strain–stress curves of 50% notched</w:t>
      </w:r>
      <w:r>
        <w:rPr>
          <w:color w:val="000000"/>
        </w:rPr>
        <w:t xml:space="preserve"> ET-2 (black), ET-3 (red), ET-4 (blue), and ET-5 (pink)</w:t>
      </w:r>
      <w:r>
        <w:t>. The inset graph for clarifying the curves of ET-2 and ET-3.</w:t>
      </w:r>
    </w:p>
    <w:p>
      <w:pPr>
        <w:ind w:hanging="2"/>
        <w:spacing w:line="360" w:lineRule="auto"/>
      </w:pPr>
      <w:r>
        <w:br w:type="page"/>
      </w:r>
    </w:p>
    <w:p>
      <w:pPr>
        <w:ind w:hanging="2"/>
        <w:spacing w:line="360" w:lineRule="auto"/>
        <w:rPr>
          <w:b/>
        </w:rPr>
      </w:pPr>
      <w:r>
        <w:rPr>
          <w:noProof/>
        </w:rPr>
        <w:drawing>
          <wp:inline distT="0" distB="0" distL="0" distR="0">
            <wp:extent cx="5738684" cy="1225640"/>
            <wp:effectExtent l="0" t="0" r="0" b="0"/>
            <wp:docPr id="1029" name="shape1029" hidden="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0"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33" r="2721"/>
                    <a:stretch>
                      <a:fillRect/>
                    </a:stretch>
                  </pic:blipFill>
                  <pic:spPr>
                    <a:xfrm>
                      <a:off x="0" y="0"/>
                      <a:ext cx="5738684" cy="1225640"/>
                    </a:xfrm>
                    <a:prstGeom prst="rect"/>
                    <a:ln>
                      <a:solidFill>
                        <a:schemeClr val="lt1">
                          <a:alpha val="10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ind w:hanging="2"/>
        <w:spacing w:line="360" w:lineRule="auto"/>
        <w:rPr>
          <w:color w:val="000000"/>
        </w:rPr>
      </w:pPr>
      <w:r>
        <w:rPr>
          <w:b/>
        </w:rPr>
        <w:t>Fig. S5</w:t>
      </w:r>
      <w:r>
        <w:t xml:space="preserve"> Changes in electrical resistance of ET-2, ET-3, and ET-5 during one-hundred cyclic stretching test (at a speed of 0.3 mm/s, strain of 100%). The 1</w:t>
      </w:r>
      <w:r>
        <w:rPr>
          <w:vertAlign w:val="superscript"/>
        </w:rPr>
        <w:t>st</w:t>
      </w:r>
      <w:r>
        <w:t xml:space="preserve"> scheme includes experimental setting and variables for the stretching test.</w:t>
      </w:r>
    </w:p>
    <w:p>
      <w:pPr>
        <w:ind w:hanging="2"/>
        <w:spacing w:line="360" w:lineRule="auto"/>
        <w:rPr>
          <w:color w:val="000000"/>
        </w:rPr>
      </w:pPr>
      <w:r>
        <w:br w:type="page"/>
      </w:r>
    </w:p>
    <w:p>
      <w:pPr>
        <w:ind w:hanging="2"/>
        <w:jc w:val="center"/>
        <w:spacing w:line="360" w:lineRule="auto"/>
        <w:rPr>
          <w:b/>
        </w:rPr>
      </w:pPr>
      <w:r>
        <w:rPr>
          <w:noProof/>
        </w:rPr>
        <w:drawing>
          <wp:inline distT="0" distB="0" distL="0" distR="0">
            <wp:extent cx="3962400" cy="3014345"/>
            <wp:effectExtent l="0" t="0" r="0" b="0"/>
            <wp:docPr id="1030" name="shape1030" hidden="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0"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3014345"/>
                    </a:xfrm>
                    <a:prstGeom prst="rect"/>
                    <a:ln>
                      <a:solidFill>
                        <a:schemeClr val="lt1">
                          <a:alpha val="10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ind w:hanging="2"/>
        <w:spacing w:line="360" w:lineRule="auto"/>
      </w:pPr>
      <w:r>
        <w:rPr>
          <w:b/>
        </w:rPr>
        <w:t>Fig. S6.</w:t>
      </w:r>
      <w:r>
        <w:t xml:space="preserve"> Electrochemical impedance of </w:t>
      </w:r>
      <w:r>
        <w:rPr>
          <w:color w:val="000000"/>
        </w:rPr>
        <w:t xml:space="preserve">TSC-TAH </w:t>
      </w:r>
      <w:r>
        <w:t xml:space="preserve">at the frequency ranging from 50 </w:t>
      </w:r>
      <w:r>
        <w:rPr>
          <w:color w:val="000000"/>
        </w:rPr>
        <w:t>to 100,000 Hz when immersed in phosphate buffered saline (PBS).</w:t>
      </w:r>
    </w:p>
    <w:p>
      <w:pPr>
        <w:ind w:hanging="2"/>
        <w:spacing w:line="360" w:lineRule="auto"/>
      </w:pPr>
      <w:r>
        <w:br w:type="page"/>
      </w:r>
    </w:p>
    <w:p>
      <w:pPr>
        <w:ind w:hanging="2"/>
        <w:spacing w:line="360" w:lineRule="auto"/>
        <w:rPr>
          <w:b/>
        </w:rPr>
      </w:pPr>
      <w:r>
        <w:rPr>
          <w:noProof/>
        </w:rPr>
        <w:drawing>
          <wp:inline distT="0" distB="0" distL="0" distR="0">
            <wp:extent cx="5642800" cy="2486051"/>
            <wp:effectExtent l="0" t="0" r="0" b="0"/>
            <wp:docPr id="1031" name="shape1031" hidden="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0"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8" t="3189"/>
                    <a:stretch>
                      <a:fillRect/>
                    </a:stretch>
                  </pic:blipFill>
                  <pic:spPr>
                    <a:xfrm>
                      <a:off x="0" y="0"/>
                      <a:ext cx="5642800" cy="2486051"/>
                    </a:xfrm>
                    <a:prstGeom prst="rect"/>
                    <a:ln>
                      <a:solidFill>
                        <a:schemeClr val="lt1">
                          <a:alpha val="10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ind w:hanging="2"/>
        <w:spacing w:line="360" w:lineRule="auto"/>
        <w:rPr>
          <w:color w:val="000000"/>
        </w:rPr>
      </w:pPr>
      <w:r>
        <w:rPr>
          <w:b/>
        </w:rPr>
        <w:t>Fig. S7.</w:t>
      </w:r>
      <w:r>
        <w:t xml:space="preserve"> </w:t>
      </w:r>
      <w:r>
        <w:rPr>
          <w:b/>
        </w:rPr>
        <w:t xml:space="preserve">a) </w:t>
      </w:r>
      <w:r>
        <w:t xml:space="preserve">In vitro cytotoxicity (%) of TSC-TAH as a function of concentration, 25, 50, and 100 mg/mL. </w:t>
      </w:r>
      <w:r>
        <w:rPr>
          <w:b/>
        </w:rPr>
        <w:t>b)</w:t>
      </w:r>
      <w:r>
        <w:t xml:space="preserve"> Fluorescent images of the live cells (green dots) and dead cells (red dots) after 24-hour treatment of the releasates from the TSC-TAH. </w:t>
      </w:r>
    </w:p>
    <w:p>
      <w:pPr>
        <w:ind w:hanging="2"/>
        <w:spacing w:line="360" w:lineRule="auto"/>
      </w:pPr>
      <w:r>
        <w:br w:type="page"/>
      </w:r>
    </w:p>
    <w:p>
      <w:pPr>
        <w:ind w:hanging="2"/>
        <w:jc w:val="both"/>
        <w:spacing w:after="240" w:line="360" w:lineRule="auto"/>
        <w:rPr>
          <w:b/>
        </w:rPr>
      </w:pPr>
      <w:r>
        <w:rPr>
          <w:rFonts w:eastAsia="Times New Roman"/>
          <w:b/>
          <w:color w:val="000000"/>
        </w:rPr>
        <w:t xml:space="preserve">Supplementary </w:t>
      </w:r>
      <w:r>
        <w:rPr>
          <w:rFonts w:ascii="Times" w:eastAsia="Times" w:hAnsi="Times" w:cs="Times"/>
          <w:b/>
          <w:color w:val="000000"/>
        </w:rPr>
        <w:t>Table</w:t>
      </w:r>
    </w:p>
    <w:p>
      <w:pPr>
        <w:ind w:hanging="2"/>
        <w:jc w:val="both"/>
        <w:spacing w:after="240" w:line="360" w:lineRule="auto"/>
        <w:rPr>
          <w:rFonts w:hint="eastAsia"/>
          <w:color w:val="FF0000"/>
        </w:rPr>
      </w:pPr>
      <w:r>
        <w:rPr>
          <w:b/>
        </w:rPr>
        <w:t>Table S1.</w:t>
      </w:r>
      <w:r>
        <w:t xml:space="preserve"> </w:t>
      </w:r>
      <w:r>
        <w:rPr>
          <w:color w:val="000000"/>
        </w:rPr>
        <w:t>Quantity of precursors to fabricate TSC-TAH.</w:t>
      </w:r>
    </w:p>
    <w:tbl>
      <w:tblPr>
        <w:tblStyle w:val="ab"/>
        <w:tblW w:w="9026" w:type="dxa"/>
        <w:tblInd w:w="0" w:type="dxa"/>
        <w:tblBorders>
          <w:top w:val="single" w:sz="4" w:space="0" w:color="000000"/>
          <w:bottom w:val="single" w:sz="4" w:space="0" w:color="000000"/>
        </w:tblBorders>
        <w:tblLook w:val="0000" w:firstRow="0" w:lastRow="0" w:firstColumn="0" w:lastColumn="0" w:noHBand="0" w:noVBand="0"/>
        <w:jc w:val="center"/>
        <w:tblLayout w:type="fixed"/>
      </w:tblPr>
      <w:tblGrid>
        <w:gridCol w:w="1823"/>
        <w:gridCol w:w="840"/>
        <w:gridCol w:w="840"/>
        <w:gridCol w:w="2167"/>
        <w:gridCol w:w="752"/>
        <w:gridCol w:w="846"/>
        <w:gridCol w:w="990"/>
        <w:gridCol w:w="768"/>
      </w:tblGrid>
      <w:tr>
        <w:trPr>
          <w:jc w:val="center"/>
          <w:trHeight w:val="165" w:hRule="atLeast"/>
        </w:trPr>
        <w:tc>
          <w:tcPr>
            <w:tcW w:w="182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tcMar>
              <w:left w:w="83" w:type="dxa"/>
            </w:tcMar>
            <w:vAlign w:val="center"/>
          </w:tcPr>
          <w:p>
            <w:pPr>
              <w:ind w:hanging="2"/>
              <w:jc w:val="center"/>
              <w:spacing w:after="240" w:line="36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Precursor</w:t>
            </w:r>
          </w:p>
        </w:tc>
        <w:tc>
          <w:tcPr>
            <w:tcW w:w="8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tcMar>
              <w:left w:w="83" w:type="dxa"/>
            </w:tcMar>
            <w:vAlign w:val="center"/>
          </w:tcPr>
          <w:p>
            <w:pPr>
              <w:ind w:hanging="2"/>
              <w:jc w:val="center"/>
              <w:spacing w:after="240" w:line="36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  <w:vertAlign w:val="superscript"/>
              </w:rPr>
              <w:t>a)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Alg</w:t>
            </w:r>
          </w:p>
        </w:tc>
        <w:tc>
          <w:tcPr>
            <w:tcW w:w="8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>
            <w:pPr>
              <w:ind w:hanging="2"/>
              <w:jc w:val="center"/>
              <w:spacing w:after="240" w:line="36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  <w:vertAlign w:val="superscript"/>
              </w:rPr>
              <w:t>b)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CMC</w:t>
            </w:r>
          </w:p>
        </w:tc>
        <w:tc>
          <w:tcPr>
            <w:tcW w:w="216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>
            <w:pPr>
              <w:ind w:hanging="2"/>
              <w:jc w:val="center"/>
              <w:spacing w:after="240" w:line="36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  <w:vertAlign w:val="superscript"/>
              </w:rPr>
              <w:t>c)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EDOT: </w:t>
            </w:r>
            <w:r>
              <w:rPr>
                <w:rFonts w:ascii="Arial" w:eastAsia="Arial" w:hAnsi="Arial" w:cs="Arial"/>
                <w:b/>
                <w:sz w:val="16"/>
                <w:szCs w:val="16"/>
                <w:vertAlign w:val="superscript"/>
              </w:rPr>
              <w:t>d)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TBA</w:t>
            </w:r>
            <w:r>
              <w:rPr>
                <w:rFonts w:ascii="Arial" w:eastAsia="Arial" w:hAnsi="Arial" w:cs="Arial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7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>
            <w:pPr>
              <w:ind w:hanging="2"/>
              <w:jc w:val="center"/>
              <w:spacing w:after="240" w:line="36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  <w:vertAlign w:val="superscript"/>
              </w:rPr>
              <w:t>e)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AAm</w:t>
            </w:r>
          </w:p>
        </w:tc>
        <w:tc>
          <w:tcPr>
            <w:tcW w:w="84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tcMar>
              <w:left w:w="83" w:type="dxa"/>
            </w:tcMar>
            <w:vAlign w:val="center"/>
          </w:tcPr>
          <w:p>
            <w:pPr>
              <w:ind w:hanging="2"/>
              <w:jc w:val="center"/>
              <w:spacing w:after="240" w:line="36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  <w:vertAlign w:val="superscript"/>
              </w:rPr>
              <w:t>f)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MBAA</w:t>
            </w:r>
          </w:p>
        </w:tc>
        <w:tc>
          <w:tcPr>
            <w:tcW w:w="9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tcMar>
              <w:left w:w="83" w:type="dxa"/>
            </w:tcMar>
            <w:vAlign w:val="center"/>
          </w:tcPr>
          <w:p>
            <w:pPr>
              <w:ind w:hanging="2"/>
              <w:jc w:val="center"/>
              <w:spacing w:after="240" w:line="36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  <w:vertAlign w:val="superscript"/>
              </w:rPr>
              <w:t>g)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TEMED</w:t>
            </w:r>
          </w:p>
        </w:tc>
        <w:tc>
          <w:tcPr>
            <w:tcW w:w="7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>
            <w:pPr>
              <w:ind w:hanging="2"/>
              <w:jc w:val="center"/>
              <w:spacing w:after="240" w:line="36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  <w:vertAlign w:val="superscript"/>
              </w:rPr>
              <w:t>h)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APS</w:t>
            </w:r>
          </w:p>
        </w:tc>
      </w:tr>
      <w:tr>
        <w:trPr>
          <w:jc w:val="center"/>
          <w:trHeight w:val="2643" w:hRule="atLeast"/>
        </w:trPr>
        <w:tc>
          <w:tcPr>
            <w:tcW w:w="1823" w:type="dxa"/>
            <w:tcBorders>
              <w:top w:val="single" w:sz="4" w:space="0" w:color="000000"/>
            </w:tcBorders>
            <w:shd w:val="clear" w:color="auto" w:fill="FFFFFF"/>
            <w:tcMar>
              <w:left w:w="83" w:type="dxa"/>
            </w:tcMar>
            <w:vAlign w:val="center"/>
          </w:tcPr>
          <w:p>
            <w:pPr>
              <w:ind w:hanging="2"/>
              <w:jc w:val="center"/>
              <w:spacing w:after="240" w:line="36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Weight (mg)</w:t>
            </w:r>
          </w:p>
        </w:tc>
        <w:tc>
          <w:tcPr>
            <w:tcW w:w="840" w:type="dxa"/>
            <w:tcBorders>
              <w:top w:val="single" w:sz="4" w:space="0" w:color="000000"/>
            </w:tcBorders>
            <w:shd w:val="clear" w:color="auto" w:fill="FFFFFF"/>
            <w:tcMar>
              <w:left w:w="83" w:type="dxa"/>
            </w:tcMar>
            <w:vAlign w:val="center"/>
          </w:tcPr>
          <w:p>
            <w:pPr>
              <w:ind w:hanging="2"/>
              <w:jc w:val="center"/>
              <w:spacing w:after="240" w:line="36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300</w:t>
            </w:r>
          </w:p>
        </w:tc>
        <w:tc>
          <w:tcPr>
            <w:tcW w:w="840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>
            <w:pPr>
              <w:ind w:hanging="2"/>
              <w:jc w:val="center"/>
              <w:spacing w:after="240" w:line="36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364</w:t>
            </w:r>
          </w:p>
        </w:tc>
        <w:tc>
          <w:tcPr>
            <w:tcW w:w="2167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>
            <w:pPr>
              <w:ind w:hanging="2"/>
              <w:jc w:val="center"/>
              <w:spacing w:line="36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134:0 (‘ET-1’)</w:t>
            </w:r>
          </w:p>
          <w:p>
            <w:pPr>
              <w:ind w:hanging="2"/>
              <w:jc w:val="center"/>
              <w:spacing w:line="36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120.6:10 (‘ET-2’)</w:t>
            </w:r>
          </w:p>
          <w:p>
            <w:pPr>
              <w:ind w:hanging="2"/>
              <w:jc w:val="center"/>
              <w:spacing w:line="36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84.4:37 (‘ET-3’)</w:t>
            </w:r>
          </w:p>
          <w:p>
            <w:pPr>
              <w:ind w:hanging="2"/>
              <w:jc w:val="center"/>
              <w:spacing w:line="36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49.6:63 (‘ET-4’)</w:t>
            </w:r>
          </w:p>
          <w:p>
            <w:pPr>
              <w:ind w:hanging="2"/>
              <w:jc w:val="center"/>
              <w:spacing w:line="36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13.4:90 (‘ET-5’)</w:t>
            </w:r>
          </w:p>
          <w:p>
            <w:pPr>
              <w:ind w:hanging="2"/>
              <w:jc w:val="center"/>
              <w:spacing w:line="36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0:100 (‘ET-6’)</w:t>
            </w:r>
          </w:p>
          <w:p>
            <w:pPr>
              <w:ind w:hanging="2"/>
              <w:jc w:val="center"/>
              <w:spacing w:after="240" w:line="36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0:0 ('Alg/PAAm' or 'CMC/PAAm')</w:t>
            </w:r>
          </w:p>
        </w:tc>
        <w:tc>
          <w:tcPr>
            <w:tcW w:w="752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>
            <w:pPr>
              <w:ind w:hanging="2"/>
              <w:jc w:val="center"/>
              <w:spacing w:after="240" w:line="36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2400</w:t>
            </w:r>
          </w:p>
        </w:tc>
        <w:tc>
          <w:tcPr>
            <w:tcW w:w="846" w:type="dxa"/>
            <w:tcBorders>
              <w:top w:val="single" w:sz="4" w:space="0" w:color="000000"/>
            </w:tcBorders>
            <w:shd w:val="clear" w:color="auto" w:fill="FFFFFF"/>
            <w:tcMar>
              <w:left w:w="83" w:type="dxa"/>
            </w:tcMar>
            <w:vAlign w:val="center"/>
          </w:tcPr>
          <w:p>
            <w:pPr>
              <w:ind w:hanging="2"/>
              <w:jc w:val="center"/>
              <w:spacing w:after="240" w:line="36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</w:t>
            </w:r>
          </w:p>
        </w:tc>
        <w:tc>
          <w:tcPr>
            <w:tcW w:w="990" w:type="dxa"/>
            <w:tcBorders>
              <w:top w:val="single" w:sz="4" w:space="0" w:color="000000"/>
            </w:tcBorders>
            <w:shd w:val="clear" w:color="auto" w:fill="FFFFFF"/>
            <w:tcMar>
              <w:left w:w="83" w:type="dxa"/>
            </w:tcMar>
            <w:vAlign w:val="center"/>
          </w:tcPr>
          <w:p>
            <w:pPr>
              <w:ind w:hanging="2"/>
              <w:jc w:val="center"/>
              <w:spacing w:after="240" w:line="36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7.76</w:t>
            </w:r>
          </w:p>
        </w:tc>
        <w:tc>
          <w:tcPr>
            <w:tcW w:w="768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>
            <w:pPr>
              <w:ind w:hanging="2"/>
              <w:jc w:val="center"/>
              <w:spacing w:after="240" w:line="36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800</w:t>
            </w:r>
          </w:p>
        </w:tc>
      </w:tr>
      <w:tr>
        <w:trPr>
          <w:jc w:val="center"/>
          <w:trHeight w:val="271" w:hRule="atLeast"/>
        </w:trPr>
        <w:tc>
          <w:tcPr>
            <w:tcW w:w="1823" w:type="dxa"/>
            <w:shd w:val="clear" w:color="auto" w:fill="FFFFFF"/>
            <w:tcMar>
              <w:left w:w="83" w:type="dxa"/>
            </w:tcMar>
            <w:vAlign w:val="center"/>
          </w:tcPr>
          <w:p>
            <w:pPr>
              <w:ind w:hanging="2"/>
              <w:jc w:val="center"/>
              <w:spacing w:after="240" w:line="36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Mol (mmol)</w:t>
            </w:r>
          </w:p>
        </w:tc>
        <w:tc>
          <w:tcPr>
            <w:tcW w:w="840" w:type="dxa"/>
            <w:shd w:val="clear" w:color="auto" w:fill="FFFFFF"/>
            <w:tcMar>
              <w:left w:w="83" w:type="dxa"/>
            </w:tcMar>
            <w:vAlign w:val="center"/>
          </w:tcPr>
          <w:p>
            <w:pPr>
              <w:ind w:hanging="2"/>
              <w:jc w:val="center"/>
              <w:spacing w:after="240" w:line="36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1.388</w:t>
            </w:r>
          </w:p>
        </w:tc>
        <w:tc>
          <w:tcPr>
            <w:tcW w:w="840" w:type="dxa"/>
            <w:shd w:val="clear" w:color="auto" w:fill="FFFFFF"/>
            <w:vAlign w:val="center"/>
          </w:tcPr>
          <w:p>
            <w:pPr>
              <w:ind w:hanging="2"/>
              <w:jc w:val="center"/>
              <w:spacing w:after="240" w:line="36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1.388</w:t>
            </w:r>
          </w:p>
        </w:tc>
        <w:tc>
          <w:tcPr>
            <w:tcW w:w="2167" w:type="dxa"/>
            <w:shd w:val="clear" w:color="auto" w:fill="FFFFFF"/>
            <w:vAlign w:val="center"/>
          </w:tcPr>
          <w:p>
            <w:pPr>
              <w:ind w:hanging="2"/>
              <w:jc w:val="center"/>
              <w:spacing w:after="240" w:line="36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 to 0.7034</w:t>
            </w:r>
          </w:p>
        </w:tc>
        <w:tc>
          <w:tcPr>
            <w:tcW w:w="752" w:type="dxa"/>
            <w:shd w:val="clear" w:color="auto" w:fill="FFFFFF"/>
            <w:vAlign w:val="center"/>
          </w:tcPr>
          <w:p>
            <w:pPr>
              <w:ind w:hanging="2"/>
              <w:jc w:val="center"/>
              <w:spacing w:after="240" w:line="36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33.765</w:t>
            </w:r>
          </w:p>
        </w:tc>
        <w:tc>
          <w:tcPr>
            <w:tcW w:w="846" w:type="dxa"/>
            <w:shd w:val="clear" w:color="auto" w:fill="FFFFFF"/>
            <w:tcMar>
              <w:left w:w="83" w:type="dxa"/>
            </w:tcMar>
            <w:vAlign w:val="center"/>
          </w:tcPr>
          <w:p>
            <w:pPr>
              <w:ind w:hanging="2"/>
              <w:jc w:val="center"/>
              <w:spacing w:after="240" w:line="36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0.130</w:t>
            </w:r>
          </w:p>
        </w:tc>
        <w:tc>
          <w:tcPr>
            <w:tcW w:w="990" w:type="dxa"/>
            <w:shd w:val="clear" w:color="auto" w:fill="FFFFFF"/>
            <w:tcMar>
              <w:left w:w="83" w:type="dxa"/>
            </w:tcMar>
            <w:vAlign w:val="center"/>
          </w:tcPr>
          <w:p>
            <w:pPr>
              <w:ind w:hanging="2"/>
              <w:jc w:val="center"/>
              <w:spacing w:after="240" w:line="36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0.172</w:t>
            </w:r>
          </w:p>
        </w:tc>
        <w:tc>
          <w:tcPr>
            <w:tcW w:w="768" w:type="dxa"/>
            <w:shd w:val="clear" w:color="auto" w:fill="FFFFFF"/>
            <w:vAlign w:val="center"/>
          </w:tcPr>
          <w:p>
            <w:pPr>
              <w:ind w:hanging="2"/>
              <w:jc w:val="center"/>
              <w:spacing w:after="240" w:line="36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3.506</w:t>
            </w:r>
          </w:p>
        </w:tc>
      </w:tr>
      <w:tr>
        <w:trPr>
          <w:jc w:val="center"/>
          <w:trHeight w:val="63" w:hRule="atLeast"/>
        </w:trPr>
        <w:tc>
          <w:tcPr>
            <w:tcW w:w="1823" w:type="dxa"/>
            <w:shd w:val="clear" w:color="auto" w:fill="FFFFFF"/>
            <w:tcMar>
              <w:left w:w="83" w:type="dxa"/>
            </w:tcMar>
            <w:vAlign w:val="center"/>
          </w:tcPr>
          <w:p>
            <w:pPr>
              <w:ind w:hanging="2"/>
              <w:jc w:val="center"/>
              <w:spacing w:after="240" w:line="36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Molar ratio to Alg</w:t>
            </w:r>
          </w:p>
        </w:tc>
        <w:tc>
          <w:tcPr>
            <w:tcW w:w="840" w:type="dxa"/>
            <w:shd w:val="clear" w:color="auto" w:fill="FFFFFF"/>
            <w:tcMar>
              <w:left w:w="83" w:type="dxa"/>
            </w:tcMar>
            <w:vAlign w:val="center"/>
          </w:tcPr>
          <w:p>
            <w:pPr>
              <w:ind w:hanging="2"/>
              <w:jc w:val="center"/>
              <w:spacing w:after="240" w:line="36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840" w:type="dxa"/>
            <w:shd w:val="clear" w:color="auto" w:fill="FFFFFF"/>
            <w:vAlign w:val="center"/>
          </w:tcPr>
          <w:p>
            <w:pPr>
              <w:ind w:hanging="2"/>
              <w:jc w:val="center"/>
              <w:spacing w:after="240" w:line="36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2167" w:type="dxa"/>
            <w:shd w:val="clear" w:color="auto" w:fill="FFFFFF"/>
            <w:vAlign w:val="center"/>
          </w:tcPr>
          <w:p>
            <w:pPr>
              <w:ind w:hanging="2"/>
              <w:jc w:val="center"/>
              <w:spacing w:after="240" w:line="36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 to 0.5067</w:t>
            </w:r>
          </w:p>
        </w:tc>
        <w:tc>
          <w:tcPr>
            <w:tcW w:w="752" w:type="dxa"/>
            <w:shd w:val="clear" w:color="auto" w:fill="FFFFFF"/>
            <w:vAlign w:val="center"/>
          </w:tcPr>
          <w:p>
            <w:pPr>
              <w:ind w:hanging="2"/>
              <w:jc w:val="center"/>
              <w:spacing w:after="240" w:line="36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24.325</w:t>
            </w:r>
          </w:p>
        </w:tc>
        <w:tc>
          <w:tcPr>
            <w:tcW w:w="846" w:type="dxa"/>
            <w:shd w:val="clear" w:color="auto" w:fill="FFFFFF"/>
            <w:tcMar>
              <w:left w:w="83" w:type="dxa"/>
            </w:tcMar>
            <w:vAlign w:val="center"/>
          </w:tcPr>
          <w:p>
            <w:pPr>
              <w:ind w:hanging="2"/>
              <w:jc w:val="center"/>
              <w:spacing w:after="240" w:line="36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0.093</w:t>
            </w:r>
          </w:p>
        </w:tc>
        <w:tc>
          <w:tcPr>
            <w:tcW w:w="990" w:type="dxa"/>
            <w:shd w:val="clear" w:color="auto" w:fill="FFFFFF"/>
            <w:tcMar>
              <w:left w:w="83" w:type="dxa"/>
            </w:tcMar>
            <w:vAlign w:val="center"/>
          </w:tcPr>
          <w:p>
            <w:pPr>
              <w:ind w:hanging="2"/>
              <w:jc w:val="center"/>
              <w:spacing w:after="240" w:line="36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0.124</w:t>
            </w:r>
          </w:p>
        </w:tc>
        <w:tc>
          <w:tcPr>
            <w:tcW w:w="768" w:type="dxa"/>
            <w:shd w:val="clear" w:color="auto" w:fill="FFFFFF"/>
            <w:vAlign w:val="center"/>
          </w:tcPr>
          <w:p>
            <w:pPr>
              <w:ind w:hanging="2"/>
              <w:jc w:val="center"/>
              <w:spacing w:after="240" w:line="36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2.526</w:t>
            </w:r>
          </w:p>
        </w:tc>
      </w:tr>
    </w:tbl>
    <w:p>
      <w:pPr>
        <w:ind w:hanging="2"/>
        <w:spacing w:line="360" w:lineRule="auto"/>
      </w:pPr>
      <w:r>
        <w:rPr>
          <w:vertAlign w:val="superscript"/>
        </w:rPr>
        <w:t>a)</w:t>
      </w:r>
      <w:r>
        <w:t xml:space="preserve">Alg = sodium alginate, </w:t>
      </w:r>
      <w:r>
        <w:rPr>
          <w:vertAlign w:val="superscript"/>
        </w:rPr>
        <w:t>b)</w:t>
      </w:r>
      <w:r>
        <w:t xml:space="preserve">CMC = sodium carboxymethylcellulose, </w:t>
      </w:r>
      <w:r>
        <w:rPr>
          <w:vertAlign w:val="superscript"/>
        </w:rPr>
        <w:t>c)</w:t>
      </w:r>
      <w:r>
        <w:t xml:space="preserve">EDOT = 3,4-ethylenedioxythiophene, </w:t>
      </w:r>
      <w:r>
        <w:rPr>
          <w:vertAlign w:val="superscript"/>
        </w:rPr>
        <w:t>d)</w:t>
      </w:r>
      <w:r>
        <w:t xml:space="preserve">TBA = 3-thienylboronic acid, </w:t>
      </w:r>
      <w:r>
        <w:rPr>
          <w:vertAlign w:val="superscript"/>
        </w:rPr>
        <w:t>e)</w:t>
      </w:r>
      <w:r>
        <w:t xml:space="preserve">AAm = acrylamide, </w:t>
      </w:r>
      <w:r>
        <w:rPr>
          <w:vertAlign w:val="superscript"/>
        </w:rPr>
        <w:t>f)</w:t>
      </w:r>
      <w:r>
        <w:t xml:space="preserve">MBAA = N,N'-methylenebisacrylamide, </w:t>
      </w:r>
      <w:r>
        <w:rPr>
          <w:vertAlign w:val="superscript"/>
        </w:rPr>
        <w:t>g)</w:t>
      </w:r>
      <w:r>
        <w:t xml:space="preserve">TEMED = N,N,N',N'-tetramethyl ethylenediamine, and </w:t>
      </w:r>
      <w:r>
        <w:rPr>
          <w:vertAlign w:val="superscript"/>
        </w:rPr>
        <w:t>g)</w:t>
      </w:r>
      <w:r>
        <w:t>APS = ammonium persulfate</w:t>
      </w:r>
    </w:p>
    <w:p>
      <w:pPr>
        <w:ind w:hanging="2"/>
        <w:spacing w:line="360" w:lineRule="auto"/>
      </w:pPr>
      <w:r>
        <w:br w:type="page"/>
      </w:r>
    </w:p>
    <w:p>
      <w:pPr>
        <w:ind w:hanging="2"/>
        <w:widowControl w:val="off"/>
        <w:pBdr>
          <w:between w:val="nil"/>
          <w:top w:val="nil"/>
          <w:left w:val="nil"/>
          <w:bottom w:val="nil"/>
          <w:right w:val="nil"/>
        </w:pBdr>
        <w:spacing w:line="360" w:lineRule="auto"/>
        <w:rPr>
          <w:rFonts w:ascii="Times" w:eastAsia="Times" w:hAnsi="Times" w:cs="Times"/>
          <w:b/>
          <w:color w:val="000000"/>
        </w:rPr>
      </w:pPr>
      <w:r>
        <w:rPr>
          <w:rFonts w:ascii="Times" w:eastAsia="Times" w:hAnsi="Times" w:cs="Times"/>
          <w:b/>
          <w:color w:val="000000"/>
        </w:rPr>
        <w:t xml:space="preserve">Captions for the </w:t>
      </w:r>
      <w:r>
        <w:rPr>
          <w:rFonts w:eastAsia="Times New Roman"/>
          <w:b/>
          <w:color w:val="000000"/>
        </w:rPr>
        <w:t xml:space="preserve">Supplementary </w:t>
      </w:r>
      <w:r>
        <w:rPr>
          <w:rFonts w:ascii="Times" w:eastAsia="Times" w:hAnsi="Times" w:cs="Times"/>
          <w:b/>
          <w:color w:val="000000"/>
        </w:rPr>
        <w:t>Videos</w:t>
      </w:r>
    </w:p>
    <w:p>
      <w:pPr>
        <w:ind w:hanging="2"/>
        <w:widowControl w:val="off"/>
        <w:pBdr>
          <w:between w:val="nil"/>
          <w:top w:val="nil"/>
          <w:left w:val="nil"/>
          <w:bottom w:val="nil"/>
          <w:right w:val="nil"/>
        </w:pBdr>
        <w:spacing w:line="360" w:lineRule="auto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 xml:space="preserve">The Videos (from 1 to 4) are available online. </w:t>
      </w:r>
    </w:p>
    <w:p>
      <w:pPr>
        <w:ind w:hanging="2"/>
        <w:jc w:val="both"/>
        <w:spacing w:line="360" w:lineRule="auto"/>
        <w:rPr>
          <w:color w:val="FF0000"/>
        </w:rPr>
      </w:pPr>
      <w:r>
        <w:rPr>
          <w:b/>
        </w:rPr>
        <w:t>Video 1.</w:t>
      </w:r>
      <w:r>
        <w:t xml:space="preserve"> Robust adhesiveness of TSC-TAH onto skin tissues.</w:t>
      </w:r>
    </w:p>
    <w:p>
      <w:pPr>
        <w:ind w:hanging="2"/>
        <w:jc w:val="both"/>
        <w:spacing w:line="360" w:lineRule="auto"/>
        <w:rPr>
          <w:color w:val="FF0000"/>
        </w:rPr>
      </w:pPr>
      <w:r>
        <w:rPr>
          <w:b/>
        </w:rPr>
        <w:t>Video 2.</w:t>
      </w:r>
      <w:r>
        <w:t xml:space="preserve"> Stretching the TSC-TAH about 200% strain.</w:t>
      </w:r>
    </w:p>
    <w:p>
      <w:pPr>
        <w:ind w:hanging="2"/>
        <w:jc w:val="both"/>
        <w:spacing w:line="360" w:lineRule="auto"/>
        <w:rPr>
          <w:color w:val="FF0000"/>
        </w:rPr>
      </w:pPr>
      <w:r>
        <w:rPr>
          <w:b/>
        </w:rPr>
        <w:t>Video 3.</w:t>
      </w:r>
      <w:r>
        <w:t xml:space="preserve"> Demonstration of the TSC-TAH-based IS-HMI for paper and rock motions.</w:t>
      </w:r>
    </w:p>
    <w:p>
      <w:pPr>
        <w:ind w:hanging="2"/>
        <w:jc w:val="both"/>
        <w:spacing w:after="240" w:line="360" w:lineRule="auto"/>
      </w:pPr>
      <w:r>
        <w:rPr>
          <w:b/>
        </w:rPr>
        <w:t>Video 4.</w:t>
      </w:r>
      <w:r>
        <w:t xml:space="preserve"> Demonstration of the TSC-TAH-based IS-HMI for handshaking motions.</w:t>
      </w:r>
    </w:p>
    <w:sectPr>
      <w:pgSz w:w="11906" w:h="16838"/>
      <w:pgMar w:top="1701" w:right="1440" w:bottom="1440" w:left="1440" w:header="851" w:footer="992" w:gutter="0"/>
      <w:cols w:space="720"/>
      <w:docGrid w:linePitch="360"/>
      <w:pgNumType w:start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imes New Roman">
    <w:panose1 w:val="02020603050405020304"/>
    <w:family w:val="roman"/>
    <w:charset w:val="00"/>
    <w:notTrueType w:val="false"/>
    <w:sig w:usb0="E0002EFF" w:usb1="C000785B" w:usb2="00000009" w:usb3="00000001" w:csb0="400001FF" w:csb1="FFFF0000"/>
  </w:font>
  <w:font w:name="Times">
    <w:panose1 w:val="02020603FFFFFFFFFFFF"/>
    <w:family w:val="auto"/>
    <w:charset w:val="00"/>
    <w:notTrueType w:val="false"/>
  </w:font>
  <w:font w:name="Arial">
    <w:panose1 w:val="020B0604020202020204"/>
    <w:family w:val="swiss"/>
    <w:charset w:val="00"/>
    <w:notTrueType w:val="false"/>
    <w:sig w:usb0="E0002EFF" w:usb1="C000785B" w:usb2="00000009" w:usb3="00000001" w:csb0="400001FF" w:csb1="FFFF0000"/>
  </w:font>
  <w:font w:name="MS Mincho">
    <w:panose1 w:val="02020609040205080304"/>
    <w:family w:val="modern"/>
    <w:charset w:val="80"/>
    <w:notTrueType w:val="false"/>
    <w:sig w:usb0="7FFFFFFF" w:usb1="6AC7FDFB" w:usb2="08000012" w:usb3="00000001" w:csb0="4002009F" w:csb1="7FFFFFFF"/>
  </w:font>
  <w:font w:name="SimSun">
    <w:panose1 w:val="02010600030101010101"/>
    <w:family w:val="auto"/>
    <w:charset w:val="86"/>
    <w:notTrueType w:val="false"/>
    <w:sig w:usb0="00000203" w:usb1="288F0000" w:usb2="00000006" w:usb3="00000001" w:csb0="00040001" w:csb1="00000001"/>
  </w:font>
  <w:font w:name="Georgia">
    <w:panose1 w:val="02040502050405020303"/>
    <w:family w:val="roman"/>
    <w:charset w:val="00"/>
    <w:notTrueType w:val="false"/>
    <w:sig w:usb0="00000287" w:usb1="00000001" w:usb2="00000001" w:usb3="00000001" w:csb0="2000009F" w:csb1="000000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72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1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="Times New Roman" w:eastAsiaTheme="minorEastAsia" w:hAnsi="Times New Roman" w:cs="Times New Roman"/>
        <w:sz w:val="24"/>
        <w:szCs w:val="24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87" w:unhideWhenUsed="1"/>
    <w:lsdException w:name="toc 2" w:semiHidden="1" w:uiPriority="87" w:unhideWhenUsed="1"/>
    <w:lsdException w:name="toc 3" w:semiHidden="1" w:uiPriority="87" w:unhideWhenUsed="1"/>
    <w:lsdException w:name="toc 4" w:semiHidden="1" w:uiPriority="87" w:unhideWhenUsed="1"/>
    <w:lsdException w:name="toc 5" w:semiHidden="1" w:uiPriority="87" w:unhideWhenUsed="1"/>
    <w:lsdException w:name="toc 6" w:semiHidden="1" w:uiPriority="87" w:unhideWhenUsed="1"/>
    <w:lsdException w:name="toc 7" w:semiHidden="1" w:uiPriority="87" w:unhideWhenUsed="1"/>
    <w:lsdException w:name="toc 8" w:semiHidden="1" w:uiPriority="87" w:unhideWhenUsed="1"/>
    <w:lsdException w:name="toc 9" w:semiHidden="1" w:uiPriority="8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8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52" w:qFormat="1"/>
    <w:lsdException w:name="Emphasis" w:uiPriority="5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8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150"/>
    <w:lsdException w:name="Light List" w:uiPriority="151"/>
    <w:lsdException w:name="Light Grid" w:uiPriority="152"/>
    <w:lsdException w:name="Medium Shading 1" w:uiPriority="153"/>
    <w:lsdException w:name="Medium Shading 2" w:uiPriority="256"/>
    <w:lsdException w:name="Medium List 1" w:uiPriority="257"/>
    <w:lsdException w:name="Medium List 2" w:uiPriority="258"/>
    <w:lsdException w:name="Medium Grid 1" w:uiPriority="259"/>
    <w:lsdException w:name="Medium Grid 2" w:uiPriority="260"/>
    <w:lsdException w:name="Medium Grid 3" w:uiPriority="261"/>
    <w:lsdException w:name="Dark List" w:uiPriority="274"/>
    <w:lsdException w:name="Colorful Shading" w:uiPriority="275"/>
    <w:lsdException w:name="Colorful List" w:uiPriority="276"/>
    <w:lsdException w:name="Colorful Grid" w:uiPriority="277"/>
    <w:lsdException w:name="Light Shading Accent 1" w:uiPriority="150"/>
    <w:lsdException w:name="Light List Accent 1" w:uiPriority="151"/>
    <w:lsdException w:name="Light Grid Accent 1" w:uiPriority="152"/>
    <w:lsdException w:name="Medium Shading 1 Accent 1" w:uiPriority="153"/>
    <w:lsdException w:name="Medium Shading 2 Accent 1" w:uiPriority="256"/>
    <w:lsdException w:name="Medium List 1 Accent 1" w:uiPriority="257"/>
    <w:lsdException w:name="Revision" w:semiHidden="1"/>
    <w:lsdException w:name="List Paragraph" w:uiPriority="82" w:qFormat="1"/>
    <w:lsdException w:name="Quote" w:uiPriority="65" w:qFormat="1"/>
    <w:lsdException w:name="Intense Quote" w:uiPriority="72" w:qFormat="1"/>
    <w:lsdException w:name="Medium List 2 Accent 1" w:uiPriority="258"/>
    <w:lsdException w:name="Medium Grid 1 Accent 1" w:uiPriority="259"/>
    <w:lsdException w:name="Medium Grid 2 Accent 1" w:uiPriority="260"/>
    <w:lsdException w:name="Medium Grid 3 Accent 1" w:uiPriority="261"/>
    <w:lsdException w:name="Dark List Accent 1" w:uiPriority="274"/>
    <w:lsdException w:name="Colorful Shading Accent 1" w:uiPriority="275"/>
    <w:lsdException w:name="Colorful List Accent 1" w:uiPriority="276"/>
    <w:lsdException w:name="Colorful Grid Accent 1" w:uiPriority="277"/>
    <w:lsdException w:name="Light Shading Accent 2" w:uiPriority="150"/>
    <w:lsdException w:name="Light List Accent 2" w:uiPriority="151"/>
    <w:lsdException w:name="Light Grid Accent 2" w:uiPriority="152"/>
    <w:lsdException w:name="Medium Shading 1 Accent 2" w:uiPriority="153"/>
    <w:lsdException w:name="Medium Shading 2 Accent 2" w:uiPriority="256"/>
    <w:lsdException w:name="Medium List 1 Accent 2" w:uiPriority="257"/>
    <w:lsdException w:name="Medium List 2 Accent 2" w:uiPriority="258"/>
    <w:lsdException w:name="Medium Grid 1 Accent 2" w:uiPriority="259"/>
    <w:lsdException w:name="Medium Grid 2 Accent 2" w:uiPriority="260"/>
    <w:lsdException w:name="Medium Grid 3 Accent 2" w:uiPriority="261"/>
    <w:lsdException w:name="Dark List Accent 2" w:uiPriority="274"/>
    <w:lsdException w:name="Colorful Shading Accent 2" w:uiPriority="275"/>
    <w:lsdException w:name="Colorful List Accent 2" w:uiPriority="276"/>
    <w:lsdException w:name="Colorful Grid Accent 2" w:uiPriority="277"/>
    <w:lsdException w:name="Light Shading Accent 3" w:uiPriority="150"/>
    <w:lsdException w:name="Light List Accent 3" w:uiPriority="151"/>
    <w:lsdException w:name="Light Grid Accent 3" w:uiPriority="152"/>
    <w:lsdException w:name="Medium Shading 1 Accent 3" w:uiPriority="153"/>
    <w:lsdException w:name="Medium Shading 2 Accent 3" w:uiPriority="256"/>
    <w:lsdException w:name="Medium List 1 Accent 3" w:uiPriority="257"/>
    <w:lsdException w:name="Medium List 2 Accent 3" w:uiPriority="258"/>
    <w:lsdException w:name="Medium Grid 1 Accent 3" w:uiPriority="259"/>
    <w:lsdException w:name="Medium Grid 2 Accent 3" w:uiPriority="260"/>
    <w:lsdException w:name="Medium Grid 3 Accent 3" w:uiPriority="261"/>
    <w:lsdException w:name="Dark List Accent 3" w:uiPriority="274"/>
    <w:lsdException w:name="Colorful Shading Accent 3" w:uiPriority="275"/>
    <w:lsdException w:name="Colorful List Accent 3" w:uiPriority="276"/>
    <w:lsdException w:name="Colorful Grid Accent 3" w:uiPriority="277"/>
    <w:lsdException w:name="Light Shading Accent 4" w:uiPriority="150"/>
    <w:lsdException w:name="Light List Accent 4" w:uiPriority="151"/>
    <w:lsdException w:name="Light Grid Accent 4" w:uiPriority="152"/>
    <w:lsdException w:name="Medium Shading 1 Accent 4" w:uiPriority="153"/>
    <w:lsdException w:name="Medium Shading 2 Accent 4" w:uiPriority="256"/>
    <w:lsdException w:name="Medium List 1 Accent 4" w:uiPriority="257"/>
    <w:lsdException w:name="Medium List 2 Accent 4" w:uiPriority="258"/>
    <w:lsdException w:name="Medium Grid 1 Accent 4" w:uiPriority="259"/>
    <w:lsdException w:name="Medium Grid 2 Accent 4" w:uiPriority="260"/>
    <w:lsdException w:name="Medium Grid 3 Accent 4" w:uiPriority="261"/>
    <w:lsdException w:name="Dark List Accent 4" w:uiPriority="274"/>
    <w:lsdException w:name="Colorful Shading Accent 4" w:uiPriority="275"/>
    <w:lsdException w:name="Colorful List Accent 4" w:uiPriority="276"/>
    <w:lsdException w:name="Colorful Grid Accent 4" w:uiPriority="277"/>
    <w:lsdException w:name="Light Shading Accent 5" w:uiPriority="150"/>
    <w:lsdException w:name="Light List Accent 5" w:uiPriority="151"/>
    <w:lsdException w:name="Light Grid Accent 5" w:uiPriority="152"/>
    <w:lsdException w:name="Medium Shading 1 Accent 5" w:uiPriority="153"/>
    <w:lsdException w:name="Medium Shading 2 Accent 5" w:uiPriority="256"/>
    <w:lsdException w:name="Medium List 1 Accent 5" w:uiPriority="257"/>
    <w:lsdException w:name="Medium List 2 Accent 5" w:uiPriority="258"/>
    <w:lsdException w:name="Medium Grid 1 Accent 5" w:uiPriority="259"/>
    <w:lsdException w:name="Medium Grid 2 Accent 5" w:uiPriority="260"/>
    <w:lsdException w:name="Medium Grid 3 Accent 5" w:uiPriority="261"/>
    <w:lsdException w:name="Dark List Accent 5" w:uiPriority="274"/>
    <w:lsdException w:name="Colorful Shading Accent 5" w:uiPriority="275"/>
    <w:lsdException w:name="Colorful List Accent 5" w:uiPriority="276"/>
    <w:lsdException w:name="Colorful Grid Accent 5" w:uiPriority="277"/>
    <w:lsdException w:name="Light Shading Accent 6" w:uiPriority="150"/>
    <w:lsdException w:name="Light List Accent 6" w:uiPriority="151"/>
    <w:lsdException w:name="Light Grid Accent 6" w:uiPriority="152"/>
    <w:lsdException w:name="Medium Shading 1 Accent 6" w:uiPriority="153"/>
    <w:lsdException w:name="Medium Shading 2 Accent 6" w:uiPriority="256"/>
    <w:lsdException w:name="Medium List 1 Accent 6" w:uiPriority="257"/>
    <w:lsdException w:name="Medium List 2 Accent 6" w:uiPriority="258"/>
    <w:lsdException w:name="Medium Grid 1 Accent 6" w:uiPriority="259"/>
    <w:lsdException w:name="Medium Grid 2 Accent 6" w:uiPriority="260"/>
    <w:lsdException w:name="Medium Grid 3 Accent 6" w:uiPriority="261"/>
    <w:lsdException w:name="Dark List Accent 6" w:uiPriority="274"/>
    <w:lsdException w:name="Colorful Shading Accent 6" w:uiPriority="275"/>
    <w:lsdException w:name="Colorful List Accent 6" w:uiPriority="276"/>
    <w:lsdException w:name="Colorful Grid Accent 6" w:uiPriority="277"/>
    <w:lsdException w:name="Subtle Emphasis" w:uiPriority="37" w:qFormat="1"/>
    <w:lsdException w:name="Intense Emphasis" w:uiPriority="51" w:qFormat="1"/>
    <w:lsdException w:name="Subtle Reference" w:uiPriority="73" w:qFormat="1"/>
    <w:lsdException w:name="Intense Reference" w:uiPriority="80" w:qFormat="1"/>
    <w:lsdException w:name="Book Title" w:uiPriority="81" w:qFormat="1"/>
    <w:lsdException w:name="Bibliography" w:semiHidden="1" w:uiPriority="85" w:unhideWhenUsed="1"/>
    <w:lsdException w:name="TOC Heading" w:semiHidden="1" w:uiPriority="87" w:unhideWhenUsed="1" w:qFormat="1"/>
    <w:lsdException w:name="Plain Table 1" w:uiPriority="101"/>
    <w:lsdException w:name="Plain Table 2" w:uiPriority="102"/>
    <w:lsdException w:name="Plain Table 3" w:uiPriority="103"/>
    <w:lsdException w:name="Plain Table 4" w:uiPriority="104"/>
    <w:lsdException w:name="Plain Table 5" w:uiPriority="105"/>
    <w:lsdException w:name="Grid Table Light" w:uiPriority="100"/>
    <w:lsdException w:name="Grid Table 1 Light" w:uiPriority="112"/>
    <w:lsdException w:name="Grid Table 2" w:uiPriority="113"/>
    <w:lsdException w:name="Grid Table 3" w:uiPriority="114"/>
    <w:lsdException w:name="Grid Table 4" w:uiPriority="115"/>
    <w:lsdException w:name="Grid Table 5 Dark" w:uiPriority="128"/>
    <w:lsdException w:name="Grid Table 6 Colorful" w:uiPriority="129"/>
    <w:lsdException w:name="Grid Table 7 Colorful" w:uiPriority="130"/>
    <w:lsdException w:name="Grid Table 1 Light Accent 1" w:uiPriority="112"/>
    <w:lsdException w:name="Grid Table 2 Accent 1" w:uiPriority="113"/>
    <w:lsdException w:name="Grid Table 3 Accent 1" w:uiPriority="114"/>
    <w:lsdException w:name="Grid Table 4 Accent 1" w:uiPriority="115"/>
    <w:lsdException w:name="Grid Table 5 Dark Accent 1" w:uiPriority="128"/>
    <w:lsdException w:name="Grid Table 6 Colorful Accent 1" w:uiPriority="129"/>
    <w:lsdException w:name="Grid Table 7 Colorful Accent 1" w:uiPriority="130"/>
    <w:lsdException w:name="Grid Table 1 Light Accent 2" w:uiPriority="112"/>
    <w:lsdException w:name="Grid Table 2 Accent 2" w:uiPriority="113"/>
    <w:lsdException w:name="Grid Table 3 Accent 2" w:uiPriority="114"/>
    <w:lsdException w:name="Grid Table 4 Accent 2" w:uiPriority="115"/>
    <w:lsdException w:name="Grid Table 5 Dark Accent 2" w:uiPriority="128"/>
    <w:lsdException w:name="Grid Table 6 Colorful Accent 2" w:uiPriority="129"/>
    <w:lsdException w:name="Grid Table 7 Colorful Accent 2" w:uiPriority="130"/>
    <w:lsdException w:name="Grid Table 1 Light Accent 3" w:uiPriority="112"/>
    <w:lsdException w:name="Grid Table 2 Accent 3" w:uiPriority="113"/>
    <w:lsdException w:name="Grid Table 3 Accent 3" w:uiPriority="114"/>
    <w:lsdException w:name="Grid Table 4 Accent 3" w:uiPriority="115"/>
    <w:lsdException w:name="Grid Table 5 Dark Accent 3" w:uiPriority="128"/>
    <w:lsdException w:name="Grid Table 6 Colorful Accent 3" w:uiPriority="129"/>
    <w:lsdException w:name="Grid Table 7 Colorful Accent 3" w:uiPriority="130"/>
    <w:lsdException w:name="Grid Table 1 Light Accent 4" w:uiPriority="112"/>
    <w:lsdException w:name="Grid Table 2 Accent 4" w:uiPriority="113"/>
    <w:lsdException w:name="Grid Table 3 Accent 4" w:uiPriority="114"/>
    <w:lsdException w:name="Grid Table 4 Accent 4" w:uiPriority="115"/>
    <w:lsdException w:name="Grid Table 5 Dark Accent 4" w:uiPriority="128"/>
    <w:lsdException w:name="Grid Table 6 Colorful Accent 4" w:uiPriority="129"/>
    <w:lsdException w:name="Grid Table 7 Colorful Accent 4" w:uiPriority="130"/>
    <w:lsdException w:name="Grid Table 1 Light Accent 5" w:uiPriority="112"/>
    <w:lsdException w:name="Grid Table 2 Accent 5" w:uiPriority="113"/>
    <w:lsdException w:name="Grid Table 3 Accent 5" w:uiPriority="114"/>
    <w:lsdException w:name="Grid Table 4 Accent 5" w:uiPriority="115"/>
    <w:lsdException w:name="Grid Table 5 Dark Accent 5" w:uiPriority="128"/>
    <w:lsdException w:name="Grid Table 6 Colorful Accent 5" w:uiPriority="129"/>
    <w:lsdException w:name="Grid Table 7 Colorful Accent 5" w:uiPriority="130"/>
    <w:lsdException w:name="Grid Table 1 Light Accent 6" w:uiPriority="112"/>
    <w:lsdException w:name="Grid Table 2 Accent 6" w:uiPriority="113"/>
    <w:lsdException w:name="Grid Table 3 Accent 6" w:uiPriority="114"/>
    <w:lsdException w:name="Grid Table 4 Accent 6" w:uiPriority="115"/>
    <w:lsdException w:name="Grid Table 5 Dark Accent 6" w:uiPriority="128"/>
    <w:lsdException w:name="Grid Table 6 Colorful Accent 6" w:uiPriority="129"/>
    <w:lsdException w:name="Grid Table 7 Colorful Accent 6" w:uiPriority="130"/>
    <w:lsdException w:name="List Table 1 Light" w:uiPriority="112"/>
    <w:lsdException w:name="List Table 2" w:uiPriority="113"/>
    <w:lsdException w:name="List Table 3" w:uiPriority="114"/>
    <w:lsdException w:name="List Table 4" w:uiPriority="115"/>
    <w:lsdException w:name="List Table 5 Dark" w:uiPriority="128"/>
    <w:lsdException w:name="List Table 6 Colorful" w:uiPriority="129"/>
    <w:lsdException w:name="List Table 7 Colorful" w:uiPriority="130"/>
    <w:lsdException w:name="List Table 1 Light Accent 1" w:uiPriority="112"/>
    <w:lsdException w:name="List Table 2 Accent 1" w:uiPriority="113"/>
    <w:lsdException w:name="List Table 3 Accent 1" w:uiPriority="114"/>
    <w:lsdException w:name="List Table 4 Accent 1" w:uiPriority="115"/>
    <w:lsdException w:name="List Table 5 Dark Accent 1" w:uiPriority="128"/>
    <w:lsdException w:name="List Table 6 Colorful Accent 1" w:uiPriority="129"/>
    <w:lsdException w:name="List Table 7 Colorful Accent 1" w:uiPriority="130"/>
    <w:lsdException w:name="List Table 1 Light Accent 2" w:uiPriority="112"/>
    <w:lsdException w:name="List Table 2 Accent 2" w:uiPriority="113"/>
    <w:lsdException w:name="List Table 3 Accent 2" w:uiPriority="114"/>
    <w:lsdException w:name="List Table 4 Accent 2" w:uiPriority="115"/>
    <w:lsdException w:name="List Table 5 Dark Accent 2" w:uiPriority="128"/>
    <w:lsdException w:name="List Table 6 Colorful Accent 2" w:uiPriority="129"/>
    <w:lsdException w:name="List Table 7 Colorful Accent 2" w:uiPriority="130"/>
    <w:lsdException w:name="List Table 1 Light Accent 3" w:uiPriority="112"/>
    <w:lsdException w:name="List Table 2 Accent 3" w:uiPriority="113"/>
    <w:lsdException w:name="List Table 3 Accent 3" w:uiPriority="114"/>
    <w:lsdException w:name="List Table 4 Accent 3" w:uiPriority="115"/>
    <w:lsdException w:name="List Table 5 Dark Accent 3" w:uiPriority="128"/>
    <w:lsdException w:name="List Table 6 Colorful Accent 3" w:uiPriority="129"/>
    <w:lsdException w:name="List Table 7 Colorful Accent 3" w:uiPriority="130"/>
    <w:lsdException w:name="List Table 1 Light Accent 4" w:uiPriority="112"/>
    <w:lsdException w:name="List Table 2 Accent 4" w:uiPriority="113"/>
    <w:lsdException w:name="List Table 3 Accent 4" w:uiPriority="114"/>
    <w:lsdException w:name="List Table 4 Accent 4" w:uiPriority="115"/>
    <w:lsdException w:name="List Table 5 Dark Accent 4" w:uiPriority="128"/>
    <w:lsdException w:name="List Table 6 Colorful Accent 4" w:uiPriority="129"/>
    <w:lsdException w:name="List Table 7 Colorful Accent 4" w:uiPriority="130"/>
    <w:lsdException w:name="List Table 1 Light Accent 5" w:uiPriority="112"/>
    <w:lsdException w:name="List Table 2 Accent 5" w:uiPriority="113"/>
    <w:lsdException w:name="List Table 3 Accent 5" w:uiPriority="114"/>
    <w:lsdException w:name="List Table 4 Accent 5" w:uiPriority="115"/>
    <w:lsdException w:name="List Table 5 Dark Accent 5" w:uiPriority="128"/>
    <w:lsdException w:name="List Table 6 Colorful Accent 5" w:uiPriority="129"/>
    <w:lsdException w:name="List Table 7 Colorful Accent 5" w:uiPriority="130"/>
    <w:lsdException w:name="List Table 1 Light Accent 6" w:uiPriority="112"/>
    <w:lsdException w:name="List Table 2 Accent 6" w:uiPriority="113"/>
    <w:lsdException w:name="List Table 3 Accent 6" w:uiPriority="114"/>
    <w:lsdException w:name="List Table 4 Accent 6" w:uiPriority="115"/>
    <w:lsdException w:name="List Table 5 Dark Accent 6" w:uiPriority="128"/>
    <w:lsdException w:name="List Table 6 Colorful Accent 6" w:uiPriority="129"/>
    <w:lsdException w:name="List Table 7 Colorful Accent 6" w:uiPriority="13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de-DE" w:eastAsia="ja-JP"/>
      <w:rFonts w:eastAsia="MS Mincho"/>
    </w:rPr>
  </w:style>
  <w:style w:type="paragraph" w:styleId="1">
    <w:name w:val="heading 1"/>
    <w:uiPriority w:val="9"/>
    <w:basedOn w:val="a"/>
    <w:next w:val="a"/>
    <w:qFormat/>
    <w:pPr>
      <w:keepNext/>
      <w:keepLines/>
      <w:outlineLvl w:val="0"/>
      <w:spacing w:after="120" w:before="480"/>
    </w:pPr>
    <w:rPr>
      <w:b/>
      <w:sz w:val="48"/>
      <w:szCs w:val="48"/>
    </w:rPr>
  </w:style>
  <w:style w:type="paragraph" w:styleId="2">
    <w:name w:val="heading 2"/>
    <w:uiPriority w:val="9"/>
    <w:basedOn w:val="a"/>
    <w:next w:val="a"/>
    <w:qFormat/>
    <w:semiHidden/>
    <w:unhideWhenUsed/>
    <w:pPr>
      <w:keepNext/>
      <w:keepLines/>
      <w:outlineLvl w:val="1"/>
      <w:spacing w:after="80" w:before="360"/>
    </w:pPr>
    <w:rPr>
      <w:b/>
      <w:sz w:val="36"/>
      <w:szCs w:val="36"/>
    </w:rPr>
  </w:style>
  <w:style w:type="paragraph" w:styleId="3">
    <w:name w:val="heading 3"/>
    <w:uiPriority w:val="9"/>
    <w:basedOn w:val="a"/>
    <w:next w:val="a"/>
    <w:qFormat/>
    <w:semiHidden/>
    <w:unhideWhenUsed/>
    <w:pPr>
      <w:keepNext/>
      <w:keepLines/>
      <w:outlineLvl w:val="2"/>
      <w:spacing w:after="80" w:before="280"/>
    </w:pPr>
    <w:rPr>
      <w:b/>
      <w:sz w:val="28"/>
      <w:szCs w:val="28"/>
    </w:rPr>
  </w:style>
  <w:style w:type="paragraph" w:styleId="4">
    <w:name w:val="heading 4"/>
    <w:uiPriority w:val="9"/>
    <w:basedOn w:val="a"/>
    <w:next w:val="a"/>
    <w:qFormat/>
    <w:semiHidden/>
    <w:unhideWhenUsed/>
    <w:pPr>
      <w:keepNext/>
      <w:keepLines/>
      <w:outlineLvl w:val="3"/>
      <w:spacing w:after="40" w:before="240"/>
    </w:pPr>
    <w:rPr>
      <w:b/>
    </w:rPr>
  </w:style>
  <w:style w:type="paragraph" w:styleId="5">
    <w:name w:val="heading 5"/>
    <w:uiPriority w:val="9"/>
    <w:basedOn w:val="a"/>
    <w:next w:val="a"/>
    <w:qFormat/>
    <w:semiHidden/>
    <w:unhideWhenUsed/>
    <w:pPr>
      <w:keepNext/>
      <w:keepLines/>
      <w:outlineLvl w:val="4"/>
      <w:spacing w:after="40" w:before="220"/>
    </w:pPr>
    <w:rPr>
      <w:b/>
      <w:sz w:val="22"/>
      <w:szCs w:val="22"/>
    </w:rPr>
  </w:style>
  <w:style w:type="paragraph" w:styleId="6">
    <w:name w:val="heading 6"/>
    <w:uiPriority w:val="9"/>
    <w:basedOn w:val="a"/>
    <w:next w:val="a"/>
    <w:qFormat/>
    <w:semiHidden/>
    <w:unhideWhenUsed/>
    <w:pPr>
      <w:keepNext/>
      <w:keepLines/>
      <w:outlineLvl w:val="5"/>
      <w:spacing w:after="40" w:before="200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uiPriority w:val="10"/>
    <w:basedOn w:val="a"/>
    <w:next w:val="a"/>
    <w:qFormat/>
    <w:pPr>
      <w:keepNext/>
      <w:keepLines/>
      <w:spacing w:after="120" w:before="480"/>
    </w:pPr>
    <w:rPr>
      <w:b/>
      <w:sz w:val="72"/>
      <w:szCs w:val="72"/>
    </w:rPr>
  </w:style>
  <w:style w:type="paragraph" w:customStyle="1" w:styleId="AuthorsFull">
    <w:name w:val="Authors Full"/>
    <w:basedOn w:val="a"/>
    <w:rPr>
      <w:lang w:val="en-US"/>
      <w:i/>
    </w:rPr>
  </w:style>
  <w:style w:type="paragraph" w:customStyle="1" w:styleId="BATitle">
    <w:name w:val="BA_Title"/>
    <w:basedOn w:val="a"/>
    <w:next w:val="a"/>
    <w:pPr>
      <w:jc w:val="center"/>
      <w:spacing w:after="360" w:before="720" w:line="480" w:lineRule="auto"/>
    </w:pPr>
    <w:rPr>
      <w:lang w:val="en-US" w:eastAsia="en-US"/>
      <w:rFonts w:eastAsia="SimSun"/>
      <w:sz w:val="44"/>
      <w:szCs w:val="20"/>
    </w:rPr>
  </w:style>
  <w:style w:type="paragraph" w:customStyle="1" w:styleId="BCAuthorAddress">
    <w:name w:val="BC_Author_Address"/>
    <w:basedOn w:val="a"/>
    <w:next w:val="a"/>
    <w:pPr>
      <w:jc w:val="center"/>
      <w:spacing w:after="240" w:line="480" w:lineRule="auto"/>
    </w:pPr>
    <w:rPr>
      <w:lang w:val="en-US" w:eastAsia="en-US"/>
      <w:rFonts w:ascii="Times" w:eastAsia="SimSun" w:hAnsi="Times"/>
      <w:szCs w:val="20"/>
    </w:rPr>
  </w:style>
  <w:style w:type="paragraph" w:styleId="a4">
    <w:name w:val="header"/>
    <w:uiPriority w:val="99"/>
    <w:basedOn w:val="a"/>
    <w:link w:val="Char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">
    <w:name w:val="머리글 Char"/>
    <w:uiPriority w:val="99"/>
    <w:basedOn w:val="a0"/>
    <w:link w:val="a4"/>
    <w:rPr>
      <w:lang w:val="de-DE" w:eastAsia="ja-JP"/>
      <w:rFonts w:ascii="Times New Roman" w:eastAsia="MS Mincho" w:hAnsi="Times New Roman" w:cs="Times New Roman"/>
      <w:sz w:val="24"/>
      <w:szCs w:val="24"/>
      <w:kern w:val="0"/>
    </w:rPr>
  </w:style>
  <w:style w:type="paragraph" w:styleId="a5">
    <w:name w:val="footer"/>
    <w:uiPriority w:val="99"/>
    <w:basedOn w:val="a"/>
    <w:link w:val="Char0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0">
    <w:name w:val="바닥글 Char"/>
    <w:uiPriority w:val="99"/>
    <w:basedOn w:val="a0"/>
    <w:link w:val="a5"/>
    <w:rPr>
      <w:lang w:val="de-DE" w:eastAsia="ja-JP"/>
      <w:rFonts w:ascii="Times New Roman" w:eastAsia="MS Mincho" w:hAnsi="Times New Roman" w:cs="Times New Roman"/>
      <w:sz w:val="24"/>
      <w:szCs w:val="24"/>
      <w:kern w:val="0"/>
    </w:rPr>
  </w:style>
  <w:style w:type="paragraph" w:customStyle="1" w:styleId="a6">
    <w:name w:val="Revision"/>
    <w:uiPriority w:val="99"/>
    <w:hidden/>
    <w:semiHidden/>
    <w:rPr>
      <w:lang w:val="de-DE" w:eastAsia="ja-JP"/>
      <w:rFonts w:eastAsia="MS Mincho"/>
    </w:rPr>
  </w:style>
  <w:style w:type="character" w:styleId="a7">
    <w:name w:val="annotation reference"/>
    <w:uiPriority w:val="99"/>
    <w:basedOn w:val="a0"/>
    <w:semiHidden/>
    <w:unhideWhenUsed/>
    <w:rPr>
      <w:sz w:val="16"/>
      <w:szCs w:val="16"/>
    </w:rPr>
  </w:style>
  <w:style w:type="paragraph" w:styleId="a8">
    <w:name w:val="annotation text"/>
    <w:uiPriority w:val="99"/>
    <w:basedOn w:val="a"/>
    <w:link w:val="Char1"/>
    <w:unhideWhenUsed/>
    <w:rPr>
      <w:sz w:val="20"/>
      <w:szCs w:val="20"/>
    </w:rPr>
  </w:style>
  <w:style w:type="character" w:customStyle="1" w:styleId="Char1">
    <w:name w:val="메모 텍스트 Char"/>
    <w:uiPriority w:val="99"/>
    <w:basedOn w:val="a0"/>
    <w:link w:val="a8"/>
    <w:rPr>
      <w:lang w:val="de-DE" w:eastAsia="ja-JP"/>
      <w:rFonts w:ascii="Times New Roman" w:eastAsia="MS Mincho" w:hAnsi="Times New Roman" w:cs="Times New Roman"/>
      <w:szCs w:val="20"/>
      <w:kern w:val="0"/>
    </w:rPr>
  </w:style>
  <w:style w:type="paragraph" w:styleId="a9">
    <w:name w:val="annotation subject"/>
    <w:uiPriority w:val="99"/>
    <w:basedOn w:val="a8"/>
    <w:next w:val="a8"/>
    <w:link w:val="Char2"/>
    <w:semiHidden/>
    <w:unhideWhenUsed/>
    <w:rPr>
      <w:b/>
      <w:bCs/>
    </w:rPr>
  </w:style>
  <w:style w:type="character" w:customStyle="1" w:styleId="Char2">
    <w:name w:val="메모 주제 Char"/>
    <w:uiPriority w:val="99"/>
    <w:basedOn w:val="Char1"/>
    <w:link w:val="a9"/>
    <w:semiHidden/>
    <w:rPr>
      <w:lang w:val="de-DE" w:eastAsia="ja-JP"/>
      <w:rFonts w:ascii="Times New Roman" w:eastAsia="MS Mincho" w:hAnsi="Times New Roman" w:cs="Times New Roman"/>
      <w:b/>
      <w:bCs/>
      <w:szCs w:val="20"/>
      <w:kern w:val="0"/>
    </w:rPr>
  </w:style>
  <w:style w:type="paragraph" w:customStyle="1" w:styleId="Default">
    <w:name w:val="Default"/>
    <w:pPr>
      <w:adjustRightInd/>
      <w:autoSpaceDE w:val="off"/>
      <w:autoSpaceDN w:val="off"/>
      <w:widowControl w:val="off"/>
    </w:pPr>
    <w:rPr>
      <w:color w:val="000000"/>
    </w:rPr>
  </w:style>
  <w:style w:type="paragraph" w:customStyle="1" w:styleId="Title2">
    <w:name w:val="Title2"/>
    <w:basedOn w:val="a"/>
    <w:pPr>
      <w:ind w:leftChars="-1" w:left="-1" w:hangingChars="1" w:hanging="1"/>
      <w:spacing w:after="240" w:line="480" w:lineRule="auto"/>
    </w:pPr>
    <w:rPr>
      <w:lang w:val="en-US"/>
      <w:rFonts w:eastAsiaTheme="minorEastAsia"/>
      <w:b/>
      <w:position w:val="0"/>
    </w:rPr>
  </w:style>
  <w:style w:type="paragraph" w:styleId="aa">
    <w:name w:val="Subtitle"/>
    <w:uiPriority w:val="11"/>
    <w:basedOn w:val="a"/>
    <w:next w:val="a"/>
    <w:qFormat/>
    <w:pPr>
      <w:keepNext/>
      <w:keepLines/>
      <w:spacing w:after="80" w:before="36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tblPr>
      <w:tblCellMar>
        <w:top w:w="0" w:type="dxa"/>
        <w:left w:w="83" w:type="dxa"/>
        <w:bottom w:w="0" w:type="dxa"/>
        <w:right w:w="115" w:type="dxa"/>
      </w:tblCellMar>
      <w:tblStyleColBandSize w:val="1"/>
      <w:tblStyleRowBandSize w:val="1"/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Relationship Id="rId3" Type="http://schemas.openxmlformats.org/officeDocument/2006/relationships/image" Target="media/image3.png" /><Relationship Id="rId4" Type="http://schemas.openxmlformats.org/officeDocument/2006/relationships/image" Target="media/image4.png" /><Relationship Id="rId5" Type="http://schemas.openxmlformats.org/officeDocument/2006/relationships/image" Target="media/image5.png" /><Relationship Id="rId6" Type="http://schemas.openxmlformats.org/officeDocument/2006/relationships/image" Target="media/image6.png" /><Relationship Id="rId7" Type="http://schemas.openxmlformats.org/officeDocument/2006/relationships/image" Target="media/image7.png" /><Relationship Id="rId8" Type="http://schemas.openxmlformats.org/officeDocument/2006/relationships/styles" Target="styles.xml" /><Relationship Id="rId9" Type="http://schemas.openxmlformats.org/officeDocument/2006/relationships/settings" Target="settings.xml" /><Relationship Id="rId10" Type="http://schemas.openxmlformats.org/officeDocument/2006/relationships/fontTable" Target="fontTable.xml" /><Relationship Id="rId11" Type="http://schemas.openxmlformats.org/officeDocument/2006/relationships/webSettings" Target="webSettings.xml" /><Relationship Id="rId12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Myanmar Text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Myanmar Text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 규하</dc:creator>
  <cp:keywords/>
  <dc:description/>
  <cp:lastModifiedBy>82109</cp:lastModifiedBy>
  <cp:revision>1</cp:revision>
  <dcterms:created xsi:type="dcterms:W3CDTF">2022-08-26T05:48:00Z</dcterms:created>
  <dcterms:modified xsi:type="dcterms:W3CDTF">2022-09-08T09:31:17Z</dcterms:modified>
  <cp:version>1200.0100.01</cp:version>
</cp:coreProperties>
</file>