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EB" w:rsidRDefault="00073288">
      <w:r>
        <w:rPr>
          <w:rFonts w:hint="eastAsia"/>
        </w:rPr>
        <w:t>Supplementary Materials</w:t>
      </w:r>
    </w:p>
    <w:p w:rsidR="00073288" w:rsidRDefault="00073288">
      <w:r>
        <w:rPr>
          <w:noProof/>
        </w:rPr>
        <w:drawing>
          <wp:inline distT="0" distB="0" distL="0" distR="0" wp14:anchorId="7951EF26" wp14:editId="57506F34">
            <wp:extent cx="5731510" cy="3476625"/>
            <wp:effectExtent l="0" t="0" r="2540" b="9525"/>
            <wp:docPr id="5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E7063" w:rsidRPr="00296722" w:rsidRDefault="005E7063" w:rsidP="005E7063">
      <w:pPr>
        <w:spacing w:line="480" w:lineRule="auto"/>
        <w:rPr>
          <w:rFonts w:ascii="Times New Roman" w:hAnsi="Times New Roman" w:cs="Times New Roman"/>
          <w:b/>
          <w:noProof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Supplementary </w:t>
      </w:r>
      <w:r w:rsidRPr="00296722">
        <w:rPr>
          <w:rFonts w:ascii="Times New Roman" w:hAnsi="Times New Roman" w:cs="Times New Roman"/>
          <w:b/>
          <w:szCs w:val="20"/>
        </w:rPr>
        <w:t xml:space="preserve">Figure </w:t>
      </w:r>
      <w:r>
        <w:rPr>
          <w:rFonts w:ascii="Times New Roman" w:hAnsi="Times New Roman" w:cs="Times New Roman"/>
          <w:b/>
          <w:szCs w:val="20"/>
        </w:rPr>
        <w:t>1</w:t>
      </w:r>
      <w:r w:rsidRPr="00296722">
        <w:rPr>
          <w:rFonts w:ascii="Times New Roman" w:hAnsi="Times New Roman" w:cs="Times New Roman"/>
          <w:b/>
          <w:noProof/>
          <w:szCs w:val="20"/>
        </w:rPr>
        <w:t xml:space="preserve"> Linear graph showing the relationship between mortality rate and each regrouped seer stage</w:t>
      </w:r>
      <w:r>
        <w:rPr>
          <w:rFonts w:ascii="Times New Roman" w:hAnsi="Times New Roman" w:cs="Times New Roman"/>
          <w:b/>
          <w:noProof/>
          <w:szCs w:val="20"/>
        </w:rPr>
        <w:t xml:space="preserve"> for ATC level 1</w:t>
      </w:r>
      <w:bookmarkStart w:id="0" w:name="_GoBack"/>
      <w:bookmarkEnd w:id="0"/>
    </w:p>
    <w:p w:rsidR="00073288" w:rsidRDefault="00073288">
      <w:r>
        <w:rPr>
          <w:noProof/>
        </w:rPr>
        <w:lastRenderedPageBreak/>
        <w:drawing>
          <wp:inline distT="0" distB="0" distL="0" distR="0" wp14:anchorId="563F5DF6" wp14:editId="5804902A">
            <wp:extent cx="5731510" cy="4093210"/>
            <wp:effectExtent l="0" t="0" r="2540" b="2540"/>
            <wp:docPr id="6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E7063" w:rsidRPr="005E7063" w:rsidRDefault="005E7063" w:rsidP="005E7063">
      <w:pPr>
        <w:spacing w:line="480" w:lineRule="auto"/>
        <w:rPr>
          <w:rFonts w:ascii="Times New Roman" w:hAnsi="Times New Roman" w:cs="Times New Roman" w:hint="eastAsia"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Supplementary </w:t>
      </w:r>
      <w:r w:rsidRPr="00296722">
        <w:rPr>
          <w:rFonts w:ascii="Times New Roman" w:hAnsi="Times New Roman" w:cs="Times New Roman"/>
          <w:b/>
          <w:szCs w:val="20"/>
        </w:rPr>
        <w:t xml:space="preserve">Figure </w:t>
      </w:r>
      <w:r>
        <w:rPr>
          <w:rFonts w:ascii="Times New Roman" w:hAnsi="Times New Roman" w:cs="Times New Roman"/>
          <w:b/>
          <w:szCs w:val="20"/>
        </w:rPr>
        <w:t>2</w:t>
      </w:r>
      <w:r w:rsidRPr="00296722">
        <w:rPr>
          <w:rFonts w:ascii="Times New Roman" w:hAnsi="Times New Roman" w:cs="Times New Roman"/>
          <w:b/>
          <w:noProof/>
          <w:szCs w:val="20"/>
        </w:rPr>
        <w:t xml:space="preserve"> Linear graph showing the relationship between mortality rate and each cancer type </w:t>
      </w:r>
      <w:r>
        <w:rPr>
          <w:rFonts w:ascii="Times New Roman" w:hAnsi="Times New Roman" w:cs="Times New Roman"/>
          <w:b/>
          <w:noProof/>
          <w:szCs w:val="20"/>
        </w:rPr>
        <w:t>for ATC level 1</w:t>
      </w:r>
    </w:p>
    <w:p w:rsidR="005E7063" w:rsidRPr="005E7063" w:rsidRDefault="005E7063">
      <w:pPr>
        <w:rPr>
          <w:rFonts w:hint="eastAsia"/>
        </w:rPr>
      </w:pPr>
    </w:p>
    <w:sectPr w:rsidR="005E7063" w:rsidRPr="005E70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F1B" w:rsidRDefault="001B4F1B" w:rsidP="005E7063">
      <w:pPr>
        <w:spacing w:after="0" w:line="240" w:lineRule="auto"/>
      </w:pPr>
      <w:r>
        <w:separator/>
      </w:r>
    </w:p>
  </w:endnote>
  <w:endnote w:type="continuationSeparator" w:id="0">
    <w:p w:rsidR="001B4F1B" w:rsidRDefault="001B4F1B" w:rsidP="005E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F1B" w:rsidRDefault="001B4F1B" w:rsidP="005E7063">
      <w:pPr>
        <w:spacing w:after="0" w:line="240" w:lineRule="auto"/>
      </w:pPr>
      <w:r>
        <w:separator/>
      </w:r>
    </w:p>
  </w:footnote>
  <w:footnote w:type="continuationSeparator" w:id="0">
    <w:p w:rsidR="001B4F1B" w:rsidRDefault="001B4F1B" w:rsidP="005E7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288"/>
    <w:rsid w:val="00073288"/>
    <w:rsid w:val="00155CEB"/>
    <w:rsid w:val="001B4F1B"/>
    <w:rsid w:val="00587A32"/>
    <w:rsid w:val="005B3FFD"/>
    <w:rsid w:val="005E7063"/>
    <w:rsid w:val="00EC2D08"/>
    <w:rsid w:val="00F5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4E0F1357"/>
  <w15:chartTrackingRefBased/>
  <w15:docId w15:val="{A9D0C5BC-97C0-4159-97B5-DC2EA872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0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E7063"/>
  </w:style>
  <w:style w:type="paragraph" w:styleId="a4">
    <w:name w:val="footer"/>
    <w:basedOn w:val="a"/>
    <w:link w:val="Char0"/>
    <w:uiPriority w:val="99"/>
    <w:unhideWhenUsed/>
    <w:rsid w:val="005E70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E7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Death\final_ver\&#53664;&#49912;&#51064;&#50976;&#49324;&#46020;_&#51221;&#4753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Death\final_ver\&#53664;&#49912;&#51064;&#50976;&#49324;&#46020;_&#51221;&#4753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ko-K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seerstage!$B$1</c:f>
              <c:strCache>
                <c:ptCount val="1"/>
                <c:pt idx="0">
                  <c:v>ATC 1st</c:v>
                </c:pt>
              </c:strCache>
              <c:extLst xmlns:c15="http://schemas.microsoft.com/office/drawing/2012/chart"/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fld id="{25E37157-96FB-4FD0-9E67-DA6E2E28D587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0-AD7E-4611-B5F7-7A0699CF7DB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62804C0-ACFD-42F7-8EF1-1B2A5931556D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AD7E-4611-B5F7-7A0699CF7DB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altLang="ko-KR"/>
                      <a:t>Regional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D7E-4611-B5F7-7A0699CF7DB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altLang="ko-KR"/>
                      <a:t>Localized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7E-4611-B5F7-7A0699CF7DB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41C42CDC-3549-4CE8-A8C3-4A32D3135D1D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AD7E-4611-B5F7-7A0699CF7D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ko-K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seerstage!$D$8:$D$12</c:f>
              <c:numCache>
                <c:formatCode>0.00</c:formatCode>
                <c:ptCount val="5"/>
                <c:pt idx="0">
                  <c:v>0.85354477611940205</c:v>
                </c:pt>
                <c:pt idx="1">
                  <c:v>0.343387978142076</c:v>
                </c:pt>
                <c:pt idx="2">
                  <c:v>0.48522477208425002</c:v>
                </c:pt>
                <c:pt idx="3">
                  <c:v>0.25628589661773998</c:v>
                </c:pt>
                <c:pt idx="4">
                  <c:v>9.2117758784425394E-2</c:v>
                </c:pt>
              </c:numCache>
              <c:extLst xmlns:c15="http://schemas.microsoft.com/office/drawing/2012/chart"/>
            </c:numRef>
          </c:xVal>
          <c:yVal>
            <c:numRef>
              <c:f>seerstage!$B$8:$B$12</c:f>
              <c:numCache>
                <c:formatCode>0.000</c:formatCode>
                <c:ptCount val="5"/>
                <c:pt idx="0">
                  <c:v>0.96559864529095296</c:v>
                </c:pt>
                <c:pt idx="1">
                  <c:v>0.90392108936003202</c:v>
                </c:pt>
                <c:pt idx="2">
                  <c:v>0.89720823562708996</c:v>
                </c:pt>
                <c:pt idx="3">
                  <c:v>0.86518629209500297</c:v>
                </c:pt>
                <c:pt idx="4">
                  <c:v>0.70760418521357005</c:v>
                </c:pt>
              </c:numCache>
              <c:extLst xmlns:c15="http://schemas.microsoft.com/office/drawing/2012/chart"/>
            </c:numRef>
          </c:yVal>
          <c:smooth val="0"/>
          <c:extLst xmlns:c15="http://schemas.microsoft.com/office/drawing/2012/chart">
            <c:ext xmlns:c15="http://schemas.microsoft.com/office/drawing/2012/chart" uri="{02D57815-91ED-43cb-92C2-25804820EDAC}">
              <c15:datalabelsRange>
                <c15:f>seerstage!$A$8:$A$12</c15:f>
                <c15:dlblRangeCache>
                  <c:ptCount val="5"/>
                  <c:pt idx="0">
                    <c:v>Distant</c:v>
                  </c:pt>
                  <c:pt idx="1">
                    <c:v>Unknown</c:v>
                  </c:pt>
                  <c:pt idx="2">
                    <c:v>Regionalised</c:v>
                  </c:pt>
                  <c:pt idx="3">
                    <c:v>Localised</c:v>
                  </c:pt>
                  <c:pt idx="4">
                    <c:v>In situ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AD7E-4611-B5F7-7A0699CF7DB4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952410720"/>
        <c:axId val="952413216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seerstage!$C$1</c15:sqref>
                        </c15:formulaRef>
                      </c:ext>
                    </c:extLst>
                    <c:strCache>
                      <c:ptCount val="1"/>
                      <c:pt idx="0">
                        <c:v>ATC 2nd</c:v>
                      </c:pt>
                    </c:strCache>
                  </c:strRef>
                </c:tx>
                <c:spPr>
                  <a:ln w="19050" cap="rnd">
                    <a:noFill/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2"/>
                    </a:solidFill>
                    <a:ln w="9525">
                      <a:solidFill>
                        <a:schemeClr val="accent2"/>
                      </a:solidFill>
                    </a:ln>
                    <a:effectLst/>
                  </c:spPr>
                </c:marker>
                <c:dLbls>
                  <c:dLbl>
                    <c:idx val="0"/>
                    <c:tx>
                      <c:rich>
                        <a:bodyPr/>
                        <a:lstStyle/>
                        <a:p>
                          <a:fld id="{2A3DDEE7-4DFC-4EF1-A1EE-85E1333ECEB6}" type="CELLRANGE">
                            <a:rPr lang="en-US" altLang="ko-KR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t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06-AD7E-4611-B5F7-7A0699CF7DB4}"/>
                      </c:ext>
                    </c:extLst>
                  </c:dLbl>
                  <c:dLbl>
                    <c:idx val="1"/>
                    <c:tx>
                      <c:rich>
                        <a:bodyPr/>
                        <a:lstStyle/>
                        <a:p>
                          <a:fld id="{399A1750-D49F-485A-A21F-B6B603F5046D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t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07-AD7E-4611-B5F7-7A0699CF7DB4}"/>
                      </c:ext>
                    </c:extLst>
                  </c:dLbl>
                  <c:dLbl>
                    <c:idx val="2"/>
                    <c:tx>
                      <c:rich>
                        <a:bodyPr/>
                        <a:lstStyle/>
                        <a:p>
                          <a:fld id="{69B57F0B-50FC-41E4-9D7D-DA0069A0F584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t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08-AD7E-4611-B5F7-7A0699CF7DB4}"/>
                      </c:ext>
                    </c:extLst>
                  </c:dLbl>
                  <c:dLbl>
                    <c:idx val="3"/>
                    <c:tx>
                      <c:rich>
                        <a:bodyPr/>
                        <a:lstStyle/>
                        <a:p>
                          <a:fld id="{E61BC2DC-2574-4385-843E-18B09744A958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t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09-AD7E-4611-B5F7-7A0699CF7DB4}"/>
                      </c:ext>
                    </c:extLst>
                  </c:dLbl>
                  <c:dLbl>
                    <c:idx val="4"/>
                    <c:tx>
                      <c:rich>
                        <a:bodyPr/>
                        <a:lstStyle/>
                        <a:p>
                          <a:fld id="{E3B25EE8-E5C4-4598-A517-D0FD2C39B789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t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0A-AD7E-4611-B5F7-7A0699CF7DB4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ko-KR"/>
                    </a:p>
                  </c:txPr>
                  <c:dLblPos val="t"/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DataLabelsRange val="1"/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trendline>
                  <c:spPr>
                    <a:ln w="19050" cap="rnd">
                      <a:solidFill>
                        <a:schemeClr val="accent2"/>
                      </a:solidFill>
                      <a:prstDash val="sysDot"/>
                    </a:ln>
                    <a:effectLst/>
                  </c:spPr>
                  <c:trendlineType val="linear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seerstage!$D$8:$D$12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0.85354477611940205</c:v>
                      </c:pt>
                      <c:pt idx="1">
                        <c:v>0.343387978142076</c:v>
                      </c:pt>
                      <c:pt idx="2">
                        <c:v>0.48522477208425002</c:v>
                      </c:pt>
                      <c:pt idx="3">
                        <c:v>0.25628589661773998</c:v>
                      </c:pt>
                      <c:pt idx="4">
                        <c:v>9.2117758784425394E-2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seerstage!$C$8:$C$12</c15:sqref>
                        </c15:formulaRef>
                      </c:ext>
                    </c:extLst>
                    <c:numCache>
                      <c:formatCode>0.000</c:formatCode>
                      <c:ptCount val="5"/>
                      <c:pt idx="0">
                        <c:v>0.95373705196354996</c:v>
                      </c:pt>
                      <c:pt idx="1">
                        <c:v>0.87978840046573004</c:v>
                      </c:pt>
                      <c:pt idx="2">
                        <c:v>0.86575809545936999</c:v>
                      </c:pt>
                      <c:pt idx="3">
                        <c:v>0.83614930321452796</c:v>
                      </c:pt>
                      <c:pt idx="4">
                        <c:v>0.67557800696391102</c:v>
                      </c:pt>
                    </c:numCache>
                  </c:numRef>
                </c:yVal>
                <c:smooth val="0"/>
                <c:extLst>
                  <c:ext uri="{02D57815-91ED-43cb-92C2-25804820EDAC}">
                    <c15:datalabelsRange>
                      <c15:f>seerstage!$A$8:$A$12</c15:f>
                      <c15:dlblRangeCache>
                        <c:ptCount val="5"/>
                        <c:pt idx="0">
                          <c:v>Distant</c:v>
                        </c:pt>
                        <c:pt idx="1">
                          <c:v>Unknown</c:v>
                        </c:pt>
                        <c:pt idx="2">
                          <c:v>Regionalised</c:v>
                        </c:pt>
                        <c:pt idx="3">
                          <c:v>Localised</c:v>
                        </c:pt>
                        <c:pt idx="4">
                          <c:v>In situ</c:v>
                        </c:pt>
                      </c15:dlblRangeCache>
                    </c15:datalabelsRange>
                  </c:ext>
                  <c:ext xmlns:c16="http://schemas.microsoft.com/office/drawing/2014/chart" uri="{C3380CC4-5D6E-409C-BE32-E72D297353CC}">
                    <c16:uniqueId val="{0000000B-AD7E-4611-B5F7-7A0699CF7DB4}"/>
                  </c:ext>
                </c:extLst>
              </c15:ser>
            </c15:filteredScatterSeries>
          </c:ext>
        </c:extLst>
      </c:scatterChart>
      <c:valAx>
        <c:axId val="952410720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ko-KR"/>
                  <a:t>Mortality</a:t>
                </a:r>
                <a:r>
                  <a:rPr lang="en-US" altLang="ko-KR" baseline="0"/>
                  <a:t> Rate</a:t>
                </a:r>
                <a:endParaRPr lang="ko-KR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952413216"/>
        <c:crosses val="autoZero"/>
        <c:crossBetween val="midCat"/>
        <c:majorUnit val="0.2"/>
      </c:valAx>
      <c:valAx>
        <c:axId val="952413216"/>
        <c:scaling>
          <c:orientation val="minMax"/>
          <c:max val="1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ko-KR"/>
                  <a:t>Cosine Similarity</a:t>
                </a:r>
                <a:endParaRPr lang="ko-KR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952410720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ko-K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ko-KR"/>
        </a:p>
      </c:txPr>
    </c:title>
    <c:autoTitleDeleted val="0"/>
    <c:plotArea>
      <c:layout>
        <c:manualLayout>
          <c:layoutTarget val="inner"/>
          <c:xMode val="edge"/>
          <c:yMode val="edge"/>
          <c:x val="0.10819888650634822"/>
          <c:y val="0.11753902662993572"/>
          <c:w val="0.83769634878068777"/>
          <c:h val="0.6725791920638019"/>
        </c:manualLayout>
      </c:layout>
      <c:scatterChart>
        <c:scatterStyle val="lineMarker"/>
        <c:varyColors val="0"/>
        <c:ser>
          <c:idx val="0"/>
          <c:order val="0"/>
          <c:tx>
            <c:strRef>
              <c:f>암종류!$B$1</c:f>
              <c:strCache>
                <c:ptCount val="1"/>
                <c:pt idx="0">
                  <c:v>ATC 1st</c:v>
                </c:pt>
              </c:strCache>
              <c:extLst xmlns:c15="http://schemas.microsoft.com/office/drawing/2012/chart"/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fld id="{F9517777-6509-4573-96C1-39A038892F91}" type="CELLRANGE">
                      <a:rPr lang="en-US" altLang="ko-KR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EE0A-4A24-8D2D-71FF161D122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51CFE8C-55F4-4B8F-9855-5CD1A7D96FCD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EE0A-4A24-8D2D-71FF161D122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BEF4251-CE65-4EDD-A28F-A32830B14677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EE0A-4A24-8D2D-71FF161D122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07D1F7A-466E-4668-9573-FFCC5568A5B6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EE0A-4A24-8D2D-71FF161D122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CAA4A7A3-8553-4D4F-9A69-D3AD2BCA049A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EE0A-4A24-8D2D-71FF161D122A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B6B4FD2D-3A51-4AFA-9C38-8B43AD58BA76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EE0A-4A24-8D2D-71FF161D122A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36C436D7-7382-40AD-8211-780E2F7E2E95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EE0A-4A24-8D2D-71FF161D122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BB8A485A-70F3-4BBA-9872-997754A9E94A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EE0A-4A24-8D2D-71FF161D122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5176B66A-97D1-4E83-8C47-8B45F4473FB9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EE0A-4A24-8D2D-71FF161D122A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363C9272-6270-4245-B7B0-53C128AFB20D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EE0A-4A24-8D2D-71FF161D122A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E127AB30-5F24-4126-985E-690CB49464FA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A-EE0A-4A24-8D2D-71FF161D122A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CCB2ED8F-5EEC-42D2-ABBE-1409ABA6083F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EE0A-4A24-8D2D-71FF161D122A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1BE3EEC3-B66B-45CF-AC0E-8632CC9431B2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C-EE0A-4A24-8D2D-71FF161D122A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34D8ABBD-7904-4070-86AA-024E167CA937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D-EE0A-4A24-8D2D-71FF161D122A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CE1937B8-E4B6-46BB-97F2-6A9479218A52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E-EE0A-4A24-8D2D-71FF161D122A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14F3E6B6-1C55-4C57-B9EA-28F6DB971986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F-EE0A-4A24-8D2D-71FF161D122A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9D1CB9E0-8998-4A05-B63A-367B19BA16F8}" type="CELLRANGE">
                      <a:rPr lang="ko-KR" altLang="en-US"/>
                      <a:pPr/>
                      <a:t>[CELLRANGE]</a:t>
                    </a:fld>
                    <a:endParaRPr lang="ko-KR" altLang="en-US"/>
                  </a:p>
                </c:rich>
              </c:tx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0-EE0A-4A24-8D2D-71FF161D12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ko-KR"/>
              </a:p>
            </c:txPr>
            <c:dLblPos val="b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암종류!$D$2:$D$18</c:f>
              <c:numCache>
                <c:formatCode>0.00</c:formatCode>
                <c:ptCount val="17"/>
                <c:pt idx="0">
                  <c:v>0.85486284289276804</c:v>
                </c:pt>
                <c:pt idx="1">
                  <c:v>0.53113553113553102</c:v>
                </c:pt>
                <c:pt idx="2">
                  <c:v>0.415584415584415</c:v>
                </c:pt>
                <c:pt idx="3">
                  <c:v>0.696714406065711</c:v>
                </c:pt>
                <c:pt idx="4">
                  <c:v>0.51824817518248101</c:v>
                </c:pt>
                <c:pt idx="5">
                  <c:v>0.57914338919925501</c:v>
                </c:pt>
                <c:pt idx="6">
                  <c:v>0.23716558206796801</c:v>
                </c:pt>
                <c:pt idx="7">
                  <c:v>0.41350792556857302</c:v>
                </c:pt>
                <c:pt idx="8">
                  <c:v>0.34615384615384598</c:v>
                </c:pt>
                <c:pt idx="9">
                  <c:v>0.17120280948200101</c:v>
                </c:pt>
                <c:pt idx="10">
                  <c:v>0.39285714285714202</c:v>
                </c:pt>
                <c:pt idx="11">
                  <c:v>0.49553571428571402</c:v>
                </c:pt>
                <c:pt idx="12">
                  <c:v>0.77494456762749397</c:v>
                </c:pt>
                <c:pt idx="13">
                  <c:v>0.40625</c:v>
                </c:pt>
                <c:pt idx="14">
                  <c:v>0.34836956521739099</c:v>
                </c:pt>
                <c:pt idx="15">
                  <c:v>0.173790322580645</c:v>
                </c:pt>
                <c:pt idx="16">
                  <c:v>5.6597873671044401E-2</c:v>
                </c:pt>
              </c:numCache>
              <c:extLst xmlns:c15="http://schemas.microsoft.com/office/drawing/2012/chart"/>
            </c:numRef>
          </c:xVal>
          <c:yVal>
            <c:numRef>
              <c:f>암종류!$B$2:$B$18</c:f>
              <c:numCache>
                <c:formatCode>0.000</c:formatCode>
                <c:ptCount val="17"/>
                <c:pt idx="0">
                  <c:v>0.97744455384484097</c:v>
                </c:pt>
                <c:pt idx="1">
                  <c:v>0.94722761527962895</c:v>
                </c:pt>
                <c:pt idx="2">
                  <c:v>0.94556862437460099</c:v>
                </c:pt>
                <c:pt idx="3">
                  <c:v>0.91352964384678104</c:v>
                </c:pt>
                <c:pt idx="4">
                  <c:v>0.91045208517561804</c:v>
                </c:pt>
                <c:pt idx="5">
                  <c:v>0.90292602516460596</c:v>
                </c:pt>
                <c:pt idx="6">
                  <c:v>0.89546561378972001</c:v>
                </c:pt>
                <c:pt idx="7">
                  <c:v>0.87659178728617304</c:v>
                </c:pt>
                <c:pt idx="8">
                  <c:v>0.82900132535250004</c:v>
                </c:pt>
                <c:pt idx="9">
                  <c:v>0.82889993587404298</c:v>
                </c:pt>
                <c:pt idx="10">
                  <c:v>0.80959380138113402</c:v>
                </c:pt>
                <c:pt idx="11">
                  <c:v>0.80395295603351002</c:v>
                </c:pt>
                <c:pt idx="12">
                  <c:v>0.79357523330659496</c:v>
                </c:pt>
                <c:pt idx="13">
                  <c:v>0.793544867580113</c:v>
                </c:pt>
                <c:pt idx="14">
                  <c:v>0.77241404362216903</c:v>
                </c:pt>
                <c:pt idx="15">
                  <c:v>0.61734390969191899</c:v>
                </c:pt>
                <c:pt idx="16">
                  <c:v>0.58542892286052295</c:v>
                </c:pt>
              </c:numCache>
              <c:extLst xmlns:c15="http://schemas.microsoft.com/office/drawing/2012/chart"/>
            </c:numRef>
          </c:yVal>
          <c:smooth val="0"/>
          <c:extLst xmlns:c15="http://schemas.microsoft.com/office/drawing/2012/chart">
            <c:ext xmlns:c15="http://schemas.microsoft.com/office/drawing/2012/chart" uri="{02D57815-91ED-43cb-92C2-25804820EDAC}">
              <c15:datalabelsRange>
                <c15:f>암종류!$A$2:$A$18</c15:f>
                <c15:dlblRangeCache>
                  <c:ptCount val="17"/>
                  <c:pt idx="0">
                    <c:v>Biliary pancreatic</c:v>
                  </c:pt>
                  <c:pt idx="1">
                    <c:v>Other</c:v>
                  </c:pt>
                  <c:pt idx="2">
                    <c:v>Skin</c:v>
                  </c:pt>
                  <c:pt idx="3">
                    <c:v>Hepatic</c:v>
                  </c:pt>
                  <c:pt idx="4">
                    <c:v>Osteoblastic sarcoma</c:v>
                  </c:pt>
                  <c:pt idx="5">
                    <c:v>Blood</c:v>
                  </c:pt>
                  <c:pt idx="6">
                    <c:v>Gynecological</c:v>
                  </c:pt>
                  <c:pt idx="7">
                    <c:v>Colorectal</c:v>
                  </c:pt>
                  <c:pt idx="8">
                    <c:v>Lymphoma</c:v>
                  </c:pt>
                  <c:pt idx="9">
                    <c:v>Brain tumor</c:v>
                  </c:pt>
                  <c:pt idx="10">
                    <c:v>Esophageal</c:v>
                  </c:pt>
                  <c:pt idx="11">
                    <c:v>Head and neck</c:v>
                  </c:pt>
                  <c:pt idx="12">
                    <c:v>Lung</c:v>
                  </c:pt>
                  <c:pt idx="13">
                    <c:v>Stomach</c:v>
                  </c:pt>
                  <c:pt idx="14">
                    <c:v>Urological</c:v>
                  </c:pt>
                  <c:pt idx="15">
                    <c:v>Breast</c:v>
                  </c:pt>
                  <c:pt idx="16">
                    <c:v>Thyroid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1-EE0A-4A24-8D2D-71FF161D12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23972144"/>
        <c:axId val="1123972560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암종류!$C$1</c15:sqref>
                        </c15:formulaRef>
                      </c:ext>
                    </c:extLst>
                    <c:strCache>
                      <c:ptCount val="1"/>
                      <c:pt idx="0">
                        <c:v>ATC 2nd</c:v>
                      </c:pt>
                    </c:strCache>
                  </c:strRef>
                </c:tx>
                <c:spPr>
                  <a:ln w="25400" cap="rnd">
                    <a:noFill/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2"/>
                    </a:solidFill>
                    <a:ln w="9525">
                      <a:solidFill>
                        <a:schemeClr val="accent2"/>
                      </a:solidFill>
                    </a:ln>
                    <a:effectLst/>
                  </c:spPr>
                </c:marker>
                <c:dLbls>
                  <c:dLbl>
                    <c:idx val="0"/>
                    <c:tx>
                      <c:rich>
                        <a:bodyPr/>
                        <a:lstStyle/>
                        <a:p>
                          <a:fld id="{F7B47FB4-267A-4524-B04F-066E985C8D1D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2-EE0A-4A24-8D2D-71FF161D122A}"/>
                      </c:ext>
                    </c:extLst>
                  </c:dLbl>
                  <c:dLbl>
                    <c:idx val="1"/>
                    <c:tx>
                      <c:rich>
                        <a:bodyPr/>
                        <a:lstStyle/>
                        <a:p>
                          <a:fld id="{D4046524-5978-4F93-A5D4-C42A81E7DA1E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3-EE0A-4A24-8D2D-71FF161D122A}"/>
                      </c:ext>
                    </c:extLst>
                  </c:dLbl>
                  <c:dLbl>
                    <c:idx val="2"/>
                    <c:tx>
                      <c:rich>
                        <a:bodyPr/>
                        <a:lstStyle/>
                        <a:p>
                          <a:fld id="{78A5E76F-7384-428E-903B-DA70A7EB0485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4-EE0A-4A24-8D2D-71FF161D122A}"/>
                      </c:ext>
                    </c:extLst>
                  </c:dLbl>
                  <c:dLbl>
                    <c:idx val="3"/>
                    <c:tx>
                      <c:rich>
                        <a:bodyPr/>
                        <a:lstStyle/>
                        <a:p>
                          <a:fld id="{8F4BDC29-B541-4A6D-8A63-D02EE421EB2C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5-EE0A-4A24-8D2D-71FF161D122A}"/>
                      </c:ext>
                    </c:extLst>
                  </c:dLbl>
                  <c:dLbl>
                    <c:idx val="4"/>
                    <c:tx>
                      <c:rich>
                        <a:bodyPr/>
                        <a:lstStyle/>
                        <a:p>
                          <a:fld id="{5BDA4AC5-FA8E-429D-B8A2-379702EDEC1F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6-EE0A-4A24-8D2D-71FF161D122A}"/>
                      </c:ext>
                    </c:extLst>
                  </c:dLbl>
                  <c:dLbl>
                    <c:idx val="5"/>
                    <c:tx>
                      <c:rich>
                        <a:bodyPr/>
                        <a:lstStyle/>
                        <a:p>
                          <a:fld id="{C8E44001-F61F-4AF0-B866-CDC78457D3FF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7-EE0A-4A24-8D2D-71FF161D122A}"/>
                      </c:ext>
                    </c:extLst>
                  </c:dLbl>
                  <c:dLbl>
                    <c:idx val="6"/>
                    <c:tx>
                      <c:rich>
                        <a:bodyPr/>
                        <a:lstStyle/>
                        <a:p>
                          <a:fld id="{E6D57B2E-8C6E-4051-9948-9A8CFA912BEC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8-EE0A-4A24-8D2D-71FF161D122A}"/>
                      </c:ext>
                    </c:extLst>
                  </c:dLbl>
                  <c:dLbl>
                    <c:idx val="7"/>
                    <c:tx>
                      <c:rich>
                        <a:bodyPr/>
                        <a:lstStyle/>
                        <a:p>
                          <a:fld id="{F57678BB-41CD-4125-94CD-F1EA5575CA1A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9-EE0A-4A24-8D2D-71FF161D122A}"/>
                      </c:ext>
                    </c:extLst>
                  </c:dLbl>
                  <c:dLbl>
                    <c:idx val="8"/>
                    <c:tx>
                      <c:rich>
                        <a:bodyPr/>
                        <a:lstStyle/>
                        <a:p>
                          <a:fld id="{6B2FBF13-A3D1-4959-A064-D9819283FDBA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A-EE0A-4A24-8D2D-71FF161D122A}"/>
                      </c:ext>
                    </c:extLst>
                  </c:dLbl>
                  <c:dLbl>
                    <c:idx val="9"/>
                    <c:tx>
                      <c:rich>
                        <a:bodyPr/>
                        <a:lstStyle/>
                        <a:p>
                          <a:fld id="{CBA71A81-A909-4352-8C40-3FB4C4DC1F31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B-EE0A-4A24-8D2D-71FF161D122A}"/>
                      </c:ext>
                    </c:extLst>
                  </c:dLbl>
                  <c:dLbl>
                    <c:idx val="10"/>
                    <c:tx>
                      <c:rich>
                        <a:bodyPr/>
                        <a:lstStyle/>
                        <a:p>
                          <a:fld id="{948B072F-81E3-4747-96BC-A4DDC731C882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C-EE0A-4A24-8D2D-71FF161D122A}"/>
                      </c:ext>
                    </c:extLst>
                  </c:dLbl>
                  <c:dLbl>
                    <c:idx val="11"/>
                    <c:tx>
                      <c:rich>
                        <a:bodyPr/>
                        <a:lstStyle/>
                        <a:p>
                          <a:fld id="{A3532B1C-56A3-4C8C-A4C2-F3FF49D796F2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D-EE0A-4A24-8D2D-71FF161D122A}"/>
                      </c:ext>
                    </c:extLst>
                  </c:dLbl>
                  <c:dLbl>
                    <c:idx val="12"/>
                    <c:tx>
                      <c:rich>
                        <a:bodyPr/>
                        <a:lstStyle/>
                        <a:p>
                          <a:fld id="{F16000B8-3317-4644-9724-91B81FAB2833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E-EE0A-4A24-8D2D-71FF161D122A}"/>
                      </c:ext>
                    </c:extLst>
                  </c:dLbl>
                  <c:dLbl>
                    <c:idx val="13"/>
                    <c:tx>
                      <c:rich>
                        <a:bodyPr/>
                        <a:lstStyle/>
                        <a:p>
                          <a:fld id="{70B1DDCC-5F27-4FE5-8427-40350099711B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F-EE0A-4A24-8D2D-71FF161D122A}"/>
                      </c:ext>
                    </c:extLst>
                  </c:dLbl>
                  <c:dLbl>
                    <c:idx val="14"/>
                    <c:tx>
                      <c:rich>
                        <a:bodyPr/>
                        <a:lstStyle/>
                        <a:p>
                          <a:fld id="{1763B5BA-A309-4472-A12D-EC1AF73EB843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20-EE0A-4A24-8D2D-71FF161D122A}"/>
                      </c:ext>
                    </c:extLst>
                  </c:dLbl>
                  <c:dLbl>
                    <c:idx val="15"/>
                    <c:tx>
                      <c:rich>
                        <a:bodyPr/>
                        <a:lstStyle/>
                        <a:p>
                          <a:fld id="{BA63E197-4621-4AE1-BBE6-ECF3BBF2967A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21-EE0A-4A24-8D2D-71FF161D122A}"/>
                      </c:ext>
                    </c:extLst>
                  </c:dLbl>
                  <c:dLbl>
                    <c:idx val="16"/>
                    <c:tx>
                      <c:rich>
                        <a:bodyPr/>
                        <a:lstStyle/>
                        <a:p>
                          <a:fld id="{E23800DA-F6D0-4459-96F4-88D2927B28E7}" type="CELLRANGE">
                            <a:rPr lang="ko-KR" altLang="en-US"/>
                            <a:pPr/>
                            <a:t>[CELLRANGE]</a:t>
                          </a:fld>
                          <a:endParaRPr lang="ko-KR" altLang="en-US"/>
                        </a:p>
                      </c:rich>
                    </c:tx>
                    <c:dLblPos val="r"/>
                    <c:showLegendKey val="0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22-EE0A-4A24-8D2D-71FF161D122A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ko-KR"/>
                    </a:p>
                  </c:txPr>
                  <c:dLblPos val="r"/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DataLabelsRange val="1"/>
                      <c15:showLeaderLines val="0"/>
                    </c:ext>
                  </c:extLst>
                </c:dLbls>
                <c:trendline>
                  <c:spPr>
                    <a:ln w="19050" cap="rnd">
                      <a:solidFill>
                        <a:schemeClr val="accent2"/>
                      </a:solidFill>
                      <a:prstDash val="sysDot"/>
                    </a:ln>
                    <a:effectLst/>
                  </c:spPr>
                  <c:trendlineType val="linear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암종류!$D$2:$D$18</c15:sqref>
                        </c15:formulaRef>
                      </c:ext>
                    </c:extLst>
                    <c:numCache>
                      <c:formatCode>0.00</c:formatCode>
                      <c:ptCount val="17"/>
                      <c:pt idx="0">
                        <c:v>0.85486284289276804</c:v>
                      </c:pt>
                      <c:pt idx="1">
                        <c:v>0.53113553113553102</c:v>
                      </c:pt>
                      <c:pt idx="2">
                        <c:v>0.415584415584415</c:v>
                      </c:pt>
                      <c:pt idx="3">
                        <c:v>0.696714406065711</c:v>
                      </c:pt>
                      <c:pt idx="4">
                        <c:v>0.51824817518248101</c:v>
                      </c:pt>
                      <c:pt idx="5">
                        <c:v>0.57914338919925501</c:v>
                      </c:pt>
                      <c:pt idx="6">
                        <c:v>0.23716558206796801</c:v>
                      </c:pt>
                      <c:pt idx="7">
                        <c:v>0.41350792556857302</c:v>
                      </c:pt>
                      <c:pt idx="8">
                        <c:v>0.34615384615384598</c:v>
                      </c:pt>
                      <c:pt idx="9">
                        <c:v>0.17120280948200101</c:v>
                      </c:pt>
                      <c:pt idx="10">
                        <c:v>0.39285714285714202</c:v>
                      </c:pt>
                      <c:pt idx="11">
                        <c:v>0.49553571428571402</c:v>
                      </c:pt>
                      <c:pt idx="12">
                        <c:v>0.77494456762749397</c:v>
                      </c:pt>
                      <c:pt idx="13">
                        <c:v>0.40625</c:v>
                      </c:pt>
                      <c:pt idx="14">
                        <c:v>0.34836956521739099</c:v>
                      </c:pt>
                      <c:pt idx="15">
                        <c:v>0.173790322580645</c:v>
                      </c:pt>
                      <c:pt idx="16">
                        <c:v>5.6597873671044401E-2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암종류!$C$2:$C$18</c15:sqref>
                        </c15:formulaRef>
                      </c:ext>
                    </c:extLst>
                    <c:numCache>
                      <c:formatCode>0.000</c:formatCode>
                      <c:ptCount val="17"/>
                      <c:pt idx="0">
                        <c:v>0.89536761097446405</c:v>
                      </c:pt>
                      <c:pt idx="1">
                        <c:v>0.92812960292673596</c:v>
                      </c:pt>
                      <c:pt idx="2">
                        <c:v>0.87842886742733295</c:v>
                      </c:pt>
                      <c:pt idx="3">
                        <c:v>0.84350993807597596</c:v>
                      </c:pt>
                      <c:pt idx="4">
                        <c:v>0.89401397692147999</c:v>
                      </c:pt>
                      <c:pt idx="5">
                        <c:v>0.90204491318342395</c:v>
                      </c:pt>
                      <c:pt idx="6">
                        <c:v>0.79853588652874896</c:v>
                      </c:pt>
                      <c:pt idx="7">
                        <c:v>0.74837345867810701</c:v>
                      </c:pt>
                      <c:pt idx="8">
                        <c:v>0.76482905148570202</c:v>
                      </c:pt>
                      <c:pt idx="9">
                        <c:v>0.74010316349211602</c:v>
                      </c:pt>
                      <c:pt idx="10">
                        <c:v>0.73259547545650905</c:v>
                      </c:pt>
                      <c:pt idx="11">
                        <c:v>0.76634295862543</c:v>
                      </c:pt>
                      <c:pt idx="12">
                        <c:v>0.81532601586946296</c:v>
                      </c:pt>
                      <c:pt idx="13">
                        <c:v>0.60282936065887305</c:v>
                      </c:pt>
                      <c:pt idx="14">
                        <c:v>0.78487161861189902</c:v>
                      </c:pt>
                      <c:pt idx="15">
                        <c:v>0.67483605634038502</c:v>
                      </c:pt>
                      <c:pt idx="16">
                        <c:v>0.43124972212649598</c:v>
                      </c:pt>
                    </c:numCache>
                  </c:numRef>
                </c:yVal>
                <c:smooth val="0"/>
                <c:extLst>
                  <c:ext uri="{02D57815-91ED-43cb-92C2-25804820EDAC}">
                    <c15:datalabelsRange>
                      <c15:f>암종류!$A$2:$A$18</c15:f>
                      <c15:dlblRangeCache>
                        <c:ptCount val="17"/>
                        <c:pt idx="0">
                          <c:v>Biliary pancreatic</c:v>
                        </c:pt>
                        <c:pt idx="1">
                          <c:v>Other</c:v>
                        </c:pt>
                        <c:pt idx="2">
                          <c:v>Skin</c:v>
                        </c:pt>
                        <c:pt idx="3">
                          <c:v>Hepatic</c:v>
                        </c:pt>
                        <c:pt idx="4">
                          <c:v>Osteoblastic sarcoma</c:v>
                        </c:pt>
                        <c:pt idx="5">
                          <c:v>Blood</c:v>
                        </c:pt>
                        <c:pt idx="6">
                          <c:v>Gynecological</c:v>
                        </c:pt>
                        <c:pt idx="7">
                          <c:v>Colorectal</c:v>
                        </c:pt>
                        <c:pt idx="8">
                          <c:v>Lymphoma</c:v>
                        </c:pt>
                        <c:pt idx="9">
                          <c:v>Brain tumor</c:v>
                        </c:pt>
                        <c:pt idx="10">
                          <c:v>Esophageal</c:v>
                        </c:pt>
                        <c:pt idx="11">
                          <c:v>Head and neck</c:v>
                        </c:pt>
                        <c:pt idx="12">
                          <c:v>Lung</c:v>
                        </c:pt>
                        <c:pt idx="13">
                          <c:v>Stomach</c:v>
                        </c:pt>
                        <c:pt idx="14">
                          <c:v>Urological</c:v>
                        </c:pt>
                        <c:pt idx="15">
                          <c:v>Breast</c:v>
                        </c:pt>
                        <c:pt idx="16">
                          <c:v>Thyroid</c:v>
                        </c:pt>
                      </c15:dlblRangeCache>
                    </c15:datalabelsRange>
                  </c:ext>
                  <c:ext xmlns:c16="http://schemas.microsoft.com/office/drawing/2014/chart" uri="{C3380CC4-5D6E-409C-BE32-E72D297353CC}">
                    <c16:uniqueId val="{00000023-EE0A-4A24-8D2D-71FF161D122A}"/>
                  </c:ext>
                </c:extLst>
              </c15:ser>
            </c15:filteredScatterSeries>
          </c:ext>
        </c:extLst>
      </c:scatterChart>
      <c:valAx>
        <c:axId val="112397214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ko-KR"/>
                  <a:t>Mortality</a:t>
                </a:r>
                <a:r>
                  <a:rPr lang="en-US" altLang="ko-KR" baseline="0"/>
                  <a:t> Rate</a:t>
                </a:r>
                <a:endParaRPr lang="ko-KR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123972560"/>
        <c:crosses val="autoZero"/>
        <c:crossBetween val="midCat"/>
        <c:majorUnit val="0.2"/>
      </c:valAx>
      <c:valAx>
        <c:axId val="1123972560"/>
        <c:scaling>
          <c:orientation val="minMax"/>
          <c:max val="1"/>
          <c:min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ko-KR"/>
                  <a:t>Cosine</a:t>
                </a:r>
                <a:r>
                  <a:rPr lang="en-US" altLang="ko-KR" baseline="0"/>
                  <a:t> Similarity</a:t>
                </a:r>
                <a:endParaRPr lang="ko-KR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123972144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ko-K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2022-04-14T01:26:00Z</dcterms:created>
  <dcterms:modified xsi:type="dcterms:W3CDTF">2022-09-06T03:34:00Z</dcterms:modified>
</cp:coreProperties>
</file>