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contextualSpacing/>
        <w:jc w:val="left"/>
        <w:rPr>
          <w:rFonts w:ascii="Times New Roman" w:hAnsi="Times New Roman" w:cs="Times New Roman"/>
          <w:b/>
          <w:bCs/>
          <w:sz w:val="20"/>
          <w:szCs w:val="20"/>
        </w:rPr>
      </w:pPr>
      <w:r>
        <w:rPr>
          <w:rFonts w:ascii="Times New Roman" w:hAnsi="Times New Roman" w:cs="Times New Roman"/>
          <w:b/>
          <w:bCs/>
          <w:sz w:val="20"/>
          <w:szCs w:val="20"/>
        </w:rPr>
        <w:t>SUPPLEMENTARY INFORMATION</w:t>
      </w:r>
    </w:p>
    <w:p>
      <w:pPr>
        <w:spacing w:line="480" w:lineRule="auto"/>
        <w:contextualSpacing/>
        <w:jc w:val="left"/>
        <w:rPr>
          <w:rFonts w:ascii="Times New Roman" w:hAnsi="Times New Roman" w:cs="Times New Roman"/>
          <w:sz w:val="20"/>
          <w:szCs w:val="20"/>
        </w:rPr>
      </w:pPr>
      <w:r>
        <w:rPr>
          <w:rFonts w:ascii="Times New Roman" w:hAnsi="Times New Roman" w:cs="Times New Roman"/>
          <w:b/>
          <w:bCs/>
          <w:sz w:val="20"/>
          <w:szCs w:val="20"/>
        </w:rPr>
        <w:t>SFig. 1</w:t>
      </w:r>
      <w:r>
        <w:rPr>
          <w:rFonts w:ascii="Times New Roman" w:hAnsi="Times New Roman" w:cs="Times New Roman"/>
          <w:sz w:val="20"/>
          <w:szCs w:val="20"/>
        </w:rPr>
        <w:t xml:space="preserve"> Physiological </w:t>
      </w:r>
      <w:r>
        <w:rPr>
          <w:rFonts w:ascii="Times New Roman" w:hAnsi="Times New Roman" w:eastAsia="宋体" w:cs="Times New Roman"/>
          <w:sz w:val="20"/>
          <w:szCs w:val="20"/>
        </w:rPr>
        <w:t>differences</w:t>
      </w:r>
      <w:r>
        <w:rPr>
          <w:rFonts w:ascii="Times New Roman" w:hAnsi="Times New Roman" w:cs="Times New Roman"/>
          <w:sz w:val="20"/>
          <w:szCs w:val="20"/>
        </w:rPr>
        <w:t xml:space="preserve"> between the two groups. a Blood glucose levels in rats were measured weekly. The day on which STZ-induced diabetes was established in rats was referred to as day 0 of the experiment. ADSCs were injected at the end of the second week. b OGTT results before sacrifice of the rats</w:t>
      </w:r>
    </w:p>
    <w:p>
      <w:pPr>
        <w:spacing w:line="480" w:lineRule="auto"/>
        <w:contextualSpacing/>
        <w:jc w:val="left"/>
        <w:rPr>
          <w:rFonts w:ascii="Times New Roman" w:hAnsi="Times New Roman" w:cs="Times New Roman"/>
          <w:sz w:val="20"/>
          <w:szCs w:val="20"/>
        </w:rPr>
      </w:pPr>
      <w:r>
        <w:rPr>
          <w:rFonts w:ascii="Times New Roman" w:hAnsi="Times New Roman" w:cs="Times New Roman"/>
          <w:sz w:val="20"/>
          <w:szCs w:val="20"/>
          <w:lang w:val="en-US"/>
        </w:rPr>
        <w:drawing>
          <wp:inline distT="0" distB="0" distL="0" distR="0">
            <wp:extent cx="5943600" cy="22860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2286000"/>
                    </a:xfrm>
                    <a:prstGeom prst="rect">
                      <a:avLst/>
                    </a:prstGeom>
                  </pic:spPr>
                </pic:pic>
              </a:graphicData>
            </a:graphic>
          </wp:inline>
        </w:drawing>
      </w:r>
    </w:p>
    <w:p>
      <w:pPr>
        <w:spacing w:line="480" w:lineRule="auto"/>
        <w:contextualSpacing/>
        <w:jc w:val="left"/>
        <w:rPr>
          <w:rFonts w:ascii="Times New Roman" w:hAnsi="Times New Roman" w:eastAsia="宋体" w:cs="Times New Roman"/>
          <w:sz w:val="20"/>
          <w:szCs w:val="20"/>
        </w:rPr>
      </w:pPr>
      <w:r>
        <w:rPr>
          <w:rFonts w:ascii="Times New Roman" w:hAnsi="Times New Roman" w:cs="Times New Roman"/>
          <w:b/>
          <w:bCs/>
          <w:sz w:val="20"/>
          <w:szCs w:val="20"/>
        </w:rPr>
        <w:t>SFig. 2</w:t>
      </w:r>
      <w:r>
        <w:rPr>
          <w:rFonts w:ascii="Times New Roman" w:hAnsi="Times New Roman" w:cs="Times New Roman"/>
          <w:sz w:val="20"/>
          <w:szCs w:val="20"/>
        </w:rPr>
        <w:t xml:space="preserve"> Downstream effector analysis of upregulated gene transcripts in </w:t>
      </w:r>
      <w:r>
        <w:rPr>
          <w:rFonts w:ascii="Times New Roman" w:hAnsi="Times New Roman" w:eastAsia="宋体" w:cs="Times New Roman"/>
          <w:sz w:val="20"/>
          <w:szCs w:val="20"/>
        </w:rPr>
        <w:t>livers</w:t>
      </w:r>
      <w:r>
        <w:rPr>
          <w:rFonts w:ascii="Times New Roman" w:hAnsi="Times New Roman" w:cs="Times New Roman"/>
          <w:sz w:val="20"/>
          <w:szCs w:val="20"/>
        </w:rPr>
        <w:t xml:space="preserve"> of rats in </w:t>
      </w:r>
      <w:r>
        <w:rPr>
          <w:rFonts w:ascii="Times New Roman" w:hAnsi="Times New Roman" w:eastAsia="宋体" w:cs="Times New Roman"/>
          <w:sz w:val="20"/>
          <w:szCs w:val="20"/>
        </w:rPr>
        <w:t xml:space="preserve">the </w:t>
      </w:r>
      <w:r>
        <w:rPr>
          <w:rFonts w:ascii="Times New Roman" w:hAnsi="Times New Roman" w:cs="Times New Roman"/>
          <w:sz w:val="20"/>
          <w:szCs w:val="20"/>
        </w:rPr>
        <w:t>two groups. (a) Tree map (hierarchical heatmap) showing the affected diseases and biological function categories based on the DEGs. (b) Tree map (hierarchical heatmap) showing the affected hepatotoxicity-related functional categories based on the DEGs. Each individual coloured rectangle represents a particular biological function or disease</w:t>
      </w:r>
      <w:r>
        <w:rPr>
          <w:rFonts w:ascii="Times New Roman" w:hAnsi="Times New Roman" w:eastAsia="宋体" w:cs="Times New Roman"/>
          <w:sz w:val="20"/>
          <w:szCs w:val="20"/>
        </w:rPr>
        <w:t>,</w:t>
      </w:r>
      <w:r>
        <w:rPr>
          <w:rFonts w:ascii="Times New Roman" w:hAnsi="Times New Roman" w:cs="Times New Roman"/>
          <w:sz w:val="20"/>
          <w:szCs w:val="20"/>
        </w:rPr>
        <w:t xml:space="preserve"> and the colour range indicates its predicted activation state: increased (orange) or decreased (blue). Darker colours indicate higher absolute Z scores. In this default view, increasing rectangle size is correlated with increasing overlap </w:t>
      </w:r>
      <w:r>
        <w:rPr>
          <w:rFonts w:ascii="Times New Roman" w:hAnsi="Times New Roman" w:eastAsia="宋体" w:cs="Times New Roman"/>
          <w:sz w:val="20"/>
          <w:szCs w:val="20"/>
        </w:rPr>
        <w:t>significance</w:t>
      </w:r>
    </w:p>
    <w:p>
      <w:pPr>
        <w:spacing w:line="480" w:lineRule="auto"/>
        <w:contextualSpacing/>
        <w:jc w:val="left"/>
        <w:rPr>
          <w:rFonts w:ascii="Times New Roman" w:hAnsi="Times New Roman" w:cs="Times New Roman"/>
          <w:sz w:val="20"/>
          <w:szCs w:val="20"/>
          <w:lang w:val="en-US"/>
        </w:rPr>
      </w:pPr>
      <w:r>
        <w:rPr>
          <w:rFonts w:ascii="Times New Roman" w:hAnsi="Times New Roman" w:cs="Times New Roman"/>
          <w:sz w:val="20"/>
          <w:szCs w:val="20"/>
          <w:lang w:val="en-US"/>
        </w:rPr>
        <w:drawing>
          <wp:inline distT="0" distB="0" distL="0" distR="0">
            <wp:extent cx="5943600" cy="446151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4461510"/>
                    </a:xfrm>
                    <a:prstGeom prst="rect">
                      <a:avLst/>
                    </a:prstGeom>
                  </pic:spPr>
                </pic:pic>
              </a:graphicData>
            </a:graphic>
          </wp:inline>
        </w:drawing>
      </w:r>
    </w:p>
    <w:p>
      <w:pPr>
        <w:spacing w:line="480" w:lineRule="auto"/>
        <w:contextualSpacing/>
        <w:jc w:val="left"/>
        <w:rPr>
          <w:rFonts w:ascii="Times New Roman" w:hAnsi="Times New Roman" w:cs="Times New Roman"/>
          <w:sz w:val="20"/>
          <w:szCs w:val="20"/>
        </w:rPr>
      </w:pPr>
      <w:r>
        <w:rPr>
          <w:rFonts w:ascii="Times New Roman" w:hAnsi="Times New Roman" w:cs="Times New Roman"/>
          <w:b/>
          <w:bCs/>
          <w:sz w:val="20"/>
          <w:szCs w:val="20"/>
        </w:rPr>
        <w:t xml:space="preserve">SFig. </w:t>
      </w:r>
      <w:r>
        <w:rPr>
          <w:rFonts w:hint="eastAsia" w:ascii="Times New Roman" w:hAnsi="Times New Roman" w:cs="Times New Roman"/>
          <w:b/>
          <w:bCs/>
          <w:sz w:val="20"/>
          <w:szCs w:val="20"/>
          <w:lang w:val="en-US" w:eastAsia="zh-CN"/>
        </w:rPr>
        <w:t>3</w:t>
      </w:r>
      <w:r>
        <w:rPr>
          <w:rFonts w:ascii="Times New Roman" w:hAnsi="Times New Roman" w:cs="Times New Roman"/>
          <w:sz w:val="20"/>
          <w:szCs w:val="20"/>
        </w:rPr>
        <w:t xml:space="preserve"> Mechanistic network analysis predicts multiple affected signalling networks. Schematic of the STAT4 (a), PTGER2 (b), LEF1 (c), INHBA (d), AHR (e), CCND1V (f), and CREB1 (g) mechanistic networks with predicted activation states based on transcriptome data and the subsequent predicted effects on downstream effector molecules. </w:t>
      </w:r>
      <w:r>
        <w:rPr>
          <w:rFonts w:ascii="Times New Roman" w:hAnsi="Times New Roman" w:eastAsia="宋体" w:cs="Times New Roman"/>
          <w:sz w:val="20"/>
          <w:szCs w:val="20"/>
        </w:rPr>
        <w:t>The figure</w:t>
      </w:r>
      <w:r>
        <w:rPr>
          <w:rFonts w:ascii="Times New Roman" w:hAnsi="Times New Roman" w:cs="Times New Roman"/>
          <w:sz w:val="20"/>
          <w:szCs w:val="20"/>
        </w:rPr>
        <w:t xml:space="preserve"> legend indicates the relationships between the molecules in the network</w:t>
      </w:r>
    </w:p>
    <w:p>
      <w:pPr>
        <w:spacing w:line="480" w:lineRule="auto"/>
        <w:contextualSpacing/>
        <w:jc w:val="left"/>
        <w:rPr>
          <w:rFonts w:ascii="Times New Roman" w:hAnsi="Times New Roman" w:cs="Times New Roman"/>
          <w:sz w:val="20"/>
          <w:szCs w:val="20"/>
        </w:rPr>
      </w:pPr>
      <w:r>
        <w:rPr>
          <w:rFonts w:ascii="Times New Roman" w:hAnsi="Times New Roman" w:cs="Times New Roman"/>
          <w:sz w:val="20"/>
          <w:szCs w:val="20"/>
          <w:lang w:val="en-US"/>
        </w:rPr>
        <w:drawing>
          <wp:inline distT="0" distB="0" distL="0" distR="0">
            <wp:extent cx="5943600" cy="5045710"/>
            <wp:effectExtent l="0" t="0" r="0" b="254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5045710"/>
                    </a:xfrm>
                    <a:prstGeom prst="rect">
                      <a:avLst/>
                    </a:prstGeom>
                  </pic:spPr>
                </pic:pic>
              </a:graphicData>
            </a:graphic>
          </wp:inline>
        </w:drawing>
      </w:r>
    </w:p>
    <w:p>
      <w:pPr>
        <w:spacing w:line="480" w:lineRule="auto"/>
        <w:contextualSpacing/>
        <w:jc w:val="left"/>
        <w:rPr>
          <w:rFonts w:hint="default" w:ascii="Times New Roman" w:hAnsi="Times New Roman" w:cs="Times New Roman"/>
          <w:sz w:val="20"/>
          <w:szCs w:val="20"/>
          <w:lang w:val="en-US" w:eastAsia="zh-CN"/>
        </w:rPr>
      </w:pPr>
      <w:r>
        <w:rPr>
          <w:rFonts w:ascii="Times New Roman" w:hAnsi="Times New Roman" w:cs="Times New Roman"/>
          <w:b/>
          <w:bCs/>
          <w:sz w:val="20"/>
          <w:szCs w:val="20"/>
        </w:rPr>
        <w:t xml:space="preserve">SFig. </w:t>
      </w:r>
      <w:r>
        <w:rPr>
          <w:rFonts w:hint="eastAsia" w:ascii="Times New Roman" w:hAnsi="Times New Roman" w:cs="Times New Roman"/>
          <w:b/>
          <w:bCs/>
          <w:sz w:val="20"/>
          <w:szCs w:val="20"/>
          <w:lang w:val="en-US" w:eastAsia="zh-CN"/>
        </w:rPr>
        <w:t>4</w:t>
      </w:r>
      <w:r>
        <w:rPr>
          <w:rFonts w:ascii="Times New Roman" w:hAnsi="Times New Roman" w:cs="Times New Roman"/>
          <w:sz w:val="20"/>
          <w:szCs w:val="20"/>
        </w:rPr>
        <w:t xml:space="preserve"> </w:t>
      </w:r>
      <w:r>
        <w:rPr>
          <w:rFonts w:hint="eastAsia" w:ascii="Times New Roman" w:hAnsi="Times New Roman" w:cs="Times New Roman"/>
          <w:sz w:val="20"/>
          <w:szCs w:val="20"/>
          <w:lang w:val="en-US" w:eastAsia="zh-CN"/>
        </w:rPr>
        <w:t>T</w:t>
      </w:r>
      <w:r>
        <w:rPr>
          <w:rFonts w:hint="eastAsia" w:ascii="Times New Roman" w:hAnsi="Times New Roman" w:cs="Times New Roman"/>
          <w:sz w:val="20"/>
          <w:szCs w:val="20"/>
        </w:rPr>
        <w:t xml:space="preserve">he phosphorylation of ERK2, P38 and JNK pathways </w:t>
      </w:r>
      <w:r>
        <w:rPr>
          <w:rFonts w:ascii="Times New Roman" w:hAnsi="Times New Roman" w:cs="Times New Roman"/>
          <w:sz w:val="20"/>
          <w:szCs w:val="20"/>
        </w:rPr>
        <w:t>in stem cell-treated diabetic rats compared to untreated diabetic rats</w:t>
      </w:r>
      <w:r>
        <w:rPr>
          <w:rFonts w:hint="eastAsia" w:ascii="Times New Roman" w:hAnsi="Times New Roman" w:cs="Times New Roman"/>
          <w:sz w:val="20"/>
          <w:szCs w:val="20"/>
          <w:lang w:val="en-US" w:eastAsia="zh-CN"/>
        </w:rPr>
        <w:t>2. ***</w:t>
      </w:r>
      <w:r>
        <w:rPr>
          <w:rFonts w:hint="eastAsia" w:ascii="Times New Roman" w:hAnsi="Times New Roman" w:cs="Times New Roman"/>
          <w:i/>
          <w:iCs/>
          <w:sz w:val="20"/>
          <w:szCs w:val="20"/>
          <w:lang w:val="en-US" w:eastAsia="zh-CN"/>
        </w:rPr>
        <w:t>p</w:t>
      </w:r>
      <w:r>
        <w:rPr>
          <w:rFonts w:hint="eastAsia" w:ascii="Times New Roman" w:hAnsi="Times New Roman" w:cs="Times New Roman"/>
          <w:sz w:val="20"/>
          <w:szCs w:val="20"/>
          <w:lang w:val="en-US" w:eastAsia="zh-CN"/>
        </w:rPr>
        <w:t>&lt;0.001</w:t>
      </w:r>
    </w:p>
    <w:p>
      <w:pPr>
        <w:rPr>
          <w:rFonts w:hint="default" w:eastAsiaTheme="minorEastAsia"/>
          <w:lang w:val="en-IE" w:eastAsia="zh-CN"/>
        </w:rPr>
      </w:pPr>
      <w:bookmarkStart w:id="0" w:name="_GoBack"/>
      <w:r>
        <w:rPr>
          <w:rFonts w:hint="default" w:eastAsiaTheme="minorEastAsia"/>
          <w:lang w:val="en-IE" w:eastAsia="zh-CN"/>
        </w:rPr>
        <w:drawing>
          <wp:inline distT="0" distB="0" distL="114300" distR="114300">
            <wp:extent cx="5271770" cy="4817110"/>
            <wp:effectExtent l="0" t="0" r="1270" b="13970"/>
            <wp:docPr id="1" name="图片 1" descr="S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Figure 4"/>
                    <pic:cNvPicPr>
                      <a:picLocks noChangeAspect="1"/>
                    </pic:cNvPicPr>
                  </pic:nvPicPr>
                  <pic:blipFill>
                    <a:blip r:embed="rId8"/>
                    <a:stretch>
                      <a:fillRect/>
                    </a:stretch>
                  </pic:blipFill>
                  <pic:spPr>
                    <a:xfrm>
                      <a:off x="0" y="0"/>
                      <a:ext cx="5271770" cy="4817110"/>
                    </a:xfrm>
                    <a:prstGeom prst="rect">
                      <a:avLst/>
                    </a:prstGeom>
                  </pic:spPr>
                </pic:pic>
              </a:graphicData>
            </a:graphic>
          </wp:inline>
        </w:drawing>
      </w:r>
      <w:bookmarkEnd w:id="0"/>
    </w:p>
    <w:sectPr>
      <w:footerReference r:id="rId3" w:type="default"/>
      <w:pgSz w:w="12240" w:h="15840"/>
      <w:pgMar w:top="1440" w:right="1440"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9072410"/>
      <w:docPartObj>
        <w:docPartGallery w:val="autotext"/>
      </w:docPartObj>
    </w:sdtPr>
    <w:sdtEndPr>
      <w:rPr>
        <w:rFonts w:cs="Times New Roman"/>
        <w:szCs w:val="22"/>
      </w:rPr>
    </w:sdtEndPr>
    <w:sdtContent>
      <w:p>
        <w:pPr>
          <w:pStyle w:val="2"/>
          <w:spacing w:line="480" w:lineRule="auto"/>
          <w:contextualSpacing/>
          <w:jc w:val="right"/>
          <w:rPr>
            <w:rFonts w:cs="Times New Roman"/>
            <w:szCs w:val="22"/>
          </w:rPr>
        </w:pPr>
        <w:r>
          <w:rPr>
            <w:rFonts w:cs="Times New Roman"/>
            <w:szCs w:val="22"/>
          </w:rPr>
          <w:fldChar w:fldCharType="begin"/>
        </w:r>
        <w:r>
          <w:rPr>
            <w:rFonts w:cs="Times New Roman"/>
            <w:szCs w:val="22"/>
          </w:rPr>
          <w:instrText xml:space="preserve"> PAGE   \* MERGEFORMAT </w:instrText>
        </w:r>
        <w:r>
          <w:rPr>
            <w:rFonts w:cs="Times New Roman"/>
            <w:szCs w:val="22"/>
          </w:rPr>
          <w:fldChar w:fldCharType="separate"/>
        </w:r>
        <w:r>
          <w:rPr>
            <w:rFonts w:cs="Times New Roman"/>
            <w:szCs w:val="22"/>
          </w:rPr>
          <w:t>3</w:t>
        </w:r>
        <w:r>
          <w:rPr>
            <w:rFonts w:cs="Times New Roman"/>
            <w:szCs w:val="22"/>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A4N2VmNjllNTBmOWU5MDI5ODZmZjQzZmU5ODU0MDEifQ=="/>
  </w:docVars>
  <w:rsids>
    <w:rsidRoot w:val="0056052F"/>
    <w:rsid w:val="004B6C8D"/>
    <w:rsid w:val="0056052F"/>
    <w:rsid w:val="00FF18C8"/>
    <w:rsid w:val="29E05449"/>
    <w:rsid w:val="44D47285"/>
    <w:rsid w:val="53E14E0E"/>
    <w:rsid w:val="73F916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GB"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5"/>
    <w:qFormat/>
    <w:uiPriority w:val="99"/>
    <w:pPr>
      <w:tabs>
        <w:tab w:val="center" w:pos="4680"/>
        <w:tab w:val="right" w:pos="9360"/>
      </w:tabs>
    </w:pPr>
    <w:rPr>
      <w:rFonts w:ascii="Times New Roman" w:hAnsi="Times New Roman"/>
      <w:sz w:val="20"/>
    </w:rPr>
  </w:style>
  <w:style w:type="character" w:customStyle="1" w:styleId="5">
    <w:name w:val="页脚 字符"/>
    <w:basedOn w:val="4"/>
    <w:link w:val="2"/>
    <w:qFormat/>
    <w:uiPriority w:val="99"/>
    <w:rPr>
      <w:rFonts w:ascii="Times New Roman" w:hAnsi="Times New Roman"/>
      <w:sz w:val="20"/>
      <w:szCs w:val="24"/>
      <w:lang w:val="en-G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4.tiff"/><Relationship Id="rId7" Type="http://schemas.openxmlformats.org/officeDocument/2006/relationships/image" Target="media/image3.tiff"/><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230</Words>
  <Characters>1357</Characters>
  <Lines>10</Lines>
  <Paragraphs>2</Paragraphs>
  <TotalTime>566</TotalTime>
  <ScaleCrop>false</ScaleCrop>
  <LinksUpToDate>false</LinksUpToDate>
  <CharactersWithSpaces>1582</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2022-08-22T01:09:00Z</dcterms:created>
  <dc:creator>尉 屿樊</dc:creator>
  <cp:lastModifiedBy>米小文</cp:lastModifiedBy>
  <dcterms:modified xsi:type="dcterms:W3CDTF">2022-09-09T00:57:39Z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9B76EEBB7B39495B99B94CC84297FC75</vt:lpwstr>
  </property>
</Properties>
</file>