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D65DE" w14:textId="77777777" w:rsidR="001A4082" w:rsidRDefault="001A4082" w:rsidP="009A5165">
      <w:pPr>
        <w:spacing w:line="240" w:lineRule="auto"/>
        <w:ind w:firstLineChars="0" w:firstLine="0"/>
        <w:jc w:val="center"/>
        <w:rPr>
          <w:rFonts w:eastAsia="黑体" w:cs="Times New Roman"/>
          <w:b/>
          <w:bCs/>
          <w:kern w:val="44"/>
          <w:sz w:val="44"/>
          <w:szCs w:val="28"/>
        </w:rPr>
      </w:pPr>
    </w:p>
    <w:p w14:paraId="2D47E357" w14:textId="6C75D8E2" w:rsidR="009A5165" w:rsidRPr="005D3B61" w:rsidRDefault="009F2CFD" w:rsidP="009A5165">
      <w:pPr>
        <w:spacing w:line="240" w:lineRule="auto"/>
        <w:ind w:firstLineChars="0" w:firstLine="0"/>
        <w:jc w:val="center"/>
        <w:rPr>
          <w:rFonts w:eastAsia="黑体" w:cs="Times New Roman"/>
          <w:b/>
          <w:bCs/>
          <w:kern w:val="44"/>
          <w:sz w:val="44"/>
          <w:szCs w:val="28"/>
        </w:rPr>
      </w:pPr>
      <w:r w:rsidRPr="009F2CFD">
        <w:rPr>
          <w:rFonts w:eastAsia="黑体" w:cs="Times New Roman"/>
          <w:b/>
          <w:bCs/>
          <w:kern w:val="44"/>
          <w:sz w:val="44"/>
          <w:szCs w:val="28"/>
        </w:rPr>
        <w:t>Supplementary</w:t>
      </w:r>
      <w:r w:rsidR="009A5165" w:rsidRPr="005D3B61">
        <w:rPr>
          <w:rFonts w:eastAsia="黑体" w:cs="Times New Roman"/>
          <w:b/>
          <w:bCs/>
          <w:kern w:val="44"/>
          <w:sz w:val="44"/>
          <w:szCs w:val="28"/>
        </w:rPr>
        <w:t xml:space="preserve"> </w:t>
      </w:r>
      <w:r w:rsidR="001A4082" w:rsidRPr="005D3B61">
        <w:rPr>
          <w:rFonts w:eastAsia="黑体" w:cs="Times New Roman"/>
          <w:b/>
          <w:bCs/>
          <w:kern w:val="44"/>
          <w:sz w:val="44"/>
          <w:szCs w:val="28"/>
        </w:rPr>
        <w:t>Information</w:t>
      </w:r>
      <w:r w:rsidR="009A5165" w:rsidRPr="005D3B61">
        <w:rPr>
          <w:rFonts w:eastAsia="黑体" w:cs="Times New Roman"/>
          <w:b/>
          <w:bCs/>
          <w:kern w:val="44"/>
          <w:sz w:val="44"/>
          <w:szCs w:val="28"/>
        </w:rPr>
        <w:cr/>
      </w:r>
    </w:p>
    <w:p w14:paraId="39E94085" w14:textId="77777777" w:rsidR="009A5165" w:rsidRDefault="009A5165" w:rsidP="009A5165">
      <w:pPr>
        <w:spacing w:line="240" w:lineRule="auto"/>
        <w:ind w:firstLineChars="0" w:firstLine="0"/>
        <w:rPr>
          <w:rFonts w:eastAsia="黑体" w:cs="Times New Roman"/>
          <w:b/>
          <w:bCs/>
          <w:kern w:val="44"/>
          <w:sz w:val="40"/>
          <w:szCs w:val="24"/>
        </w:rPr>
      </w:pPr>
    </w:p>
    <w:p w14:paraId="073C99E3" w14:textId="77777777" w:rsidR="009E2C9C" w:rsidRDefault="009E2C9C" w:rsidP="009A5165">
      <w:pPr>
        <w:ind w:firstLineChars="0" w:firstLine="0"/>
        <w:jc w:val="left"/>
        <w:rPr>
          <w:rFonts w:eastAsia="黑体" w:cs="Times New Roman"/>
          <w:b/>
          <w:bCs/>
          <w:kern w:val="44"/>
          <w:sz w:val="40"/>
          <w:szCs w:val="24"/>
        </w:rPr>
      </w:pPr>
      <w:r w:rsidRPr="009E2C9C">
        <w:rPr>
          <w:rFonts w:eastAsia="黑体" w:cs="Times New Roman"/>
          <w:b/>
          <w:bCs/>
          <w:kern w:val="44"/>
          <w:sz w:val="40"/>
          <w:szCs w:val="24"/>
        </w:rPr>
        <w:t>Glassy Hybrid Network with Excellent Toughness and Self-Healing Ability at Ambient Temperature</w:t>
      </w:r>
    </w:p>
    <w:p w14:paraId="6A15FAEA" w14:textId="03A90BF6" w:rsidR="009A5165" w:rsidRDefault="006E292A" w:rsidP="009A5165">
      <w:pPr>
        <w:ind w:firstLineChars="0" w:firstLine="0"/>
        <w:jc w:val="left"/>
        <w:rPr>
          <w:rFonts w:eastAsia="宋体" w:cs="Times New Roman"/>
          <w:i/>
          <w:sz w:val="24"/>
          <w:szCs w:val="24"/>
        </w:rPr>
      </w:pPr>
      <w:proofErr w:type="spellStart"/>
      <w:r w:rsidRPr="006E292A">
        <w:rPr>
          <w:rFonts w:eastAsia="宋体" w:cs="Times New Roman"/>
          <w:i/>
          <w:sz w:val="24"/>
          <w:szCs w:val="24"/>
        </w:rPr>
        <w:t>Weihang</w:t>
      </w:r>
      <w:proofErr w:type="spellEnd"/>
      <w:r w:rsidRPr="006E292A">
        <w:rPr>
          <w:rFonts w:eastAsia="宋体" w:cs="Times New Roman"/>
          <w:i/>
          <w:sz w:val="24"/>
          <w:szCs w:val="24"/>
        </w:rPr>
        <w:t xml:space="preserve"> Li, Hao Wang, </w:t>
      </w:r>
      <w:proofErr w:type="spellStart"/>
      <w:r w:rsidRPr="006E292A">
        <w:rPr>
          <w:rFonts w:eastAsia="宋体" w:cs="Times New Roman"/>
          <w:i/>
          <w:sz w:val="24"/>
          <w:szCs w:val="24"/>
        </w:rPr>
        <w:t>Yiwen</w:t>
      </w:r>
      <w:proofErr w:type="spellEnd"/>
      <w:r w:rsidRPr="006E292A">
        <w:rPr>
          <w:rFonts w:eastAsia="宋体" w:cs="Times New Roman"/>
          <w:i/>
          <w:sz w:val="24"/>
          <w:szCs w:val="24"/>
        </w:rPr>
        <w:t xml:space="preserve"> Chen, Yan Peng, Hui Liu, </w:t>
      </w:r>
      <w:proofErr w:type="spellStart"/>
      <w:r w:rsidRPr="006E292A">
        <w:rPr>
          <w:rFonts w:eastAsia="宋体" w:cs="Times New Roman"/>
          <w:i/>
          <w:sz w:val="24"/>
          <w:szCs w:val="24"/>
        </w:rPr>
        <w:t>Haitao</w:t>
      </w:r>
      <w:proofErr w:type="spellEnd"/>
      <w:r w:rsidRPr="006E292A">
        <w:rPr>
          <w:rFonts w:eastAsia="宋体" w:cs="Times New Roman"/>
          <w:i/>
          <w:sz w:val="24"/>
          <w:szCs w:val="24"/>
        </w:rPr>
        <w:t xml:space="preserve"> Wu, </w:t>
      </w:r>
      <w:proofErr w:type="spellStart"/>
      <w:r w:rsidRPr="006E292A">
        <w:rPr>
          <w:rFonts w:eastAsia="宋体" w:cs="Times New Roman"/>
          <w:i/>
          <w:sz w:val="24"/>
          <w:szCs w:val="24"/>
        </w:rPr>
        <w:t>Yujia</w:t>
      </w:r>
      <w:proofErr w:type="spellEnd"/>
      <w:r w:rsidRPr="006E292A">
        <w:rPr>
          <w:rFonts w:eastAsia="宋体" w:cs="Times New Roman"/>
          <w:i/>
          <w:sz w:val="24"/>
          <w:szCs w:val="24"/>
        </w:rPr>
        <w:t xml:space="preserve"> Hou, </w:t>
      </w:r>
      <w:proofErr w:type="spellStart"/>
      <w:r w:rsidRPr="006E292A">
        <w:rPr>
          <w:rFonts w:eastAsia="宋体" w:cs="Times New Roman"/>
          <w:i/>
          <w:sz w:val="24"/>
          <w:szCs w:val="24"/>
        </w:rPr>
        <w:t>Zhaoyang</w:t>
      </w:r>
      <w:proofErr w:type="spellEnd"/>
      <w:r w:rsidRPr="006E292A">
        <w:rPr>
          <w:rFonts w:eastAsia="宋体" w:cs="Times New Roman"/>
          <w:i/>
          <w:sz w:val="24"/>
          <w:szCs w:val="24"/>
        </w:rPr>
        <w:t xml:space="preserve"> Yuan, Yue Huang, </w:t>
      </w:r>
      <w:proofErr w:type="spellStart"/>
      <w:r w:rsidRPr="006E292A">
        <w:rPr>
          <w:rFonts w:eastAsia="宋体" w:cs="Times New Roman"/>
          <w:i/>
          <w:sz w:val="24"/>
          <w:szCs w:val="24"/>
        </w:rPr>
        <w:t>Bangjiao</w:t>
      </w:r>
      <w:proofErr w:type="spellEnd"/>
      <w:r w:rsidRPr="006E292A">
        <w:rPr>
          <w:rFonts w:eastAsia="宋体" w:cs="Times New Roman"/>
          <w:i/>
          <w:sz w:val="24"/>
          <w:szCs w:val="24"/>
        </w:rPr>
        <w:t xml:space="preserve"> Ye, </w:t>
      </w:r>
      <w:proofErr w:type="spellStart"/>
      <w:r w:rsidRPr="006E292A">
        <w:rPr>
          <w:rFonts w:eastAsia="宋体" w:cs="Times New Roman"/>
          <w:i/>
          <w:sz w:val="24"/>
          <w:szCs w:val="24"/>
        </w:rPr>
        <w:t>Hongjun</w:t>
      </w:r>
      <w:proofErr w:type="spellEnd"/>
      <w:r w:rsidRPr="006E292A">
        <w:rPr>
          <w:rFonts w:eastAsia="宋体" w:cs="Times New Roman"/>
          <w:i/>
          <w:sz w:val="24"/>
          <w:szCs w:val="24"/>
        </w:rPr>
        <w:t xml:space="preserve"> Zhang, </w:t>
      </w:r>
      <w:proofErr w:type="spellStart"/>
      <w:r w:rsidRPr="006E292A">
        <w:rPr>
          <w:rFonts w:eastAsia="宋体" w:cs="Times New Roman"/>
          <w:i/>
          <w:sz w:val="24"/>
          <w:szCs w:val="24"/>
        </w:rPr>
        <w:t>Jinrong</w:t>
      </w:r>
      <w:proofErr w:type="spellEnd"/>
      <w:r w:rsidRPr="006E292A">
        <w:rPr>
          <w:rFonts w:eastAsia="宋体" w:cs="Times New Roman"/>
          <w:i/>
          <w:sz w:val="24"/>
          <w:szCs w:val="24"/>
        </w:rPr>
        <w:t xml:space="preserve"> Wu*</w:t>
      </w:r>
    </w:p>
    <w:p w14:paraId="241E0645" w14:textId="61EEC60F" w:rsidR="006E292A" w:rsidRDefault="006E292A" w:rsidP="009A5165">
      <w:pPr>
        <w:ind w:firstLineChars="0" w:firstLine="0"/>
        <w:jc w:val="left"/>
        <w:rPr>
          <w:rFonts w:eastAsia="宋体" w:cs="Times New Roman"/>
          <w:color w:val="000000" w:themeColor="text1"/>
          <w:sz w:val="21"/>
          <w:szCs w:val="24"/>
          <w:vertAlign w:val="superscript"/>
        </w:rPr>
      </w:pPr>
    </w:p>
    <w:p w14:paraId="20310F62" w14:textId="1527E597" w:rsidR="002872E7" w:rsidRDefault="002872E7" w:rsidP="009A5165">
      <w:pPr>
        <w:ind w:firstLineChars="0" w:firstLine="0"/>
        <w:jc w:val="left"/>
        <w:rPr>
          <w:rFonts w:eastAsia="宋体" w:cs="Times New Roman"/>
          <w:color w:val="000000" w:themeColor="text1"/>
          <w:sz w:val="21"/>
          <w:szCs w:val="24"/>
          <w:vertAlign w:val="superscript"/>
        </w:rPr>
      </w:pPr>
    </w:p>
    <w:p w14:paraId="369F942B" w14:textId="77777777" w:rsidR="002872E7" w:rsidRPr="00FA25EB" w:rsidRDefault="002872E7" w:rsidP="009A5165">
      <w:pPr>
        <w:ind w:firstLineChars="0" w:firstLine="0"/>
        <w:jc w:val="left"/>
        <w:rPr>
          <w:rFonts w:eastAsia="宋体" w:cs="Times New Roman" w:hint="eastAsia"/>
          <w:sz w:val="21"/>
          <w:szCs w:val="24"/>
        </w:rPr>
      </w:pPr>
    </w:p>
    <w:p w14:paraId="5059A8A0" w14:textId="5F668DD6" w:rsidR="00210407" w:rsidRDefault="00210407" w:rsidP="00210407">
      <w:pPr>
        <w:pStyle w:val="ad"/>
        <w:spacing w:before="240"/>
      </w:pPr>
      <w:bookmarkStart w:id="0" w:name="_Toc108959639"/>
      <w:bookmarkStart w:id="1" w:name="_Toc111924610"/>
      <w:r>
        <w:t>Table of Contents</w:t>
      </w:r>
      <w:bookmarkEnd w:id="0"/>
      <w:bookmarkEnd w:id="1"/>
    </w:p>
    <w:p w14:paraId="3746207C" w14:textId="00228EDD" w:rsidR="00BB3AA4" w:rsidRDefault="00BB3AA4" w:rsidP="00BB3AA4">
      <w:pPr>
        <w:widowControl/>
        <w:spacing w:line="240" w:lineRule="auto"/>
        <w:ind w:firstLineChars="0" w:firstLine="0"/>
        <w:jc w:val="left"/>
      </w:pPr>
    </w:p>
    <w:p w14:paraId="6E2E66B0" w14:textId="394DA5E0" w:rsidR="00FA25EB" w:rsidRPr="00D202E4" w:rsidRDefault="00FA25EB" w:rsidP="00FA25EB">
      <w:pPr>
        <w:widowControl/>
        <w:spacing w:line="240" w:lineRule="auto"/>
        <w:ind w:firstLineChars="0" w:firstLine="0"/>
        <w:jc w:val="left"/>
        <w:rPr>
          <w:rFonts w:cs="Times New Roman" w:hint="eastAsia"/>
          <w:color w:val="000000" w:themeColor="text1"/>
        </w:rPr>
      </w:pPr>
      <w:r w:rsidRPr="00D202E4">
        <w:rPr>
          <w:rFonts w:cs="Times New Roman"/>
          <w:noProof/>
          <w:color w:val="000000" w:themeColor="text1"/>
        </w:rPr>
        <w:drawing>
          <wp:inline distT="0" distB="0" distL="0" distR="0" wp14:anchorId="2CC6DF23" wp14:editId="646B084C">
            <wp:extent cx="3420196" cy="2830529"/>
            <wp:effectExtent l="0" t="0" r="0" b="8255"/>
            <wp:docPr id="24" name="图片 24" descr="图形用户界面&#10;&#10;中度可信度描述已自动生成"/>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图片 24" descr="图形用户界面&#10;&#10;中度可信度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l="694" r="694"/>
                    <a:stretch>
                      <a:fillRect/>
                    </a:stretch>
                  </pic:blipFill>
                  <pic:spPr bwMode="auto">
                    <a:xfrm>
                      <a:off x="0" y="0"/>
                      <a:ext cx="3420196" cy="2830529"/>
                    </a:xfrm>
                    <a:prstGeom prst="rect">
                      <a:avLst/>
                    </a:prstGeom>
                    <a:noFill/>
                    <a:ln>
                      <a:noFill/>
                    </a:ln>
                    <a:extLst>
                      <a:ext uri="{53640926-AAD7-44D8-BBD7-CCE9431645EC}">
                        <a14:shadowObscured xmlns:a14="http://schemas.microsoft.com/office/drawing/2010/main"/>
                      </a:ext>
                    </a:extLst>
                  </pic:spPr>
                </pic:pic>
              </a:graphicData>
            </a:graphic>
          </wp:inline>
        </w:drawing>
      </w:r>
      <w:r w:rsidRPr="00D202E4">
        <w:rPr>
          <w:rFonts w:cs="Times New Roman"/>
          <w:color w:val="000000" w:themeColor="text1"/>
        </w:rPr>
        <w:t xml:space="preserve"> </w:t>
      </w:r>
    </w:p>
    <w:p w14:paraId="1F4BE9CC" w14:textId="72E153D2" w:rsidR="0071300A" w:rsidRPr="00FA25EB" w:rsidRDefault="00FA25EB" w:rsidP="00FA25EB">
      <w:pPr>
        <w:spacing w:beforeLines="50" w:before="120" w:afterLines="50" w:after="120"/>
        <w:ind w:firstLine="560"/>
        <w:rPr>
          <w:rFonts w:cs="Times New Roman"/>
          <w:color w:val="000000" w:themeColor="text1"/>
        </w:rPr>
      </w:pPr>
      <w:r w:rsidRPr="00D202E4">
        <w:rPr>
          <w:rFonts w:cs="Times New Roman"/>
          <w:color w:val="000000" w:themeColor="text1"/>
        </w:rPr>
        <w:t xml:space="preserve">A tough and healable polymeric glass (THG) assembled by hyperbranched polymer and entangled linear copolymer is proposed. THG is not only tough and robust, but also shows effective self-healing at ambient temperature in the glassy state. This self-healing behavior is attributed to the fact that the networks composed of </w:t>
      </w:r>
      <w:bookmarkStart w:id="2" w:name="_Hlk110140680"/>
      <w:r w:rsidRPr="00D202E4">
        <w:rPr>
          <w:rFonts w:cs="Times New Roman"/>
          <w:color w:val="000000" w:themeColor="text1"/>
        </w:rPr>
        <w:t>amine-carboxylate salt bridges</w:t>
      </w:r>
      <w:bookmarkEnd w:id="2"/>
      <w:r w:rsidRPr="00D202E4">
        <w:rPr>
          <w:rFonts w:cs="Times New Roman"/>
          <w:color w:val="000000" w:themeColor="text1"/>
        </w:rPr>
        <w:t xml:space="preserve"> and hydrogen bonds are dynamic in the glassy state due to the diverse active moieties and relaxation processes. </w:t>
      </w:r>
      <w:bookmarkStart w:id="3" w:name="_Toc111924611"/>
      <w:r w:rsidR="0071300A">
        <w:rPr>
          <w:color w:val="000000" w:themeColor="text1"/>
        </w:rPr>
        <w:br w:type="page"/>
      </w:r>
    </w:p>
    <w:p w14:paraId="20B2456B" w14:textId="5440F522" w:rsidR="009E2C9C" w:rsidRPr="00D202E4" w:rsidRDefault="00457956" w:rsidP="0099483A">
      <w:pPr>
        <w:pStyle w:val="ad"/>
        <w:spacing w:before="240"/>
        <w:rPr>
          <w:color w:val="000000" w:themeColor="text1"/>
        </w:rPr>
      </w:pPr>
      <w:r w:rsidRPr="00457956">
        <w:rPr>
          <w:color w:val="000000" w:themeColor="text1"/>
        </w:rPr>
        <w:lastRenderedPageBreak/>
        <w:t>Supplementary Methods</w:t>
      </w:r>
      <w:bookmarkEnd w:id="3"/>
    </w:p>
    <w:p w14:paraId="7F4CBF1E" w14:textId="6E6852DD" w:rsidR="009E2C9C" w:rsidRPr="00A52938" w:rsidRDefault="009E2C9C" w:rsidP="00457956">
      <w:pPr>
        <w:pStyle w:val="ae"/>
        <w:rPr>
          <w:rFonts w:ascii="Times New Roman" w:hAnsi="Times New Roman" w:cs="Times New Roman"/>
          <w:iCs/>
          <w:color w:val="000000" w:themeColor="text1"/>
        </w:rPr>
      </w:pPr>
      <w:bookmarkStart w:id="4" w:name="_Toc111924612"/>
      <w:r w:rsidRPr="00A52938">
        <w:rPr>
          <w:rFonts w:ascii="Times New Roman" w:hAnsi="Times New Roman" w:cs="Times New Roman"/>
          <w:iCs/>
          <w:color w:val="000000" w:themeColor="text1"/>
        </w:rPr>
        <w:t>Materials</w:t>
      </w:r>
      <w:bookmarkEnd w:id="4"/>
      <w:r w:rsidR="00457956" w:rsidRPr="00A52938">
        <w:rPr>
          <w:rFonts w:ascii="Times New Roman" w:hAnsi="Times New Roman" w:cs="Times New Roman"/>
          <w:iCs/>
          <w:color w:val="000000" w:themeColor="text1"/>
        </w:rPr>
        <w:t>.</w:t>
      </w:r>
      <w:r w:rsidRPr="00A52938">
        <w:rPr>
          <w:rFonts w:ascii="Times New Roman" w:hAnsi="Times New Roman" w:cs="Times New Roman"/>
          <w:iCs/>
          <w:color w:val="000000" w:themeColor="text1"/>
        </w:rPr>
        <w:t xml:space="preserve"> </w:t>
      </w:r>
      <w:r w:rsidRPr="00742582">
        <w:rPr>
          <w:rFonts w:ascii="Times New Roman" w:hAnsi="Times New Roman" w:cs="Times New Roman"/>
          <w:b w:val="0"/>
          <w:bCs w:val="0"/>
          <w:iCs/>
          <w:color w:val="000000" w:themeColor="text1"/>
        </w:rPr>
        <w:t xml:space="preserve">N, N'-methylene </w:t>
      </w:r>
      <w:proofErr w:type="spellStart"/>
      <w:r w:rsidRPr="00742582">
        <w:rPr>
          <w:rFonts w:ascii="Times New Roman" w:hAnsi="Times New Roman" w:cs="Times New Roman"/>
          <w:b w:val="0"/>
          <w:bCs w:val="0"/>
          <w:iCs/>
          <w:color w:val="000000" w:themeColor="text1"/>
        </w:rPr>
        <w:t>diacrylamide</w:t>
      </w:r>
      <w:proofErr w:type="spellEnd"/>
      <w:r w:rsidRPr="00742582">
        <w:rPr>
          <w:rFonts w:ascii="Times New Roman" w:hAnsi="Times New Roman" w:cs="Times New Roman"/>
          <w:b w:val="0"/>
          <w:bCs w:val="0"/>
          <w:iCs/>
          <w:color w:val="000000" w:themeColor="text1"/>
        </w:rPr>
        <w:t xml:space="preserve"> (MBA, 99%+), 1,8-octanediamine (ODA, 98%+) were purchased from Aladdin. Butyl acrylate (BA, 99%+, stabilized with Hydroquinone </w:t>
      </w:r>
      <w:proofErr w:type="spellStart"/>
      <w:r w:rsidRPr="00742582">
        <w:rPr>
          <w:rFonts w:ascii="Times New Roman" w:hAnsi="Times New Roman" w:cs="Times New Roman"/>
          <w:b w:val="0"/>
          <w:bCs w:val="0"/>
          <w:iCs/>
          <w:color w:val="000000" w:themeColor="text1"/>
        </w:rPr>
        <w:t>monomethylether</w:t>
      </w:r>
      <w:proofErr w:type="spellEnd"/>
      <w:r w:rsidRPr="00742582">
        <w:rPr>
          <w:rFonts w:ascii="Times New Roman" w:hAnsi="Times New Roman" w:cs="Times New Roman"/>
          <w:b w:val="0"/>
          <w:bCs w:val="0"/>
          <w:iCs/>
          <w:color w:val="000000" w:themeColor="text1"/>
        </w:rPr>
        <w:t xml:space="preserve">) and acrylic acid (AA, 99%+, stabilized with Hydroquinone </w:t>
      </w:r>
      <w:proofErr w:type="spellStart"/>
      <w:r w:rsidRPr="00742582">
        <w:rPr>
          <w:rFonts w:ascii="Times New Roman" w:hAnsi="Times New Roman" w:cs="Times New Roman"/>
          <w:b w:val="0"/>
          <w:bCs w:val="0"/>
          <w:iCs/>
          <w:color w:val="000000" w:themeColor="text1"/>
        </w:rPr>
        <w:t>monomethylether</w:t>
      </w:r>
      <w:proofErr w:type="spellEnd"/>
      <w:r w:rsidRPr="00742582">
        <w:rPr>
          <w:rFonts w:ascii="Times New Roman" w:hAnsi="Times New Roman" w:cs="Times New Roman"/>
          <w:b w:val="0"/>
          <w:bCs w:val="0"/>
          <w:iCs/>
          <w:color w:val="000000" w:themeColor="text1"/>
        </w:rPr>
        <w:t xml:space="preserve">) were purchased from TCI. 2-Hydroxyethyl Methacrylate (HEMA, 99%+), Methyl Benzoate (MB, 99%+), Tetrahydrofuran (THF, 99.5%, </w:t>
      </w:r>
      <w:proofErr w:type="spellStart"/>
      <w:r w:rsidRPr="00742582">
        <w:rPr>
          <w:rFonts w:ascii="Times New Roman" w:hAnsi="Times New Roman" w:cs="Times New Roman"/>
          <w:b w:val="0"/>
          <w:bCs w:val="0"/>
          <w:iCs/>
          <w:color w:val="000000" w:themeColor="text1"/>
        </w:rPr>
        <w:t>safedry</w:t>
      </w:r>
      <w:proofErr w:type="spellEnd"/>
      <w:r w:rsidRPr="00742582">
        <w:rPr>
          <w:rFonts w:ascii="Times New Roman" w:hAnsi="Times New Roman" w:cs="Times New Roman"/>
          <w:b w:val="0"/>
          <w:bCs w:val="0"/>
          <w:iCs/>
          <w:color w:val="000000" w:themeColor="text1"/>
        </w:rPr>
        <w:t xml:space="preserve">), Methanol (99.9%), petroleum ether and 2-hydroxy-2-methylpropiophenone were purchased from Adamas. Acetone and deionized water were purchased from Chengdu </w:t>
      </w:r>
      <w:proofErr w:type="spellStart"/>
      <w:r w:rsidRPr="00742582">
        <w:rPr>
          <w:rFonts w:ascii="Times New Roman" w:hAnsi="Times New Roman" w:cs="Times New Roman"/>
          <w:b w:val="0"/>
          <w:bCs w:val="0"/>
          <w:iCs/>
          <w:color w:val="000000" w:themeColor="text1"/>
        </w:rPr>
        <w:t>Kelong</w:t>
      </w:r>
      <w:proofErr w:type="spellEnd"/>
      <w:r w:rsidRPr="00742582">
        <w:rPr>
          <w:rFonts w:ascii="Times New Roman" w:hAnsi="Times New Roman" w:cs="Times New Roman"/>
          <w:b w:val="0"/>
          <w:bCs w:val="0"/>
          <w:iCs/>
          <w:color w:val="000000" w:themeColor="text1"/>
        </w:rPr>
        <w:t xml:space="preserve"> Chemical Reagent Factory. BA was further filtrated to remove the inhibitor through the basic alumina column, and all other chemicals were used as received. </w:t>
      </w:r>
    </w:p>
    <w:p w14:paraId="3A767356" w14:textId="77777777" w:rsidR="009E2C9C" w:rsidRPr="00D202E4" w:rsidRDefault="009E2C9C" w:rsidP="0099483A">
      <w:pPr>
        <w:pStyle w:val="af4"/>
        <w:rPr>
          <w:rFonts w:eastAsiaTheme="minorEastAsia" w:cs="Times New Roman"/>
          <w:color w:val="000000" w:themeColor="text1"/>
        </w:rPr>
      </w:pPr>
    </w:p>
    <w:p w14:paraId="6A3CC3DF" w14:textId="70E76EF5" w:rsidR="009E2C9C" w:rsidRDefault="009E2C9C" w:rsidP="0099483A">
      <w:pPr>
        <w:pStyle w:val="af4"/>
        <w:rPr>
          <w:rFonts w:eastAsiaTheme="minorEastAsia" w:cs="Times New Roman"/>
          <w:color w:val="000000" w:themeColor="text1"/>
        </w:rPr>
      </w:pPr>
      <w:r w:rsidRPr="00A52938">
        <w:rPr>
          <w:rFonts w:eastAsiaTheme="minorEastAsia" w:cs="Times New Roman"/>
          <w:b/>
          <w:bCs/>
          <w:color w:val="000000" w:themeColor="text1"/>
        </w:rPr>
        <w:t>General Characterization</w:t>
      </w:r>
      <w:r w:rsidR="00457956" w:rsidRPr="00A52938">
        <w:rPr>
          <w:rFonts w:eastAsiaTheme="minorEastAsia" w:cs="Times New Roman"/>
          <w:b/>
          <w:bCs/>
          <w:color w:val="000000" w:themeColor="text1"/>
        </w:rPr>
        <w:t>.</w:t>
      </w:r>
      <w:r w:rsidRPr="00A52938">
        <w:rPr>
          <w:rFonts w:eastAsiaTheme="minorEastAsia" w:cs="Times New Roman"/>
          <w:b/>
          <w:bCs/>
          <w:color w:val="000000" w:themeColor="text1"/>
        </w:rPr>
        <w:t xml:space="preserve"> </w:t>
      </w:r>
      <w:r w:rsidRPr="00A52938">
        <w:rPr>
          <w:rFonts w:eastAsiaTheme="minorEastAsia" w:cs="Times New Roman"/>
          <w:color w:val="000000" w:themeColor="text1"/>
        </w:rPr>
        <w:t>FTIR spectra were recorded on Nicolet iS10 (Nicolet, America) in the range of 4000- 500 cm</w:t>
      </w:r>
      <w:r w:rsidRPr="00A52938">
        <w:rPr>
          <w:rFonts w:eastAsiaTheme="minorEastAsia" w:cs="Times New Roman"/>
          <w:color w:val="000000" w:themeColor="text1"/>
          <w:vertAlign w:val="superscript"/>
        </w:rPr>
        <w:t>−1</w:t>
      </w:r>
      <w:r w:rsidRPr="00A52938">
        <w:rPr>
          <w:rFonts w:eastAsiaTheme="minorEastAsia" w:cs="Times New Roman"/>
          <w:color w:val="000000" w:themeColor="text1"/>
        </w:rPr>
        <w:t xml:space="preserve"> at room temperature. The sample in KBr sheet was heated from 20 °C to 80 °C at 2 </w:t>
      </w:r>
      <w:r w:rsidRPr="00A52938">
        <w:rPr>
          <w:rFonts w:eastAsia="华文宋体" w:cs="Times New Roman"/>
          <w:color w:val="000000" w:themeColor="text1"/>
        </w:rPr>
        <w:t>°C</w:t>
      </w:r>
      <w:r w:rsidRPr="00A52938">
        <w:rPr>
          <w:rFonts w:eastAsiaTheme="minorEastAsia" w:cs="Times New Roman"/>
          <w:color w:val="000000" w:themeColor="text1"/>
        </w:rPr>
        <w:t xml:space="preserve">/min to collect the </w:t>
      </w:r>
      <w:proofErr w:type="gramStart"/>
      <w:r w:rsidRPr="00A52938">
        <w:rPr>
          <w:rFonts w:eastAsiaTheme="minorEastAsia" w:cs="Times New Roman"/>
          <w:color w:val="000000" w:themeColor="text1"/>
        </w:rPr>
        <w:t>temperature-dependent</w:t>
      </w:r>
      <w:proofErr w:type="gramEnd"/>
      <w:r w:rsidRPr="00A52938">
        <w:rPr>
          <w:rFonts w:eastAsiaTheme="minorEastAsia" w:cs="Times New Roman"/>
          <w:color w:val="000000" w:themeColor="text1"/>
        </w:rPr>
        <w:t xml:space="preserve"> FTIR spectra. This procedure</w:t>
      </w:r>
      <w:r w:rsidRPr="00A52938">
        <w:rPr>
          <w:rFonts w:cs="Times New Roman"/>
          <w:color w:val="000000" w:themeColor="text1"/>
        </w:rPr>
        <w:t xml:space="preserve"> was carried out in a vacuum chamber and dewatered at 120 °C for 30 min in advance. </w:t>
      </w:r>
      <w:r w:rsidRPr="00A52938">
        <w:rPr>
          <w:rFonts w:eastAsiaTheme="minorEastAsia" w:cs="Times New Roman"/>
          <w:color w:val="000000" w:themeColor="text1"/>
        </w:rPr>
        <w:t>The collected spectra were further processed by 2DCS software to generate the synchronous and asynchronous 2D FTIR maps and PCMW spectrum.</w:t>
      </w:r>
      <w:r w:rsidRPr="00A52938">
        <w:rPr>
          <w:rFonts w:cs="Times New Roman"/>
          <w:color w:val="000000" w:themeColor="text1"/>
        </w:rPr>
        <w:t xml:space="preserve"> </w:t>
      </w:r>
      <w:r w:rsidRPr="00A52938">
        <w:rPr>
          <w:rFonts w:eastAsiaTheme="minorEastAsia" w:cs="Times New Roman"/>
          <w:color w:val="000000" w:themeColor="text1"/>
        </w:rPr>
        <w:t xml:space="preserve">The </w:t>
      </w:r>
      <w:r w:rsidRPr="00A52938">
        <w:rPr>
          <w:rFonts w:eastAsiaTheme="minorEastAsia" w:cs="Times New Roman"/>
          <w:color w:val="000000" w:themeColor="text1"/>
          <w:vertAlign w:val="superscript"/>
        </w:rPr>
        <w:t>1</w:t>
      </w:r>
      <w:r w:rsidRPr="00A52938">
        <w:rPr>
          <w:rFonts w:eastAsiaTheme="minorEastAsia" w:cs="Times New Roman"/>
          <w:color w:val="000000" w:themeColor="text1"/>
        </w:rPr>
        <w:t>H NMR spectra were measured on a Bruker AV III HD spectrometer operating at 400 MHz in deuterated methanol solution (for HBP) and deuterated dimethyl sulfoxide (for PBHAs) with TMS as reference.</w:t>
      </w:r>
      <w:r w:rsidRPr="00A52938">
        <w:rPr>
          <w:rFonts w:cs="Times New Roman"/>
          <w:color w:val="000000" w:themeColor="text1"/>
        </w:rPr>
        <w:t xml:space="preserve"> </w:t>
      </w:r>
      <w:r w:rsidRPr="00A52938">
        <w:rPr>
          <w:rFonts w:eastAsiaTheme="minorEastAsia" w:cs="Times New Roman"/>
          <w:color w:val="000000" w:themeColor="text1"/>
        </w:rPr>
        <w:t xml:space="preserve">Quantitative </w:t>
      </w:r>
      <w:r w:rsidRPr="00A52938">
        <w:rPr>
          <w:rFonts w:eastAsiaTheme="minorEastAsia" w:cs="Times New Roman"/>
          <w:color w:val="000000" w:themeColor="text1"/>
          <w:vertAlign w:val="superscript"/>
        </w:rPr>
        <w:t>13</w:t>
      </w:r>
      <w:r w:rsidRPr="00A52938">
        <w:rPr>
          <w:rFonts w:eastAsiaTheme="minorEastAsia" w:cs="Times New Roman"/>
          <w:color w:val="000000" w:themeColor="text1"/>
        </w:rPr>
        <w:t xml:space="preserve">C NMR spectra of HBP </w:t>
      </w:r>
      <w:proofErr w:type="gramStart"/>
      <w:r w:rsidRPr="00A52938">
        <w:rPr>
          <w:rFonts w:eastAsiaTheme="minorEastAsia" w:cs="Times New Roman"/>
          <w:color w:val="000000" w:themeColor="text1"/>
        </w:rPr>
        <w:t>was</w:t>
      </w:r>
      <w:proofErr w:type="gramEnd"/>
      <w:r w:rsidRPr="00A52938">
        <w:rPr>
          <w:rFonts w:eastAsiaTheme="minorEastAsia" w:cs="Times New Roman"/>
          <w:color w:val="000000" w:themeColor="text1"/>
        </w:rPr>
        <w:t xml:space="preserve"> measured by the method of inverse gated </w:t>
      </w:r>
      <w:r w:rsidRPr="00A52938">
        <w:rPr>
          <w:rFonts w:eastAsiaTheme="minorEastAsia" w:cs="Times New Roman"/>
          <w:color w:val="000000" w:themeColor="text1"/>
          <w:vertAlign w:val="superscript"/>
        </w:rPr>
        <w:t>1</w:t>
      </w:r>
      <w:r w:rsidRPr="00A52938">
        <w:rPr>
          <w:rFonts w:eastAsiaTheme="minorEastAsia" w:cs="Times New Roman"/>
          <w:color w:val="000000" w:themeColor="text1"/>
        </w:rPr>
        <w:t xml:space="preserve">H decoupling on a Bruker AV II spectrometer operating at 600 MHz in deuterated methanol solvent. </w:t>
      </w:r>
      <w:r w:rsidRPr="00A52938">
        <w:rPr>
          <w:rFonts w:eastAsiaTheme="minorEastAsia" w:cs="Times New Roman"/>
          <w:color w:val="000000" w:themeColor="text1"/>
          <w:vertAlign w:val="superscript"/>
        </w:rPr>
        <w:t>13</w:t>
      </w:r>
      <w:r w:rsidRPr="00A52938">
        <w:rPr>
          <w:rFonts w:eastAsiaTheme="minorEastAsia" w:cs="Times New Roman"/>
          <w:color w:val="000000" w:themeColor="text1"/>
        </w:rPr>
        <w:t xml:space="preserve">C, </w:t>
      </w:r>
      <w:r w:rsidRPr="00A52938">
        <w:rPr>
          <w:rFonts w:eastAsiaTheme="minorEastAsia" w:cs="Times New Roman"/>
          <w:color w:val="000000" w:themeColor="text1"/>
          <w:vertAlign w:val="superscript"/>
        </w:rPr>
        <w:t>1</w:t>
      </w:r>
      <w:r w:rsidRPr="00A52938">
        <w:rPr>
          <w:rFonts w:eastAsiaTheme="minorEastAsia" w:cs="Times New Roman"/>
          <w:color w:val="000000" w:themeColor="text1"/>
        </w:rPr>
        <w:t xml:space="preserve">H-HSQC spectra were recorded using the standard pulse sequence provided by Bruker. The dynamic light scattering tests of HBP in 0.5 mg/mL ethanol solution was performed on a </w:t>
      </w:r>
      <w:proofErr w:type="spellStart"/>
      <w:r w:rsidRPr="00A52938">
        <w:rPr>
          <w:rFonts w:eastAsiaTheme="minorEastAsia" w:cs="Times New Roman"/>
          <w:color w:val="000000" w:themeColor="text1"/>
        </w:rPr>
        <w:t>Zetasizer</w:t>
      </w:r>
      <w:proofErr w:type="spellEnd"/>
      <w:r w:rsidRPr="00A52938">
        <w:rPr>
          <w:rFonts w:eastAsiaTheme="minorEastAsia" w:cs="Times New Roman"/>
          <w:color w:val="000000" w:themeColor="text1"/>
        </w:rPr>
        <w:t xml:space="preserve"> Nano analyzer (Malvern </w:t>
      </w:r>
      <w:proofErr w:type="spellStart"/>
      <w:r w:rsidRPr="00A52938">
        <w:rPr>
          <w:rFonts w:eastAsiaTheme="minorEastAsia" w:cs="Times New Roman"/>
          <w:color w:val="000000" w:themeColor="text1"/>
        </w:rPr>
        <w:t>Masterizer</w:t>
      </w:r>
      <w:proofErr w:type="spellEnd"/>
      <w:r w:rsidRPr="00A52938">
        <w:rPr>
          <w:rFonts w:eastAsiaTheme="minorEastAsia" w:cs="Times New Roman"/>
          <w:color w:val="000000" w:themeColor="text1"/>
        </w:rPr>
        <w:t xml:space="preserve"> 2000),</w:t>
      </w:r>
      <w:r w:rsidRPr="00A52938">
        <w:rPr>
          <w:rFonts w:cs="Times New Roman"/>
          <w:color w:val="000000" w:themeColor="text1"/>
        </w:rPr>
        <w:t xml:space="preserve"> demonstrates its </w:t>
      </w:r>
      <w:r w:rsidRPr="00A52938">
        <w:rPr>
          <w:rFonts w:eastAsiaTheme="minorEastAsia" w:cs="Times New Roman"/>
          <w:color w:val="000000" w:themeColor="text1"/>
        </w:rPr>
        <w:t>distribution and average value of particle size. The molecular weight was measured by gel permeation chromatography (GPC) with dimethylformamide (DMF) as the eluent.</w:t>
      </w:r>
      <w:r w:rsidRPr="00A52938">
        <w:rPr>
          <w:rFonts w:cs="Times New Roman"/>
          <w:color w:val="000000" w:themeColor="text1"/>
        </w:rPr>
        <w:t xml:space="preserve"> </w:t>
      </w:r>
      <w:r w:rsidRPr="00A52938">
        <w:rPr>
          <w:rFonts w:eastAsiaTheme="minorEastAsia" w:cs="Times New Roman"/>
          <w:color w:val="000000" w:themeColor="text1"/>
        </w:rPr>
        <w:t xml:space="preserve">The </w:t>
      </w:r>
      <w:r w:rsidRPr="00A52938">
        <w:rPr>
          <w:rFonts w:cs="Times New Roman"/>
          <w:color w:val="000000" w:themeColor="text1"/>
        </w:rPr>
        <w:t>thermal gravimetric analysis</w:t>
      </w:r>
      <w:r w:rsidRPr="00A52938">
        <w:rPr>
          <w:rFonts w:eastAsiaTheme="minorEastAsia" w:cs="Times New Roman"/>
          <w:color w:val="000000" w:themeColor="text1"/>
        </w:rPr>
        <w:t xml:space="preserve"> (TGA) tests were measured by heating the sample from 35 °C to 650 °C at a rate of 10 °C/min on a TA Q500. The</w:t>
      </w:r>
      <w:r w:rsidRPr="00A52938">
        <w:rPr>
          <w:rFonts w:cs="Times New Roman"/>
          <w:color w:val="000000" w:themeColor="text1"/>
        </w:rPr>
        <w:t xml:space="preserve"> </w:t>
      </w:r>
      <w:r w:rsidRPr="00A52938">
        <w:rPr>
          <w:rFonts w:eastAsiaTheme="minorEastAsia" w:cs="Times New Roman"/>
          <w:color w:val="000000" w:themeColor="text1"/>
        </w:rPr>
        <w:t xml:space="preserve">positron annihilation lifetime spectroscopy (PALS) was measured at room temperature through a fast-fast coincidence system with a time resolution of 220 ps. The samples with dimension of 10×10×2 mm </w:t>
      </w:r>
      <w:proofErr w:type="gramStart"/>
      <w:r w:rsidRPr="00A52938">
        <w:rPr>
          <w:rFonts w:eastAsiaTheme="minorEastAsia" w:cs="Times New Roman"/>
          <w:color w:val="000000" w:themeColor="text1"/>
        </w:rPr>
        <w:t>were</w:t>
      </w:r>
      <w:proofErr w:type="gramEnd"/>
      <w:r w:rsidRPr="00A52938">
        <w:rPr>
          <w:rFonts w:eastAsiaTheme="minorEastAsia" w:cs="Times New Roman"/>
          <w:color w:val="000000" w:themeColor="text1"/>
        </w:rPr>
        <w:t xml:space="preserve"> sandwiched with a 30 </w:t>
      </w:r>
      <w:proofErr w:type="spellStart"/>
      <w:r w:rsidRPr="00A52938">
        <w:rPr>
          <w:rFonts w:eastAsiaTheme="minorEastAsia" w:cs="Times New Roman"/>
          <w:color w:val="000000" w:themeColor="text1"/>
        </w:rPr>
        <w:t>μCi</w:t>
      </w:r>
      <w:proofErr w:type="spellEnd"/>
      <w:r w:rsidRPr="00A52938">
        <w:rPr>
          <w:rFonts w:eastAsiaTheme="minorEastAsia" w:cs="Times New Roman"/>
          <w:color w:val="000000" w:themeColor="text1"/>
        </w:rPr>
        <w:t xml:space="preserve"> (</w:t>
      </w:r>
      <w:r w:rsidRPr="00A52938">
        <w:rPr>
          <w:rFonts w:eastAsiaTheme="minorEastAsia" w:cs="Times New Roman"/>
          <w:color w:val="000000" w:themeColor="text1"/>
          <w:vertAlign w:val="superscript"/>
        </w:rPr>
        <w:t>22</w:t>
      </w:r>
      <w:r w:rsidRPr="00A52938">
        <w:rPr>
          <w:rFonts w:eastAsiaTheme="minorEastAsia" w:cs="Times New Roman"/>
          <w:color w:val="000000" w:themeColor="text1"/>
        </w:rPr>
        <w:t>Na) positron source. X-ray diffraction (XRD) experiments studies on THG were carried out on a Rigaku Xray diffractometer (Ultima IV) equipped with parallel beam optics attachment.</w:t>
      </w:r>
      <w:r w:rsidRPr="00A52938">
        <w:rPr>
          <w:rFonts w:cs="Times New Roman"/>
          <w:color w:val="000000" w:themeColor="text1"/>
        </w:rPr>
        <w:t xml:space="preserve"> </w:t>
      </w:r>
      <w:r w:rsidRPr="00A52938">
        <w:rPr>
          <w:rFonts w:eastAsiaTheme="minorEastAsia" w:cs="Times New Roman"/>
          <w:color w:val="000000" w:themeColor="text1"/>
        </w:rPr>
        <w:t xml:space="preserve">DMA tests were measured on TA Q800 in the tension mode with the sample dimension about </w:t>
      </w:r>
      <w:r w:rsidRPr="00A52938">
        <w:rPr>
          <w:rFonts w:eastAsiaTheme="minorEastAsia" w:cs="Times New Roman"/>
          <w:color w:val="000000" w:themeColor="text1"/>
        </w:rPr>
        <w:lastRenderedPageBreak/>
        <w:t>20×5×1 mm</w:t>
      </w:r>
      <w:r w:rsidRPr="00A52938">
        <w:rPr>
          <w:rFonts w:eastAsiaTheme="minorEastAsia" w:cs="Times New Roman"/>
          <w:color w:val="000000" w:themeColor="text1"/>
          <w:vertAlign w:val="superscript"/>
        </w:rPr>
        <w:t>3</w:t>
      </w:r>
      <w:r w:rsidRPr="00A52938">
        <w:rPr>
          <w:rFonts w:eastAsiaTheme="minorEastAsia" w:cs="Times New Roman"/>
          <w:color w:val="000000" w:themeColor="text1"/>
        </w:rPr>
        <w:t xml:space="preserve">. The tests were performed in the temperature scanning mode in the range of -50 °C to 150 °C at a ramping rate of 3 °C/min and a frequency of 1 Hz with a strain amplitude of 30 </w:t>
      </w:r>
      <w:proofErr w:type="spellStart"/>
      <w:r w:rsidRPr="00A52938">
        <w:rPr>
          <w:rFonts w:eastAsiaTheme="minorEastAsia" w:cs="Times New Roman"/>
          <w:color w:val="000000" w:themeColor="text1"/>
        </w:rPr>
        <w:t>μm</w:t>
      </w:r>
      <w:proofErr w:type="spellEnd"/>
      <w:r w:rsidRPr="00A52938">
        <w:rPr>
          <w:rFonts w:eastAsiaTheme="minorEastAsia" w:cs="Times New Roman"/>
          <w:color w:val="000000" w:themeColor="text1"/>
        </w:rPr>
        <w:t xml:space="preserve">. Dielectric measurements were made in two different patterns on a </w:t>
      </w:r>
      <w:proofErr w:type="spellStart"/>
      <w:r w:rsidRPr="00A52938">
        <w:rPr>
          <w:rFonts w:eastAsiaTheme="minorEastAsia" w:cs="Times New Roman"/>
          <w:color w:val="000000" w:themeColor="text1"/>
        </w:rPr>
        <w:t>Novocontrol</w:t>
      </w:r>
      <w:proofErr w:type="spellEnd"/>
      <w:r w:rsidRPr="00A52938">
        <w:rPr>
          <w:rFonts w:eastAsiaTheme="minorEastAsia" w:cs="Times New Roman"/>
          <w:color w:val="000000" w:themeColor="text1"/>
        </w:rPr>
        <w:t xml:space="preserve"> Concept 50 system with an Alpha impedance analyzer and Quatro </w:t>
      </w:r>
      <w:proofErr w:type="spellStart"/>
      <w:r w:rsidRPr="00A52938">
        <w:rPr>
          <w:rFonts w:eastAsiaTheme="minorEastAsia" w:cs="Times New Roman"/>
          <w:color w:val="000000" w:themeColor="text1"/>
        </w:rPr>
        <w:t>Cryosystem</w:t>
      </w:r>
      <w:proofErr w:type="spellEnd"/>
      <w:r w:rsidRPr="00A52938">
        <w:rPr>
          <w:rFonts w:eastAsiaTheme="minorEastAsia" w:cs="Times New Roman"/>
          <w:color w:val="000000" w:themeColor="text1"/>
        </w:rPr>
        <w:t xml:space="preserve"> temperature control. The frequency sweep model used a frequency range of 10</w:t>
      </w:r>
      <w:r w:rsidRPr="00A52938">
        <w:rPr>
          <w:rFonts w:eastAsiaTheme="minorEastAsia" w:cs="Times New Roman"/>
          <w:color w:val="000000" w:themeColor="text1"/>
          <w:vertAlign w:val="superscript"/>
        </w:rPr>
        <w:t>-1</w:t>
      </w:r>
      <w:r w:rsidRPr="00A52938">
        <w:rPr>
          <w:rFonts w:eastAsiaTheme="minorEastAsia" w:cs="Times New Roman"/>
          <w:color w:val="000000" w:themeColor="text1"/>
        </w:rPr>
        <w:t xml:space="preserve"> to 10</w:t>
      </w:r>
      <w:r w:rsidRPr="00A52938">
        <w:rPr>
          <w:rFonts w:eastAsiaTheme="minorEastAsia" w:cs="Times New Roman"/>
          <w:color w:val="000000" w:themeColor="text1"/>
          <w:vertAlign w:val="superscript"/>
        </w:rPr>
        <w:t>6</w:t>
      </w:r>
      <w:r w:rsidRPr="00A52938">
        <w:rPr>
          <w:rFonts w:eastAsiaTheme="minorEastAsia" w:cs="Times New Roman"/>
          <w:color w:val="000000" w:themeColor="text1"/>
        </w:rPr>
        <w:t xml:space="preserve"> Hz at each temperature point from -20 to 90 °C with 10 °C intervals, and the temperature stability was better than 0.1 K. Disk-shaped films with a thickness of 1 mm and a diameter of 10 mm were placed in two parallel electrodes to perform the tests. Mechanical performances were measured on an Instron 5967 tensile tester at room temperature with a strain rate of 10 mm/min. </w:t>
      </w:r>
      <w:bookmarkStart w:id="5" w:name="OLE_LINK15"/>
      <w:r w:rsidRPr="00A52938">
        <w:rPr>
          <w:rFonts w:eastAsiaTheme="minorEastAsia" w:cs="Times New Roman"/>
          <w:color w:val="000000" w:themeColor="text1"/>
        </w:rPr>
        <w:t>The test samples were dumbbell-shaped sheets with dimensions of 35×2</w:t>
      </w:r>
      <w:bookmarkStart w:id="6" w:name="_Hlk97029094"/>
      <w:r w:rsidRPr="00A52938">
        <w:rPr>
          <w:rFonts w:eastAsiaTheme="minorEastAsia" w:cs="Times New Roman"/>
          <w:color w:val="000000" w:themeColor="text1"/>
        </w:rPr>
        <w:t>×</w:t>
      </w:r>
      <w:bookmarkEnd w:id="6"/>
      <w:r w:rsidRPr="00A52938">
        <w:rPr>
          <w:rFonts w:eastAsiaTheme="minorEastAsia" w:cs="Times New Roman"/>
          <w:color w:val="000000" w:themeColor="text1"/>
        </w:rPr>
        <w:t>1 mm</w:t>
      </w:r>
      <w:r w:rsidRPr="00A52938">
        <w:rPr>
          <w:rFonts w:eastAsiaTheme="minorEastAsia" w:cs="Times New Roman"/>
          <w:color w:val="000000" w:themeColor="text1"/>
          <w:vertAlign w:val="superscript"/>
        </w:rPr>
        <w:t>3</w:t>
      </w:r>
      <w:r w:rsidRPr="00A52938">
        <w:rPr>
          <w:rFonts w:eastAsiaTheme="minorEastAsia" w:cs="Times New Roman"/>
          <w:color w:val="000000" w:themeColor="text1"/>
        </w:rPr>
        <w:t xml:space="preserve">. The recycled samples were obtained by re-molding at 120°C after breaking THG into pieces. </w:t>
      </w:r>
    </w:p>
    <w:p w14:paraId="7998A82F" w14:textId="77777777" w:rsidR="00742582" w:rsidRPr="00A52938" w:rsidRDefault="00742582" w:rsidP="0099483A">
      <w:pPr>
        <w:pStyle w:val="af4"/>
        <w:rPr>
          <w:rFonts w:eastAsiaTheme="minorEastAsia" w:cs="Times New Roman"/>
          <w:b/>
          <w:bCs/>
          <w:color w:val="000000" w:themeColor="text1"/>
        </w:rPr>
      </w:pPr>
    </w:p>
    <w:p w14:paraId="6337889A" w14:textId="20596720" w:rsidR="009E2C9C" w:rsidRPr="00D202E4" w:rsidRDefault="00457956" w:rsidP="0099483A">
      <w:pPr>
        <w:pStyle w:val="ad"/>
        <w:spacing w:before="240"/>
        <w:rPr>
          <w:color w:val="000000" w:themeColor="text1"/>
        </w:rPr>
      </w:pPr>
      <w:bookmarkStart w:id="7" w:name="_Toc111924616"/>
      <w:bookmarkStart w:id="8" w:name="_Hlk113217632"/>
      <w:bookmarkEnd w:id="5"/>
      <w:r w:rsidRPr="00457956">
        <w:rPr>
          <w:color w:val="000000" w:themeColor="text1"/>
        </w:rPr>
        <w:t xml:space="preserve">Supplementary </w:t>
      </w:r>
      <w:r w:rsidR="009E2C9C" w:rsidRPr="00D202E4">
        <w:rPr>
          <w:color w:val="000000" w:themeColor="text1"/>
        </w:rPr>
        <w:t>Theoretical calculation</w:t>
      </w:r>
      <w:bookmarkEnd w:id="7"/>
    </w:p>
    <w:p w14:paraId="64805748" w14:textId="77777777" w:rsidR="009E2C9C" w:rsidRPr="00A52938" w:rsidRDefault="009E2C9C" w:rsidP="0099483A">
      <w:pPr>
        <w:pStyle w:val="ae"/>
        <w:rPr>
          <w:rFonts w:ascii="Times New Roman" w:hAnsi="Times New Roman" w:cs="Times New Roman"/>
          <w:iCs/>
          <w:color w:val="000000" w:themeColor="text1"/>
        </w:rPr>
      </w:pPr>
      <w:bookmarkStart w:id="9" w:name="_Toc111924617"/>
      <w:bookmarkEnd w:id="8"/>
      <w:r w:rsidRPr="00A52938">
        <w:rPr>
          <w:rFonts w:ascii="Times New Roman" w:hAnsi="Times New Roman" w:cs="Times New Roman"/>
          <w:iCs/>
          <w:color w:val="000000" w:themeColor="text1"/>
        </w:rPr>
        <w:t>Degree of branching (DB).</w:t>
      </w:r>
      <w:bookmarkEnd w:id="9"/>
    </w:p>
    <w:p w14:paraId="2AA14F1B" w14:textId="07220C09"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The degree of branching can be calculated by the following equation:</w:t>
      </w:r>
      <w:r w:rsidR="00C360AF">
        <w:rPr>
          <w:rFonts w:cs="Times New Roman"/>
          <w:color w:val="000000" w:themeColor="text1"/>
          <w:vertAlign w:val="superscript"/>
        </w:rPr>
        <w:fldChar w:fldCharType="begin"/>
      </w:r>
      <w:r w:rsidR="00C360AF">
        <w:rPr>
          <w:rFonts w:cs="Times New Roman"/>
          <w:color w:val="000000" w:themeColor="text1"/>
          <w:vertAlign w:val="superscript"/>
        </w:rPr>
        <w:instrText xml:space="preserve"> ADDIN EN.CITE &lt;EndNote&gt;&lt;Cite&gt;&lt;Author&gt;Jia&lt;/Author&gt;&lt;Year&gt;2006&lt;/Year&gt;&lt;RecNum&gt;55&lt;/RecNum&gt;&lt;DisplayText&gt;&lt;style face="superscript"&gt;1&lt;/style&gt;&lt;/DisplayText&gt;&lt;record&gt;&lt;rec-number&gt;55&lt;/rec-number&gt;&lt;foreign-keys&gt;&lt;key app="EN" db-id="22wapd0sdtazr4ed0e8vwz5rtwzz9vetdxv2" timestamp="1662297684"&gt;55&lt;/key&gt;&lt;/foreign-keys&gt;&lt;ref-type name="Journal Article"&gt;17&lt;/ref-type&gt;&lt;contributors&gt;&lt;authors&gt;&lt;author&gt;Jia, Zhifeng&lt;/author&gt;&lt;author&gt;Chen, Hao&lt;/author&gt;&lt;author&gt;Zhu, Xinyuan&lt;/author&gt;&lt;author&gt;Yan, Deyue&lt;/author&gt;&lt;/authors&gt;&lt;/contributors&gt;&lt;titles&gt;&lt;title&gt;Backbone-thermoresponsive hyperbranched polyethers&lt;/title&gt;&lt;secondary-title&gt;Journal of the American Chemical Society&lt;/secondary-title&gt;&lt;/titles&gt;&lt;periodical&gt;&lt;full-title&gt;Journal of the American Chemical Society&lt;/full-title&gt;&lt;/periodical&gt;&lt;pages&gt;8144-8145&lt;/pages&gt;&lt;volume&gt;128&lt;/volume&gt;&lt;number&gt;25&lt;/number&gt;&lt;dates&gt;&lt;year&gt;2006&lt;/year&gt;&lt;/dates&gt;&lt;isbn&gt;0002-7863&lt;/isbn&gt;&lt;urls&gt;&lt;/urls&gt;&lt;/record&gt;&lt;/Cite&gt;&lt;/EndNote&gt;</w:instrText>
      </w:r>
      <w:r w:rsidR="00C360AF">
        <w:rPr>
          <w:rFonts w:cs="Times New Roman"/>
          <w:color w:val="000000" w:themeColor="text1"/>
          <w:vertAlign w:val="superscript"/>
        </w:rPr>
        <w:fldChar w:fldCharType="separate"/>
      </w:r>
      <w:r w:rsidR="00C360AF">
        <w:rPr>
          <w:rFonts w:cs="Times New Roman"/>
          <w:noProof/>
          <w:color w:val="000000" w:themeColor="text1"/>
          <w:vertAlign w:val="superscript"/>
        </w:rPr>
        <w:t>1</w:t>
      </w:r>
      <w:r w:rsidR="00C360AF">
        <w:rPr>
          <w:rFonts w:cs="Times New Roman"/>
          <w:color w:val="000000" w:themeColor="text1"/>
          <w:vertAlign w:val="superscript"/>
        </w:rPr>
        <w:fldChar w:fldCharType="end"/>
      </w:r>
    </w:p>
    <w:p w14:paraId="09649282" w14:textId="77777777" w:rsidR="009E2C9C" w:rsidRPr="00D202E4" w:rsidRDefault="009E2C9C" w:rsidP="0099483A">
      <w:pPr>
        <w:widowControl/>
        <w:spacing w:beforeLines="50" w:before="120" w:afterLines="50" w:after="120" w:line="240" w:lineRule="auto"/>
        <w:ind w:firstLineChars="0" w:firstLine="0"/>
        <w:jc w:val="left"/>
        <w:rPr>
          <w:rFonts w:cs="Times New Roman"/>
          <w:color w:val="000000" w:themeColor="text1"/>
        </w:rPr>
      </w:pPr>
      <m:oMathPara>
        <m:oMathParaPr>
          <m:jc m:val="center"/>
        </m:oMathParaPr>
        <m:oMath>
          <m:r>
            <w:rPr>
              <w:rFonts w:ascii="Cambria Math" w:hAnsi="Cambria Math" w:cs="Times New Roman"/>
              <w:color w:val="000000" w:themeColor="text1"/>
            </w:rPr>
            <m:t>DB</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T</m:t>
              </m:r>
            </m:num>
            <m:den>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L</m:t>
              </m:r>
            </m:den>
          </m:f>
        </m:oMath>
      </m:oMathPara>
    </w:p>
    <w:p w14:paraId="72553494"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where D, T, L represent the fractions of the dendritic unit, terminal </w:t>
      </w:r>
      <w:proofErr w:type="gramStart"/>
      <w:r w:rsidRPr="00D202E4">
        <w:rPr>
          <w:rFonts w:cs="Times New Roman"/>
          <w:color w:val="000000" w:themeColor="text1"/>
        </w:rPr>
        <w:t>unit</w:t>
      </w:r>
      <w:proofErr w:type="gramEnd"/>
      <w:r w:rsidRPr="00D202E4">
        <w:rPr>
          <w:rFonts w:cs="Times New Roman"/>
          <w:color w:val="000000" w:themeColor="text1"/>
        </w:rPr>
        <w:t xml:space="preserve"> and linear unit, respectively, calculated from the integral proportions of the corresponding peaks 4', 4, and 4'' in the quantitative </w:t>
      </w:r>
      <w:r w:rsidRPr="00D202E4">
        <w:rPr>
          <w:rFonts w:cs="Times New Roman"/>
          <w:color w:val="000000" w:themeColor="text1"/>
          <w:vertAlign w:val="superscript"/>
        </w:rPr>
        <w:t>1</w:t>
      </w:r>
      <w:r w:rsidRPr="00D202E4">
        <w:rPr>
          <w:rFonts w:cs="Times New Roman"/>
          <w:color w:val="000000" w:themeColor="text1"/>
        </w:rPr>
        <w:t>H NMR spectrum.</w:t>
      </w:r>
    </w:p>
    <w:p w14:paraId="49CF0A2D" w14:textId="77777777" w:rsidR="009E2C9C" w:rsidRPr="00D202E4" w:rsidRDefault="009E2C9C" w:rsidP="0099483A">
      <w:pPr>
        <w:widowControl/>
        <w:ind w:firstLineChars="0" w:firstLine="0"/>
        <w:jc w:val="left"/>
        <w:rPr>
          <w:rFonts w:cs="Times New Roman"/>
          <w:color w:val="000000" w:themeColor="text1"/>
        </w:rPr>
      </w:pPr>
    </w:p>
    <w:p w14:paraId="26C6364B" w14:textId="77777777" w:rsidR="009E2C9C" w:rsidRPr="00A52938" w:rsidRDefault="009E2C9C" w:rsidP="0099483A">
      <w:pPr>
        <w:pStyle w:val="ae"/>
        <w:rPr>
          <w:rFonts w:ascii="Times New Roman" w:hAnsi="Times New Roman" w:cs="Times New Roman"/>
          <w:iCs/>
          <w:color w:val="000000" w:themeColor="text1"/>
        </w:rPr>
      </w:pPr>
      <w:bookmarkStart w:id="10" w:name="_Toc111924618"/>
      <w:r w:rsidRPr="00A52938">
        <w:rPr>
          <w:rFonts w:ascii="Times New Roman" w:hAnsi="Times New Roman" w:cs="Times New Roman"/>
          <w:iCs/>
          <w:color w:val="000000" w:themeColor="text1"/>
        </w:rPr>
        <w:t>Positron Annihilation Lifetime Spectroscopy Analysis.</w:t>
      </w:r>
      <w:bookmarkEnd w:id="10"/>
      <w:r w:rsidRPr="00A52938">
        <w:rPr>
          <w:rFonts w:ascii="Times New Roman" w:hAnsi="Times New Roman" w:cs="Times New Roman"/>
          <w:iCs/>
          <w:color w:val="000000" w:themeColor="text1"/>
        </w:rPr>
        <w:t xml:space="preserve">  </w:t>
      </w:r>
    </w:p>
    <w:p w14:paraId="1D1D9BD6" w14:textId="21E6AADE"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Each lifetime spectrum contains 2×10</w:t>
      </w:r>
      <w:r w:rsidRPr="00D202E4">
        <w:rPr>
          <w:rFonts w:cs="Times New Roman"/>
          <w:color w:val="000000" w:themeColor="text1"/>
          <w:vertAlign w:val="superscript"/>
        </w:rPr>
        <w:t>6</w:t>
      </w:r>
      <w:r w:rsidRPr="00D202E4">
        <w:rPr>
          <w:rFonts w:cs="Times New Roman"/>
          <w:color w:val="000000" w:themeColor="text1"/>
        </w:rPr>
        <w:t xml:space="preserve"> total counts at a count rate of 600 counts/s. Each lifetime spectrum can be decomposed into three discrete lifetime components using program LTv9.</w:t>
      </w:r>
      <w:r w:rsidR="00383691">
        <w:rPr>
          <w:rFonts w:cs="Times New Roman"/>
          <w:color w:val="000000" w:themeColor="text1"/>
          <w:vertAlign w:val="superscript"/>
        </w:rPr>
        <w:fldChar w:fldCharType="begin"/>
      </w:r>
      <w:r w:rsidR="00383691">
        <w:rPr>
          <w:rFonts w:cs="Times New Roman"/>
          <w:color w:val="000000" w:themeColor="text1"/>
          <w:vertAlign w:val="superscript"/>
        </w:rPr>
        <w:instrText xml:space="preserve"> ADDIN EN.CITE &lt;EndNote&gt;&lt;Cite&gt;&lt;Author&gt;Kansy&lt;/Author&gt;&lt;Year&gt;1996&lt;/Year&gt;&lt;RecNum&gt;56&lt;/RecNum&gt;&lt;DisplayText&gt;&lt;style face="superscript"&gt;2&lt;/style&gt;&lt;/DisplayText&gt;&lt;record&gt;&lt;rec-number&gt;56&lt;/rec-number&gt;&lt;foreign-keys&gt;&lt;key app="EN" db-id="22wapd0sdtazr4ed0e8vwz5rtwzz9vetdxv2" timestamp="1662297921"&gt;56&lt;/key&gt;&lt;/foreign-keys&gt;&lt;ref-type name="Journal Article"&gt;17&lt;/ref-type&gt;&lt;contributors&gt;&lt;authors&gt;&lt;author&gt;Kansy, J&lt;/author&gt;&lt;/authors&gt;&lt;/contributors&gt;&lt;titles&gt;&lt;title&gt;Microcomputer program for analysis of positron annihilation lifetime spectra&lt;/title&gt;&lt;secondary-title&gt;Nuclear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235-244&lt;/pages&gt;&lt;volume&gt;374&lt;/volume&gt;&lt;number&gt;2&lt;/number&gt;&lt;dates&gt;&lt;year&gt;1996&lt;/year&gt;&lt;/dates&gt;&lt;isbn&gt;0168-9002&lt;/isbn&gt;&lt;urls&gt;&lt;/urls&gt;&lt;/record&gt;&lt;/Cite&gt;&lt;/EndNote&gt;</w:instrText>
      </w:r>
      <w:r w:rsidR="00383691">
        <w:rPr>
          <w:rFonts w:cs="Times New Roman"/>
          <w:color w:val="000000" w:themeColor="text1"/>
          <w:vertAlign w:val="superscript"/>
        </w:rPr>
        <w:fldChar w:fldCharType="separate"/>
      </w:r>
      <w:r w:rsidR="00383691">
        <w:rPr>
          <w:rFonts w:cs="Times New Roman"/>
          <w:noProof/>
          <w:color w:val="000000" w:themeColor="text1"/>
          <w:vertAlign w:val="superscript"/>
        </w:rPr>
        <w:t>2</w:t>
      </w:r>
      <w:r w:rsidR="00383691">
        <w:rPr>
          <w:rFonts w:cs="Times New Roman"/>
          <w:color w:val="000000" w:themeColor="text1"/>
          <w:vertAlign w:val="superscript"/>
        </w:rPr>
        <w:fldChar w:fldCharType="end"/>
      </w:r>
      <w:r w:rsidRPr="00D202E4">
        <w:rPr>
          <w:rFonts w:cs="Times New Roman"/>
          <w:color w:val="000000" w:themeColor="text1"/>
          <w:vertAlign w:val="superscript"/>
        </w:rPr>
        <w:t xml:space="preserve"> </w:t>
      </w:r>
      <w:r w:rsidRPr="00D202E4">
        <w:rPr>
          <w:rFonts w:cs="Times New Roman"/>
          <w:color w:val="000000" w:themeColor="text1"/>
        </w:rPr>
        <w:t xml:space="preserve">The first lifetime component </w:t>
      </w:r>
      <w:r w:rsidRPr="00D202E4">
        <w:rPr>
          <w:rFonts w:cs="Times New Roman"/>
          <w:i/>
          <w:iCs/>
          <w:color w:val="000000" w:themeColor="text1"/>
        </w:rPr>
        <w:t>τ</w:t>
      </w:r>
      <w:r w:rsidRPr="00D202E4">
        <w:rPr>
          <w:rFonts w:cs="Times New Roman"/>
          <w:i/>
          <w:iCs/>
          <w:color w:val="000000" w:themeColor="text1"/>
          <w:vertAlign w:val="subscript"/>
        </w:rPr>
        <w:t>1</w:t>
      </w:r>
      <w:r w:rsidRPr="00D202E4">
        <w:rPr>
          <w:rFonts w:cs="Times New Roman"/>
          <w:color w:val="000000" w:themeColor="text1"/>
        </w:rPr>
        <w:t xml:space="preserve"> and the second lifetime component </w:t>
      </w:r>
      <w:r w:rsidRPr="00D202E4">
        <w:rPr>
          <w:rFonts w:cs="Times New Roman"/>
          <w:i/>
          <w:iCs/>
          <w:color w:val="000000" w:themeColor="text1"/>
        </w:rPr>
        <w:t>τ</w:t>
      </w:r>
      <w:r w:rsidRPr="00D202E4">
        <w:rPr>
          <w:rFonts w:cs="Times New Roman"/>
          <w:i/>
          <w:iCs/>
          <w:color w:val="000000" w:themeColor="text1"/>
          <w:vertAlign w:val="subscript"/>
        </w:rPr>
        <w:t>2</w:t>
      </w:r>
      <w:r w:rsidRPr="00D202E4">
        <w:rPr>
          <w:rFonts w:cs="Times New Roman"/>
          <w:color w:val="000000" w:themeColor="text1"/>
        </w:rPr>
        <w:t xml:space="preserve"> are attributed to </w:t>
      </w:r>
      <w:r w:rsidRPr="00D202E4">
        <w:rPr>
          <w:rFonts w:cs="Times New Roman"/>
          <w:i/>
          <w:iCs/>
          <w:color w:val="000000" w:themeColor="text1"/>
        </w:rPr>
        <w:t>p</w:t>
      </w:r>
      <w:r w:rsidRPr="00D202E4">
        <w:rPr>
          <w:rFonts w:cs="Times New Roman"/>
          <w:color w:val="000000" w:themeColor="text1"/>
        </w:rPr>
        <w:t>-Ps (para-positronium) annihilation and direct annihilation of positrons. And the third lifetime component</w:t>
      </w:r>
      <w:r w:rsidRPr="00D202E4">
        <w:rPr>
          <w:rFonts w:cs="Times New Roman"/>
          <w:i/>
          <w:iCs/>
          <w:color w:val="000000" w:themeColor="text1"/>
        </w:rPr>
        <w:t xml:space="preserve"> τ</w:t>
      </w:r>
      <w:r w:rsidRPr="00D202E4">
        <w:rPr>
          <w:rFonts w:cs="Times New Roman"/>
          <w:i/>
          <w:iCs/>
          <w:color w:val="000000" w:themeColor="text1"/>
          <w:vertAlign w:val="subscript"/>
        </w:rPr>
        <w:t>3</w:t>
      </w:r>
      <w:r w:rsidRPr="00D202E4">
        <w:rPr>
          <w:rFonts w:cs="Times New Roman"/>
          <w:color w:val="000000" w:themeColor="text1"/>
        </w:rPr>
        <w:t xml:space="preserve"> is attributed to the </w:t>
      </w:r>
      <w:r w:rsidRPr="00D202E4">
        <w:rPr>
          <w:rFonts w:cs="Times New Roman"/>
          <w:i/>
          <w:iCs/>
          <w:color w:val="000000" w:themeColor="text1"/>
        </w:rPr>
        <w:t>o</w:t>
      </w:r>
      <w:r w:rsidRPr="00D202E4">
        <w:rPr>
          <w:rFonts w:cs="Times New Roman"/>
          <w:color w:val="000000" w:themeColor="text1"/>
        </w:rPr>
        <w:t xml:space="preserve">-Ps (ortho-positronium) annihilation. The free volume is assumed as a spherical potential which is well surrounded by an electron layer of thickness </w:t>
      </w:r>
      <w:r w:rsidRPr="00D202E4">
        <w:rPr>
          <w:rFonts w:cs="Times New Roman"/>
          <w:i/>
          <w:iCs/>
          <w:color w:val="000000" w:themeColor="text1"/>
        </w:rPr>
        <w:t>ΔR</w:t>
      </w:r>
      <w:r w:rsidRPr="00D202E4">
        <w:rPr>
          <w:rFonts w:cs="Times New Roman"/>
          <w:color w:val="000000" w:themeColor="text1"/>
        </w:rPr>
        <w:t>. The radius of the free-volume holes can be calculated through the following semi-empirical equation:</w:t>
      </w:r>
      <w:r w:rsidR="00383691">
        <w:rPr>
          <w:rFonts w:cs="Times New Roman"/>
          <w:color w:val="000000" w:themeColor="text1"/>
          <w:vertAlign w:val="superscript"/>
        </w:rPr>
        <w:fldChar w:fldCharType="begin"/>
      </w:r>
      <w:r w:rsidR="00383691">
        <w:rPr>
          <w:rFonts w:cs="Times New Roman"/>
          <w:color w:val="000000" w:themeColor="text1"/>
          <w:vertAlign w:val="superscript"/>
        </w:rPr>
        <w:instrText xml:space="preserve"> ADDIN EN.CITE &lt;EndNote&gt;&lt;Cite&gt;&lt;Author&gt;Tao&lt;/Author&gt;&lt;Year&gt;1972&lt;/Year&gt;&lt;RecNum&gt;57&lt;/RecNum&gt;&lt;DisplayText&gt;&lt;style face="superscript"&gt;3&lt;/style&gt;&lt;/DisplayText&gt;&lt;record&gt;&lt;rec-number&gt;57&lt;/rec-number&gt;&lt;foreign-keys&gt;&lt;key app="EN" db-id="22wapd0sdtazr4ed0e8vwz5rtwzz9vetdxv2" timestamp="1662297984"&gt;57&lt;/key&gt;&lt;/foreign-keys&gt;&lt;ref-type name="Journal Article"&gt;17&lt;/ref-type&gt;&lt;contributors&gt;&lt;authors&gt;&lt;author&gt;Tao, SJ&lt;/author&gt;&lt;/authors&gt;&lt;/contributors&gt;&lt;titles&gt;&lt;title&gt;Positronium annihilation in molecular substances&lt;/title&gt;&lt;secondary-title&gt;The Journal of Chemical Physics&lt;/secondary-title&gt;&lt;/titles&gt;&lt;periodical&gt;&lt;full-title&gt;The Journal of chemical physics&lt;/full-title&gt;&lt;/periodical&gt;&lt;pages&gt;5499-5510&lt;/pages&gt;&lt;volume&gt;56&lt;/volume&gt;&lt;number&gt;11&lt;/number&gt;&lt;dates&gt;&lt;year&gt;1972&lt;/year&gt;&lt;/dates&gt;&lt;isbn&gt;0021-9606&lt;/isbn&gt;&lt;urls&gt;&lt;/urls&gt;&lt;/record&gt;&lt;/Cite&gt;&lt;/EndNote&gt;</w:instrText>
      </w:r>
      <w:r w:rsidR="00383691">
        <w:rPr>
          <w:rFonts w:cs="Times New Roman"/>
          <w:color w:val="000000" w:themeColor="text1"/>
          <w:vertAlign w:val="superscript"/>
        </w:rPr>
        <w:fldChar w:fldCharType="separate"/>
      </w:r>
      <w:r w:rsidR="00383691">
        <w:rPr>
          <w:rFonts w:cs="Times New Roman"/>
          <w:noProof/>
          <w:color w:val="000000" w:themeColor="text1"/>
          <w:vertAlign w:val="superscript"/>
        </w:rPr>
        <w:t>3</w:t>
      </w:r>
      <w:r w:rsidR="00383691">
        <w:rPr>
          <w:rFonts w:cs="Times New Roman"/>
          <w:color w:val="000000" w:themeColor="text1"/>
          <w:vertAlign w:val="superscript"/>
        </w:rPr>
        <w:fldChar w:fldCharType="end"/>
      </w:r>
    </w:p>
    <w:p w14:paraId="13F02A40" w14:textId="77777777" w:rsidR="009E2C9C" w:rsidRPr="00D202E4" w:rsidRDefault="00000000" w:rsidP="0099483A">
      <w:pPr>
        <w:widowControl/>
        <w:spacing w:beforeLines="50" w:before="120" w:afterLines="50" w:after="120" w:line="240" w:lineRule="auto"/>
        <w:ind w:firstLineChars="0" w:firstLine="0"/>
        <w:jc w:val="left"/>
        <w:rPr>
          <w:rFonts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2</m:t>
              </m:r>
            </m:den>
          </m:f>
          <m:sSup>
            <m:sSupPr>
              <m:ctrlPr>
                <w:rPr>
                  <w:rFonts w:ascii="Cambria Math" w:hAnsi="Cambria Math" w:cs="Times New Roman"/>
                  <w:i/>
                  <w:color w:val="000000" w:themeColor="text1"/>
                </w:rPr>
              </m:ctrlPr>
            </m:sSupPr>
            <m:e>
              <m:d>
                <m:dPr>
                  <m:begChr m:val="["/>
                  <m:endChr m:val="]"/>
                  <m:ctrlPr>
                    <w:rPr>
                      <w:rFonts w:ascii="Cambria Math" w:hAnsi="Cambria Math" w:cs="Times New Roman"/>
                      <w:i/>
                      <w:color w:val="000000" w:themeColor="text1"/>
                    </w:rPr>
                  </m:ctrlPr>
                </m:dPr>
                <m:e>
                  <m:r>
                    <w:rPr>
                      <w:rFonts w:ascii="Cambria Math" w:hAnsi="Cambria Math" w:cs="Times New Roman"/>
                      <w:color w:val="000000" w:themeColor="text1"/>
                    </w:rPr>
                    <m:t>1-</m:t>
                  </m:r>
                  <m:f>
                    <m:fPr>
                      <m:ctrlPr>
                        <w:rPr>
                          <w:rFonts w:ascii="Cambria Math" w:hAnsi="Cambria Math" w:cs="Times New Roman"/>
                          <w:i/>
                          <w:color w:val="000000" w:themeColor="text1"/>
                        </w:rPr>
                      </m:ctrlPr>
                    </m:fPr>
                    <m:num>
                      <m:r>
                        <w:rPr>
                          <w:rFonts w:ascii="Cambria Math" w:hAnsi="Cambria Math" w:cs="Times New Roman"/>
                          <w:color w:val="000000" w:themeColor="text1"/>
                        </w:rPr>
                        <m:t>R</m:t>
                      </m:r>
                    </m:num>
                    <m:den>
                      <m:r>
                        <w:rPr>
                          <w:rFonts w:ascii="Cambria Math" w:hAnsi="Cambria Math" w:cs="Times New Roman"/>
                          <w:color w:val="000000" w:themeColor="text1"/>
                        </w:rPr>
                        <m:t>R+∆R</m:t>
                      </m:r>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2π</m:t>
                      </m:r>
                    </m:den>
                  </m:f>
                  <m:r>
                    <w:rPr>
                      <w:rFonts w:ascii="Cambria Math" w:hAnsi="Cambria Math" w:cs="Times New Roman"/>
                      <w:color w:val="000000" w:themeColor="text1"/>
                    </w:rPr>
                    <m:t>sin</m:t>
                  </m:r>
                  <m:d>
                    <m:dPr>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r>
                            <w:rPr>
                              <w:rFonts w:ascii="Cambria Math" w:hAnsi="Cambria Math" w:cs="Times New Roman"/>
                              <w:color w:val="000000" w:themeColor="text1"/>
                            </w:rPr>
                            <m:t>2πR</m:t>
                          </m:r>
                        </m:num>
                        <m:den>
                          <m:r>
                            <w:rPr>
                              <w:rFonts w:ascii="Cambria Math" w:hAnsi="Cambria Math" w:cs="Times New Roman"/>
                              <w:color w:val="000000" w:themeColor="text1"/>
                            </w:rPr>
                            <m:t>R+∆R</m:t>
                          </m:r>
                        </m:den>
                      </m:f>
                    </m:e>
                  </m:d>
                </m:e>
              </m:d>
            </m:e>
            <m:sup>
              <m:r>
                <w:rPr>
                  <w:rFonts w:ascii="Cambria Math" w:hAnsi="Cambria Math" w:cs="Times New Roman"/>
                  <w:color w:val="000000" w:themeColor="text1"/>
                </w:rPr>
                <m:t>-1</m:t>
              </m:r>
            </m:sup>
          </m:sSup>
        </m:oMath>
      </m:oMathPara>
    </w:p>
    <w:p w14:paraId="7F9193FD"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lastRenderedPageBreak/>
        <w:t xml:space="preserve">where </w:t>
      </w:r>
      <w:r w:rsidRPr="00D202E4">
        <w:rPr>
          <w:rFonts w:cs="Times New Roman"/>
          <w:i/>
          <w:iCs/>
          <w:color w:val="000000" w:themeColor="text1"/>
        </w:rPr>
        <w:t>ΔR</w:t>
      </w:r>
      <w:r w:rsidRPr="00D202E4">
        <w:rPr>
          <w:rFonts w:cs="Times New Roman"/>
          <w:color w:val="000000" w:themeColor="text1"/>
        </w:rPr>
        <w:t xml:space="preserve"> is determined to be 1.656 Å for polymers.</w:t>
      </w:r>
    </w:p>
    <w:p w14:paraId="0EE760B3"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The size of free volume </w:t>
      </w:r>
      <w:r w:rsidRPr="00D202E4">
        <w:rPr>
          <w:rFonts w:cs="Times New Roman"/>
          <w:i/>
          <w:iCs/>
          <w:color w:val="000000" w:themeColor="text1"/>
        </w:rPr>
        <w:t>V</w:t>
      </w:r>
      <w:r w:rsidRPr="00D202E4">
        <w:rPr>
          <w:rFonts w:cs="Times New Roman"/>
          <w:color w:val="000000" w:themeColor="text1"/>
        </w:rPr>
        <w:t xml:space="preserve"> and relative free volume fraction (hole fraction) </w:t>
      </w:r>
      <w:proofErr w:type="spellStart"/>
      <w:r w:rsidRPr="00D202E4">
        <w:rPr>
          <w:rFonts w:cs="Times New Roman"/>
          <w:i/>
          <w:iCs/>
          <w:color w:val="000000" w:themeColor="text1"/>
        </w:rPr>
        <w:t>f</w:t>
      </w:r>
      <w:r w:rsidRPr="00D202E4">
        <w:rPr>
          <w:rFonts w:cs="Times New Roman"/>
          <w:i/>
          <w:iCs/>
          <w:color w:val="000000" w:themeColor="text1"/>
          <w:vertAlign w:val="subscript"/>
        </w:rPr>
        <w:t>V</w:t>
      </w:r>
      <w:proofErr w:type="spellEnd"/>
      <w:r w:rsidRPr="00D202E4">
        <w:rPr>
          <w:rFonts w:cs="Times New Roman"/>
          <w:i/>
          <w:iCs/>
          <w:color w:val="000000" w:themeColor="text1"/>
          <w:vertAlign w:val="subscript"/>
        </w:rPr>
        <w:t xml:space="preserve"> </w:t>
      </w:r>
      <w:r w:rsidRPr="00D202E4">
        <w:rPr>
          <w:rFonts w:cs="Times New Roman"/>
          <w:color w:val="000000" w:themeColor="text1"/>
        </w:rPr>
        <w:t>is expressed as follows:</w:t>
      </w:r>
    </w:p>
    <w:p w14:paraId="5D757C61" w14:textId="77777777" w:rsidR="009E2C9C" w:rsidRPr="00D202E4" w:rsidRDefault="009E2C9C" w:rsidP="0099483A">
      <w:pPr>
        <w:widowControl/>
        <w:spacing w:beforeLines="50" w:before="120" w:afterLines="50" w:after="120" w:line="240" w:lineRule="auto"/>
        <w:ind w:firstLineChars="0" w:firstLine="0"/>
        <w:jc w:val="left"/>
        <w:rPr>
          <w:rFonts w:cs="Times New Roman"/>
          <w:color w:val="000000" w:themeColor="text1"/>
        </w:rPr>
      </w:pPr>
      <m:oMathPara>
        <m:oMath>
          <m:r>
            <w:rPr>
              <w:rFonts w:ascii="Cambria Math" w:hAnsi="Cambria Math" w:cs="Times New Roman"/>
              <w:color w:val="000000" w:themeColor="text1"/>
            </w:rPr>
            <m:t>V=4π</m:t>
          </m:r>
          <m:sSup>
            <m:sSupPr>
              <m:ctrlPr>
                <w:rPr>
                  <w:rFonts w:ascii="Cambria Math" w:hAnsi="Cambria Math" w:cs="Times New Roman"/>
                  <w:i/>
                  <w:color w:val="000000" w:themeColor="text1"/>
                </w:rPr>
              </m:ctrlPr>
            </m:sSupPr>
            <m:e>
              <m:r>
                <w:rPr>
                  <w:rFonts w:ascii="Cambria Math" w:hAnsi="Cambria Math" w:cs="Times New Roman"/>
                  <w:color w:val="000000" w:themeColor="text1"/>
                </w:rPr>
                <m:t>R</m:t>
              </m:r>
            </m:e>
            <m:sup>
              <m:r>
                <w:rPr>
                  <w:rFonts w:ascii="Cambria Math" w:hAnsi="Cambria Math" w:cs="Times New Roman"/>
                  <w:color w:val="000000" w:themeColor="text1"/>
                </w:rPr>
                <m:t>3</m:t>
              </m:r>
            </m:sup>
          </m:sSup>
          <m:r>
            <w:rPr>
              <w:rFonts w:ascii="Cambria Math" w:hAnsi="Cambria Math" w:cs="Times New Roman"/>
              <w:color w:val="000000" w:themeColor="text1"/>
            </w:rPr>
            <m:t>/3</m:t>
          </m:r>
        </m:oMath>
      </m:oMathPara>
    </w:p>
    <w:p w14:paraId="7F318EC5" w14:textId="77777777" w:rsidR="009E2C9C" w:rsidRPr="00D202E4" w:rsidRDefault="00000000" w:rsidP="0099483A">
      <w:pPr>
        <w:widowControl/>
        <w:ind w:firstLineChars="0" w:firstLine="0"/>
        <w:jc w:val="left"/>
        <w:rPr>
          <w:rFonts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V</m:t>
              </m:r>
            </m:sub>
          </m:sSub>
          <m:r>
            <w:rPr>
              <w:rFonts w:ascii="Cambria Math" w:hAnsi="Cambria Math" w:cs="Times New Roman"/>
              <w:color w:val="000000" w:themeColor="text1"/>
            </w:rPr>
            <m:t>=C</m:t>
          </m:r>
          <m:d>
            <m:dPr>
              <m:ctrlPr>
                <w:rPr>
                  <w:rFonts w:ascii="Cambria Math" w:hAnsi="Cambria Math" w:cs="Times New Roman"/>
                  <w:i/>
                  <w:color w:val="000000" w:themeColor="text1"/>
                </w:rPr>
              </m:ctrlPr>
            </m:dPr>
            <m:e>
              <m:r>
                <w:rPr>
                  <w:rFonts w:ascii="Cambria Math" w:hAnsi="Cambria Math" w:cs="Times New Roman"/>
                  <w:color w:val="000000" w:themeColor="text1"/>
                </w:rPr>
                <m:t>V</m:t>
              </m:r>
            </m:e>
          </m:d>
          <m:sSub>
            <m:sSubPr>
              <m:ctrlPr>
                <w:rPr>
                  <w:rFonts w:ascii="Cambria Math" w:hAnsi="Cambria Math" w:cs="Times New Roman"/>
                  <w:i/>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3</m:t>
              </m:r>
            </m:sub>
          </m:sSub>
        </m:oMath>
      </m:oMathPara>
    </w:p>
    <w:p w14:paraId="2B3F0D3C"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where </w:t>
      </w:r>
      <w:r w:rsidRPr="00D202E4">
        <w:rPr>
          <w:rFonts w:cs="Times New Roman"/>
          <w:i/>
          <w:iCs/>
          <w:color w:val="000000" w:themeColor="text1"/>
        </w:rPr>
        <w:t>I</w:t>
      </w:r>
      <w:r w:rsidRPr="00D202E4">
        <w:rPr>
          <w:rFonts w:cs="Times New Roman"/>
          <w:i/>
          <w:iCs/>
          <w:color w:val="000000" w:themeColor="text1"/>
          <w:vertAlign w:val="subscript"/>
        </w:rPr>
        <w:t>3</w:t>
      </w:r>
      <w:r w:rsidRPr="00D202E4">
        <w:rPr>
          <w:rFonts w:cs="Times New Roman"/>
          <w:color w:val="000000" w:themeColor="text1"/>
        </w:rPr>
        <w:t xml:space="preserve"> is the </w:t>
      </w:r>
      <w:r w:rsidRPr="00D202E4">
        <w:rPr>
          <w:rFonts w:cs="Times New Roman"/>
          <w:i/>
          <w:iCs/>
          <w:color w:val="000000" w:themeColor="text1"/>
        </w:rPr>
        <w:t>o</w:t>
      </w:r>
      <w:r w:rsidRPr="00D202E4">
        <w:rPr>
          <w:rFonts w:cs="Times New Roman"/>
          <w:color w:val="000000" w:themeColor="text1"/>
        </w:rPr>
        <w:t>-Ps intensity and C is a material-dependent constant.</w:t>
      </w:r>
    </w:p>
    <w:p w14:paraId="2CEB7F67" w14:textId="77777777" w:rsidR="009E2C9C" w:rsidRPr="00D202E4" w:rsidRDefault="009E2C9C" w:rsidP="0099483A">
      <w:pPr>
        <w:widowControl/>
        <w:ind w:firstLineChars="0" w:firstLine="0"/>
        <w:jc w:val="left"/>
        <w:rPr>
          <w:rFonts w:cs="Times New Roman"/>
          <w:color w:val="000000" w:themeColor="text1"/>
        </w:rPr>
      </w:pPr>
    </w:p>
    <w:p w14:paraId="61836CA1" w14:textId="77777777" w:rsidR="009E2C9C" w:rsidRPr="00A52938" w:rsidRDefault="009E2C9C" w:rsidP="0099483A">
      <w:pPr>
        <w:pStyle w:val="ae"/>
        <w:rPr>
          <w:rFonts w:ascii="Times New Roman" w:eastAsiaTheme="minorEastAsia" w:hAnsi="Times New Roman" w:cs="Times New Roman"/>
          <w:iCs/>
          <w:color w:val="000000" w:themeColor="text1"/>
          <w:szCs w:val="22"/>
        </w:rPr>
      </w:pPr>
      <w:bookmarkStart w:id="11" w:name="_Toc111924619"/>
      <w:r w:rsidRPr="00A52938">
        <w:rPr>
          <w:rFonts w:ascii="Times New Roman" w:hAnsi="Times New Roman" w:cs="Times New Roman"/>
          <w:iCs/>
          <w:color w:val="000000" w:themeColor="text1"/>
        </w:rPr>
        <w:t>Noda’s rules for the generalized 2D correlation spectra and PCMW map.</w:t>
      </w:r>
      <w:bookmarkEnd w:id="11"/>
    </w:p>
    <w:p w14:paraId="09EB5101" w14:textId="7E70FE9B"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If the correlation intensity Φ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in synchronous map has the same symbol (positive or negative) as the correlation peak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xml:space="preserve">) in asynchronous map, then the movement of band </w:t>
      </w:r>
      <w:r w:rsidRPr="00D202E4">
        <w:rPr>
          <w:rFonts w:cs="Times New Roman"/>
          <w:i/>
          <w:iCs/>
          <w:color w:val="000000" w:themeColor="text1"/>
        </w:rPr>
        <w:t>v1</w:t>
      </w:r>
      <w:r w:rsidRPr="00D202E4">
        <w:rPr>
          <w:rFonts w:cs="Times New Roman"/>
          <w:color w:val="000000" w:themeColor="text1"/>
        </w:rPr>
        <w:t xml:space="preserve"> is prior to or earlier than that of band </w:t>
      </w:r>
      <w:r w:rsidRPr="00D202E4">
        <w:rPr>
          <w:rFonts w:cs="Times New Roman"/>
          <w:i/>
          <w:iCs/>
          <w:color w:val="000000" w:themeColor="text1"/>
        </w:rPr>
        <w:t>v2</w:t>
      </w:r>
      <w:r w:rsidRPr="00D202E4">
        <w:rPr>
          <w:rFonts w:cs="Times New Roman"/>
          <w:color w:val="000000" w:themeColor="text1"/>
        </w:rPr>
        <w:t xml:space="preserve">, and vice versa. Besides, if the correlation intensity in synchronous map is not zero (or blank), but zero in asynchronous one, then the movements of bands at </w:t>
      </w:r>
      <w:r w:rsidRPr="00D202E4">
        <w:rPr>
          <w:rFonts w:cs="Times New Roman"/>
          <w:i/>
          <w:iCs/>
          <w:color w:val="000000" w:themeColor="text1"/>
        </w:rPr>
        <w:t>v1</w:t>
      </w:r>
      <w:r w:rsidRPr="00D202E4">
        <w:rPr>
          <w:rFonts w:cs="Times New Roman"/>
          <w:color w:val="000000" w:themeColor="text1"/>
        </w:rPr>
        <w:t xml:space="preserve"> and </w:t>
      </w:r>
      <w:r w:rsidRPr="00D202E4">
        <w:rPr>
          <w:rFonts w:cs="Times New Roman"/>
          <w:i/>
          <w:iCs/>
          <w:color w:val="000000" w:themeColor="text1"/>
        </w:rPr>
        <w:t>v2</w:t>
      </w:r>
      <w:r w:rsidRPr="00D202E4">
        <w:rPr>
          <w:rFonts w:cs="Times New Roman"/>
          <w:color w:val="000000" w:themeColor="text1"/>
        </w:rPr>
        <w:t xml:space="preserve"> are simultaneous. Noda’s rules are summarized as follows:</w:t>
      </w:r>
      <w:r w:rsidR="00383691">
        <w:rPr>
          <w:rFonts w:cs="Times New Roman"/>
          <w:color w:val="000000" w:themeColor="text1"/>
          <w:vertAlign w:val="superscript"/>
        </w:rPr>
        <w:fldChar w:fldCharType="begin"/>
      </w:r>
      <w:r w:rsidR="00383691">
        <w:rPr>
          <w:rFonts w:cs="Times New Roman"/>
          <w:color w:val="000000" w:themeColor="text1"/>
          <w:vertAlign w:val="superscript"/>
        </w:rPr>
        <w:instrText xml:space="preserve"> ADDIN EN.CITE &lt;EndNote&gt;&lt;Cite&gt;&lt;Author&gt;Sun&lt;/Author&gt;&lt;Year&gt;2008&lt;/Year&gt;&lt;RecNum&gt;50&lt;/RecNum&gt;&lt;DisplayText&gt;&lt;style face="superscript"&gt;4&lt;/style&gt;&lt;/DisplayText&gt;&lt;record&gt;&lt;rec-number&gt;50&lt;/rec-number&gt;&lt;foreign-keys&gt;&lt;key app="EN" db-id="22wapd0sdtazr4ed0e8vwz5rtwzz9vetdxv2" timestamp="1662282059"&gt;50&lt;/key&gt;&lt;/foreign-keys&gt;&lt;ref-type name="Journal Article"&gt;17&lt;/ref-type&gt;&lt;contributors&gt;&lt;authors&gt;&lt;author&gt;Sun, Bingjie&lt;/author&gt;&lt;author&gt;Lin, Yinan&lt;/author&gt;&lt;author&gt;Wu, Peiyi&lt;/author&gt;&lt;author&gt;Siesler, Heinz W&lt;/author&gt;&lt;/authors&gt;&lt;/contributors&gt;&lt;titles&gt;&lt;title&gt;A FTIR and 2D-IR spectroscopic study on the microdynamics phase separation mechanism of the poly (N-isopropylacrylamide) aqueous solution&lt;/title&gt;&lt;secondary-title&gt;Macromolecules&lt;/secondary-title&gt;&lt;/titles&gt;&lt;periodical&gt;&lt;full-title&gt;Macromolecules&lt;/full-title&gt;&lt;/periodical&gt;&lt;pages&gt;1512-1520&lt;/pages&gt;&lt;volume&gt;41&lt;/volume&gt;&lt;number&gt;4&lt;/number&gt;&lt;dates&gt;&lt;year&gt;2008&lt;/year&gt;&lt;/dates&gt;&lt;isbn&gt;0024-9297&lt;/isbn&gt;&lt;urls&gt;&lt;/urls&gt;&lt;/record&gt;&lt;/Cite&gt;&lt;/EndNote&gt;</w:instrText>
      </w:r>
      <w:r w:rsidR="00383691">
        <w:rPr>
          <w:rFonts w:cs="Times New Roman"/>
          <w:color w:val="000000" w:themeColor="text1"/>
          <w:vertAlign w:val="superscript"/>
        </w:rPr>
        <w:fldChar w:fldCharType="separate"/>
      </w:r>
      <w:r w:rsidR="00383691">
        <w:rPr>
          <w:rFonts w:cs="Times New Roman"/>
          <w:noProof/>
          <w:color w:val="000000" w:themeColor="text1"/>
          <w:vertAlign w:val="superscript"/>
        </w:rPr>
        <w:t>4</w:t>
      </w:r>
      <w:r w:rsidR="00383691">
        <w:rPr>
          <w:rFonts w:cs="Times New Roman"/>
          <w:color w:val="000000" w:themeColor="text1"/>
          <w:vertAlign w:val="superscript"/>
        </w:rPr>
        <w:fldChar w:fldCharType="end"/>
      </w:r>
    </w:p>
    <w:p w14:paraId="238F5826"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(1) If Ф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&gt; 0,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&gt; 0 or Ф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&lt; 0,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&lt; 0, then the movement of v1 is before than that of v2.</w:t>
      </w:r>
    </w:p>
    <w:p w14:paraId="4D3579E7"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(2) If Ф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&gt; 0,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&lt; 0 or Ф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&lt; 0,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&gt; 0, then the movement of v1 is after than that of v2.</w:t>
      </w:r>
    </w:p>
    <w:p w14:paraId="1792736E"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(3) If Ф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&gt; 0,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 0 or Ф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&lt; 0,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xml:space="preserve">) = 0, then the movements of v1 and v2 are simultaneous. </w:t>
      </w:r>
    </w:p>
    <w:p w14:paraId="6862F4A3"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Ф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and Ψ (</w:t>
      </w:r>
      <w:r w:rsidRPr="00D202E4">
        <w:rPr>
          <w:rFonts w:cs="Times New Roman"/>
          <w:i/>
          <w:iCs/>
          <w:color w:val="000000" w:themeColor="text1"/>
        </w:rPr>
        <w:t>v1</w:t>
      </w:r>
      <w:r w:rsidRPr="00D202E4">
        <w:rPr>
          <w:rFonts w:cs="Times New Roman"/>
          <w:color w:val="000000" w:themeColor="text1"/>
        </w:rPr>
        <w:t xml:space="preserve">, </w:t>
      </w:r>
      <w:r w:rsidRPr="00D202E4">
        <w:rPr>
          <w:rFonts w:cs="Times New Roman"/>
          <w:i/>
          <w:iCs/>
          <w:color w:val="000000" w:themeColor="text1"/>
        </w:rPr>
        <w:t>v2</w:t>
      </w:r>
      <w:r w:rsidRPr="00D202E4">
        <w:rPr>
          <w:rFonts w:cs="Times New Roman"/>
          <w:color w:val="000000" w:themeColor="text1"/>
        </w:rPr>
        <w:t>) represent the correlation peaks in synchronous and asynchronous map, respectively.</w:t>
      </w:r>
    </w:p>
    <w:p w14:paraId="374FFB77" w14:textId="471CAE49"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The rules of PCMW (in the case of linear increment perturbation) are as follows: positive synchronous correlation represents spectral intensity increasing, while negative one represents decreasing; positive asynchronous correlation can be observed for a convex spectral intensity variation while negative one can be observed for a concave variation.</w:t>
      </w:r>
      <w:r w:rsidR="00614303">
        <w:rPr>
          <w:rFonts w:cs="Times New Roman"/>
          <w:color w:val="000000" w:themeColor="text1"/>
          <w:vertAlign w:val="superscript"/>
        </w:rPr>
        <w:fldChar w:fldCharType="begin"/>
      </w:r>
      <w:r w:rsidR="00614303">
        <w:rPr>
          <w:rFonts w:cs="Times New Roman"/>
          <w:color w:val="000000" w:themeColor="text1"/>
          <w:vertAlign w:val="superscript"/>
        </w:rPr>
        <w:instrText xml:space="preserve"> ADDIN EN.CITE &lt;EndNote&gt;&lt;Cite&gt;&lt;Author&gt;Sun&lt;/Author&gt;&lt;Year&gt;2017&lt;/Year&gt;&lt;RecNum&gt;52&lt;/RecNum&gt;&lt;DisplayText&gt;&lt;style face="superscript"&gt;5, 6&lt;/style&gt;&lt;/DisplayText&gt;&lt;record&gt;&lt;rec-number&gt;52&lt;/rec-number&gt;&lt;foreign-keys&gt;&lt;key app="EN" db-id="22wapd0sdtazr4ed0e8vwz5rtwzz9vetdxv2" timestamp="1662282360"&gt;52&lt;/key&gt;&lt;/foreign-keys&gt;&lt;ref-type name="Journal Article"&gt;17&lt;/ref-type&gt;&lt;contributors&gt;&lt;authors&gt;&lt;author&gt;Sun, Sheng-tong&lt;/author&gt;&lt;author&gt;Wu, Pei-yi&lt;/author&gt;&lt;/authors&gt;&lt;/contributors&gt;&lt;titles&gt;&lt;title&gt;Spectral insights into microdynamics of thermoresponsive polymers from the perspective of two-dimensional correlation spectroscopy&lt;/title&gt;&lt;secondary-title&gt;Chinese Journal of Polymer Science&lt;/secondary-title&gt;&lt;/titles&gt;&lt;periodical&gt;&lt;full-title&gt;Chinese Journal of Polymer Science&lt;/full-title&gt;&lt;/periodical&gt;&lt;pages&gt;700-712&lt;/pages&gt;&lt;volume&gt;35&lt;/volume&gt;&lt;number&gt;6&lt;/number&gt;&lt;dates&gt;&lt;year&gt;2017&lt;/year&gt;&lt;/dates&gt;&lt;isbn&gt;1439-6203&lt;/isbn&gt;&lt;urls&gt;&lt;/urls&gt;&lt;/record&gt;&lt;/Cite&gt;&lt;Cite&gt;&lt;Author&gt;Morita&lt;/Author&gt;&lt;Year&gt;2006&lt;/Year&gt;&lt;RecNum&gt;51&lt;/RecNum&gt;&lt;record&gt;&lt;rec-number&gt;51&lt;/rec-number&gt;&lt;foreign-keys&gt;&lt;key app="EN" db-id="22wapd0sdtazr4ed0e8vwz5rtwzz9vetdxv2" timestamp="1662282330"&gt;51&lt;/key&gt;&lt;/foreign-keys&gt;&lt;ref-type name="Journal Article"&gt;17&lt;/ref-type&gt;&lt;contributors&gt;&lt;authors&gt;&lt;author&gt;Morita, Shigeaki&lt;/author&gt;&lt;author&gt;Shinzawa, Hideyuki&lt;/author&gt;&lt;author&gt;Noda, Isao&lt;/author&gt;&lt;author&gt;Ozaki, Yukihiro&lt;/author&gt;&lt;/authors&gt;&lt;/contributors&gt;&lt;titles&gt;&lt;title&gt;Perturbation-correlation moving-window two-dimensional correlation spectroscopy&lt;/title&gt;&lt;secondary-title&gt;Applied spectroscopy&lt;/secondary-title&gt;&lt;/titles&gt;&lt;periodical&gt;&lt;full-title&gt;Applied spectroscopy&lt;/full-title&gt;&lt;/periodical&gt;&lt;pages&gt;398-406&lt;/pages&gt;&lt;volume&gt;60&lt;/volume&gt;&lt;number&gt;4&lt;/number&gt;&lt;dates&gt;&lt;year&gt;2006&lt;/year&gt;&lt;/dates&gt;&lt;isbn&gt;0003-7028&lt;/isbn&gt;&lt;urls&gt;&lt;/urls&gt;&lt;/record&gt;&lt;/Cite&gt;&lt;/EndNote&gt;</w:instrText>
      </w:r>
      <w:r w:rsidR="00614303">
        <w:rPr>
          <w:rFonts w:cs="Times New Roman"/>
          <w:color w:val="000000" w:themeColor="text1"/>
          <w:vertAlign w:val="superscript"/>
        </w:rPr>
        <w:fldChar w:fldCharType="separate"/>
      </w:r>
      <w:r w:rsidR="00614303">
        <w:rPr>
          <w:rFonts w:cs="Times New Roman"/>
          <w:noProof/>
          <w:color w:val="000000" w:themeColor="text1"/>
          <w:vertAlign w:val="superscript"/>
        </w:rPr>
        <w:t>5, 6</w:t>
      </w:r>
      <w:r w:rsidR="00614303">
        <w:rPr>
          <w:rFonts w:cs="Times New Roman"/>
          <w:color w:val="000000" w:themeColor="text1"/>
          <w:vertAlign w:val="superscript"/>
        </w:rPr>
        <w:fldChar w:fldCharType="end"/>
      </w:r>
    </w:p>
    <w:p w14:paraId="126ECD70" w14:textId="77777777" w:rsidR="009E2C9C" w:rsidRPr="00A52938" w:rsidRDefault="009E2C9C" w:rsidP="0099483A">
      <w:pPr>
        <w:pStyle w:val="ae"/>
        <w:rPr>
          <w:rFonts w:ascii="Times New Roman" w:hAnsi="Times New Roman" w:cs="Times New Roman"/>
          <w:iCs/>
          <w:color w:val="000000" w:themeColor="text1"/>
        </w:rPr>
      </w:pPr>
      <w:bookmarkStart w:id="12" w:name="_Toc111924620"/>
      <w:r w:rsidRPr="00A52938">
        <w:rPr>
          <w:rFonts w:ascii="Times New Roman" w:hAnsi="Times New Roman" w:cs="Times New Roman"/>
          <w:iCs/>
          <w:color w:val="000000" w:themeColor="text1"/>
        </w:rPr>
        <w:t>Broadband Dielectric Data Analysis</w:t>
      </w:r>
      <w:bookmarkEnd w:id="12"/>
    </w:p>
    <w:p w14:paraId="3FCC06EC" w14:textId="77777777" w:rsidR="009E2C9C" w:rsidRPr="00D202E4" w:rsidRDefault="009E2C9C" w:rsidP="0099483A">
      <w:pPr>
        <w:widowControl/>
        <w:ind w:firstLineChars="0" w:firstLine="0"/>
        <w:rPr>
          <w:rFonts w:cs="Times New Roman"/>
          <w:b/>
          <w:bCs/>
          <w:color w:val="000000" w:themeColor="text1"/>
        </w:rPr>
      </w:pPr>
      <w:r w:rsidRPr="00D202E4">
        <w:rPr>
          <w:rFonts w:cs="Times New Roman"/>
          <w:b/>
          <w:bCs/>
          <w:color w:val="000000" w:themeColor="text1"/>
        </w:rPr>
        <w:t>Dielectric modulus (</w:t>
      </w:r>
      <w:r w:rsidRPr="00D202E4">
        <w:rPr>
          <w:rFonts w:cs="Times New Roman"/>
          <w:b/>
          <w:bCs/>
          <w:i/>
          <w:iCs/>
          <w:color w:val="000000" w:themeColor="text1"/>
        </w:rPr>
        <w:t>M*</w:t>
      </w:r>
      <w:r w:rsidRPr="00D202E4">
        <w:rPr>
          <w:rFonts w:cs="Times New Roman"/>
          <w:b/>
          <w:bCs/>
          <w:color w:val="000000" w:themeColor="text1"/>
        </w:rPr>
        <w:t>) conversion method</w:t>
      </w:r>
      <w:r w:rsidRPr="00D202E4">
        <w:rPr>
          <w:rFonts w:cs="Times New Roman"/>
          <w:b/>
          <w:bCs/>
          <w:color w:val="000000" w:themeColor="text1"/>
        </w:rPr>
        <w:t>：</w:t>
      </w:r>
    </w:p>
    <w:p w14:paraId="11325F48"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As the temperatures above 30 °C, the real and imaginary parts of the dielectric permittivity varied greatly due to the prominent dielectric polarization. We thus convert the dielectric data measured above 30 °C into dielectric modulus formalism to distinguish the relaxation process.</w:t>
      </w:r>
    </w:p>
    <w:p w14:paraId="547E14F0" w14:textId="1B900784"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Dielectric modulus (</w:t>
      </w:r>
      <w:r w:rsidRPr="00D202E4">
        <w:rPr>
          <w:rFonts w:cs="Times New Roman"/>
          <w:i/>
          <w:iCs/>
          <w:color w:val="000000" w:themeColor="text1"/>
        </w:rPr>
        <w:t>M*</w:t>
      </w:r>
      <w:r w:rsidRPr="00D202E4">
        <w:rPr>
          <w:rFonts w:cs="Times New Roman"/>
          <w:color w:val="000000" w:themeColor="text1"/>
        </w:rPr>
        <w:t>) is defined as the reciprocal of complex dielectric permittivity (</w:t>
      </w:r>
      <w:r w:rsidRPr="00D202E4">
        <w:rPr>
          <w:rFonts w:cs="Times New Roman"/>
          <w:i/>
          <w:iCs/>
          <w:color w:val="000000" w:themeColor="text1"/>
        </w:rPr>
        <w:t>ε*</w:t>
      </w:r>
      <w:r w:rsidRPr="00D202E4">
        <w:rPr>
          <w:rFonts w:cs="Times New Roman"/>
          <w:color w:val="000000" w:themeColor="text1"/>
        </w:rPr>
        <w:t>)and can be described by the following equation:</w:t>
      </w:r>
      <w:r w:rsidR="00614303">
        <w:rPr>
          <w:rFonts w:cs="Times New Roman"/>
          <w:color w:val="000000" w:themeColor="text1"/>
          <w:vertAlign w:val="superscript"/>
        </w:rPr>
        <w:fldChar w:fldCharType="begin"/>
      </w:r>
      <w:r w:rsidR="00614303">
        <w:rPr>
          <w:rFonts w:cs="Times New Roman"/>
          <w:color w:val="000000" w:themeColor="text1"/>
          <w:vertAlign w:val="superscript"/>
        </w:rPr>
        <w:instrText xml:space="preserve"> ADDIN EN.CITE &lt;EndNote&gt;&lt;Cite&gt;&lt;Author&gt;Sun&lt;/Author&gt;&lt;Year&gt;2005&lt;/Year&gt;&lt;RecNum&gt;47&lt;/RecNum&gt;&lt;DisplayText&gt;&lt;style face="superscript"&gt;7&lt;/style&gt;&lt;/DisplayText&gt;&lt;record&gt;&lt;rec-number&gt;47&lt;/rec-number&gt;&lt;foreign-keys&gt;&lt;key app="EN" db-id="22wapd0sdtazr4ed0e8vwz5rtwzz9vetdxv2" timestamp="1662281790"&gt;47&lt;/key&gt;&lt;/foreign-keys&gt;&lt;ref-type name="Journal Article"&gt;17&lt;/ref-type&gt;&lt;contributors&gt;&lt;authors&gt;&lt;author&gt;Sun, Mingyun&lt;/author&gt;&lt;author&gt;Pejanović, Srdjan&lt;/author&gt;&lt;author&gt;Mijović, Jovan&lt;/author&gt;&lt;/authors&gt;&lt;/contributors&gt;&lt;titles&gt;&lt;title&gt;Dynamics of deoxyribonucleic acid solutions as studied by dielectric relaxation spectroscopy and dynamic mechanical spectroscopy&lt;/title&gt;&lt;secondary-title&gt;Macromolecules&lt;/secondary-title&gt;&lt;/titles&gt;&lt;periodical&gt;&lt;full-title&gt;Macromolecules&lt;/full-title&gt;&lt;/periodical&gt;&lt;pages&gt;9854-9864&lt;/pages&gt;&lt;volume&gt;38&lt;/volume&gt;&lt;number&gt;23&lt;/number&gt;&lt;dates&gt;&lt;year&gt;2005&lt;/year&gt;&lt;/dates&gt;&lt;isbn&gt;0024-9297&lt;/isbn&gt;&lt;urls&gt;&lt;/urls&gt;&lt;/record&gt;&lt;/Cite&gt;&lt;/EndNote&gt;</w:instrText>
      </w:r>
      <w:r w:rsidR="00614303">
        <w:rPr>
          <w:rFonts w:cs="Times New Roman"/>
          <w:color w:val="000000" w:themeColor="text1"/>
          <w:vertAlign w:val="superscript"/>
        </w:rPr>
        <w:fldChar w:fldCharType="separate"/>
      </w:r>
      <w:r w:rsidR="00614303">
        <w:rPr>
          <w:rFonts w:cs="Times New Roman"/>
          <w:noProof/>
          <w:color w:val="000000" w:themeColor="text1"/>
          <w:vertAlign w:val="superscript"/>
        </w:rPr>
        <w:t>7</w:t>
      </w:r>
      <w:r w:rsidR="00614303">
        <w:rPr>
          <w:rFonts w:cs="Times New Roman"/>
          <w:color w:val="000000" w:themeColor="text1"/>
          <w:vertAlign w:val="superscript"/>
        </w:rPr>
        <w:fldChar w:fldCharType="end"/>
      </w:r>
    </w:p>
    <w:p w14:paraId="03F6157B" w14:textId="77777777" w:rsidR="009E2C9C" w:rsidRPr="00D202E4" w:rsidRDefault="00000000" w:rsidP="0099483A">
      <w:pPr>
        <w:widowControl/>
        <w:spacing w:beforeLines="50" w:before="120" w:afterLines="50" w:after="120" w:line="240" w:lineRule="auto"/>
        <w:ind w:firstLineChars="0" w:firstLine="0"/>
        <w:rPr>
          <w:rFonts w:cs="Times New Roman"/>
          <w:i/>
          <w:color w:val="000000" w:themeColor="text1"/>
        </w:rPr>
      </w:pPr>
      <m:oMathPara>
        <m:oMath>
          <m:sSup>
            <m:sSupPr>
              <m:ctrlPr>
                <w:rPr>
                  <w:rFonts w:ascii="Cambria Math" w:hAnsi="Cambria Math" w:cs="Times New Roman"/>
                  <w:i/>
                  <w:color w:val="000000" w:themeColor="text1"/>
                </w:rPr>
              </m:ctrlPr>
            </m:sSupPr>
            <m:e>
              <m:r>
                <w:rPr>
                  <w:rFonts w:ascii="Cambria Math" w:hAnsi="Cambria Math" w:cs="Times New Roman"/>
                  <w:color w:val="000000" w:themeColor="text1"/>
                </w:rPr>
                <m:t>M</m:t>
              </m:r>
            </m:e>
            <m:sup>
              <m:r>
                <w:rPr>
                  <w:rFonts w:ascii="Cambria Math" w:eastAsia="MS Gothic" w:hAnsi="Cambria Math" w:cs="Times New Roman"/>
                  <w:color w:val="000000" w:themeColor="text1"/>
                </w:rPr>
                <m:t>*</m:t>
              </m:r>
            </m:sup>
          </m:sSup>
          <m:d>
            <m:dPr>
              <m:ctrlPr>
                <w:rPr>
                  <w:rFonts w:ascii="Cambria Math" w:hAnsi="Cambria Math" w:cs="Times New Roman"/>
                  <w:i/>
                  <w:color w:val="000000" w:themeColor="text1"/>
                </w:rPr>
              </m:ctrlPr>
            </m:dPr>
            <m:e>
              <m:r>
                <w:rPr>
                  <w:rFonts w:ascii="Cambria Math" w:hAnsi="Cambria Math" w:cs="Times New Roman"/>
                  <w:color w:val="000000" w:themeColor="text1"/>
                </w:rPr>
                <m:t>ω</m:t>
              </m:r>
            </m:e>
          </m:d>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M</m:t>
              </m:r>
            </m:e>
            <m:sup>
              <m:r>
                <w:rPr>
                  <w:rFonts w:ascii="Cambria Math" w:hAnsi="Cambria Math" w:cs="Times New Roman"/>
                  <w:color w:val="000000" w:themeColor="text1"/>
                </w:rPr>
                <m:t>'</m:t>
              </m:r>
            </m:sup>
          </m:sSup>
          <m:d>
            <m:dPr>
              <m:ctrlPr>
                <w:rPr>
                  <w:rFonts w:ascii="Cambria Math" w:hAnsi="Cambria Math" w:cs="Times New Roman"/>
                  <w:i/>
                  <w:color w:val="000000" w:themeColor="text1"/>
                </w:rPr>
              </m:ctrlPr>
            </m:dPr>
            <m:e>
              <m:r>
                <w:rPr>
                  <w:rFonts w:ascii="Cambria Math" w:hAnsi="Cambria Math" w:cs="Times New Roman"/>
                  <w:color w:val="000000" w:themeColor="text1"/>
                </w:rPr>
                <m:t>ω</m:t>
              </m:r>
            </m:e>
          </m:d>
          <m:r>
            <w:rPr>
              <w:rFonts w:ascii="Cambria Math" w:hAnsi="Cambria Math" w:cs="Times New Roman"/>
              <w:color w:val="000000" w:themeColor="text1"/>
            </w:rPr>
            <m:t>+i</m:t>
          </m:r>
          <m:sSup>
            <m:sSupPr>
              <m:ctrlPr>
                <w:rPr>
                  <w:rFonts w:ascii="Cambria Math" w:hAnsi="Cambria Math" w:cs="Times New Roman"/>
                  <w:i/>
                  <w:color w:val="000000" w:themeColor="text1"/>
                </w:rPr>
              </m:ctrlPr>
            </m:sSupPr>
            <m:e>
              <m:r>
                <w:rPr>
                  <w:rFonts w:ascii="Cambria Math" w:hAnsi="Cambria Math" w:cs="Times New Roman"/>
                  <w:color w:val="000000" w:themeColor="text1"/>
                </w:rPr>
                <m:t>M</m:t>
              </m:r>
            </m:e>
            <m:sup>
              <m:r>
                <w:rPr>
                  <w:rFonts w:ascii="Cambria Math" w:hAnsi="Cambria Math" w:cs="Times New Roman"/>
                  <w:color w:val="000000" w:themeColor="text1"/>
                </w:rPr>
                <m:t>''</m:t>
              </m:r>
            </m:sup>
          </m:sSup>
          <m:d>
            <m:dPr>
              <m:ctrlPr>
                <w:rPr>
                  <w:rFonts w:ascii="Cambria Math" w:hAnsi="Cambria Math" w:cs="Times New Roman"/>
                  <w:i/>
                  <w:color w:val="000000" w:themeColor="text1"/>
                </w:rPr>
              </m:ctrlPr>
            </m:dPr>
            <m:e>
              <m:r>
                <w:rPr>
                  <w:rFonts w:ascii="Cambria Math" w:hAnsi="Cambria Math" w:cs="Times New Roman"/>
                  <w:color w:val="000000" w:themeColor="text1"/>
                </w:rPr>
                <m:t>ω</m:t>
              </m:r>
            </m:e>
          </m:d>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ε</m:t>
                  </m:r>
                </m:e>
                <m:sup>
                  <m:r>
                    <w:rPr>
                      <w:rFonts w:ascii="Cambria Math" w:hAnsi="Cambria Math" w:cs="Times New Roman"/>
                      <w:color w:val="000000" w:themeColor="text1"/>
                    </w:rPr>
                    <m:t>*</m:t>
                  </m:r>
                </m:sup>
              </m:sSup>
              <m:r>
                <w:rPr>
                  <w:rFonts w:ascii="Cambria Math" w:hAnsi="Cambria Math" w:cs="Times New Roman"/>
                  <w:color w:val="000000" w:themeColor="text1"/>
                </w:rPr>
                <m:t>(ω)</m:t>
              </m:r>
            </m:den>
          </m:f>
          <m:r>
            <w:rPr>
              <w:rFonts w:ascii="Cambria Math" w:hAnsi="Cambria Math" w:cs="Times New Roman"/>
              <w:color w:val="000000" w:themeColor="text1"/>
            </w:rPr>
            <m:t>=</m:t>
          </m:r>
          <m:f>
            <m:fPr>
              <m:ctrlPr>
                <w:rPr>
                  <w:rFonts w:ascii="Cambria Math" w:hAnsi="Cambria Math" w:cs="Times New Roman"/>
                  <w:i/>
                  <w:color w:val="000000" w:themeColor="text1"/>
                </w:rPr>
              </m:ctrlPr>
            </m:fPr>
            <m:num>
              <m:sSup>
                <m:sSupPr>
                  <m:ctrlPr>
                    <w:rPr>
                      <w:rFonts w:ascii="Cambria Math" w:hAnsi="Cambria Math" w:cs="Times New Roman"/>
                      <w:i/>
                      <w:color w:val="000000" w:themeColor="text1"/>
                    </w:rPr>
                  </m:ctrlPr>
                </m:sSupPr>
                <m:e>
                  <m:r>
                    <w:rPr>
                      <w:rFonts w:ascii="Cambria Math" w:hAnsi="Cambria Math" w:cs="Times New Roman"/>
                      <w:color w:val="000000" w:themeColor="text1"/>
                    </w:rPr>
                    <m:t>ε</m:t>
                  </m:r>
                </m:e>
                <m:sup>
                  <m:r>
                    <w:rPr>
                      <w:rFonts w:ascii="Cambria Math" w:hAnsi="Cambria Math" w:cs="Times New Roman"/>
                      <w:color w:val="000000" w:themeColor="text1"/>
                    </w:rPr>
                    <m:t>'</m:t>
                  </m:r>
                </m:sup>
              </m:sSup>
              <m:d>
                <m:dPr>
                  <m:ctrlPr>
                    <w:rPr>
                      <w:rFonts w:ascii="Cambria Math" w:hAnsi="Cambria Math" w:cs="Times New Roman"/>
                      <w:i/>
                      <w:color w:val="000000" w:themeColor="text1"/>
                    </w:rPr>
                  </m:ctrlPr>
                </m:dPr>
                <m:e>
                  <m:r>
                    <w:rPr>
                      <w:rFonts w:ascii="Cambria Math" w:hAnsi="Cambria Math" w:cs="Times New Roman"/>
                      <w:color w:val="000000" w:themeColor="text1"/>
                    </w:rPr>
                    <m:t>ω</m:t>
                  </m:r>
                </m:e>
              </m:d>
              <m:r>
                <w:rPr>
                  <w:rFonts w:ascii="Cambria Math" w:hAnsi="Cambria Math" w:cs="Times New Roman"/>
                  <w:color w:val="000000" w:themeColor="text1"/>
                </w:rPr>
                <m:t>+iε''(ω)</m:t>
              </m:r>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[ε'(ω)]</m:t>
                  </m:r>
                </m:e>
                <m:sup>
                  <m:r>
                    <w:rPr>
                      <w:rFonts w:ascii="Cambria Math" w:hAnsi="Cambria Math" w:cs="Times New Roman"/>
                      <w:color w:val="000000" w:themeColor="text1"/>
                    </w:rPr>
                    <m:t>2</m:t>
                  </m:r>
                </m:sup>
              </m:sSup>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[ε''(ω)]</m:t>
                  </m:r>
                </m:e>
                <m:sup>
                  <m:r>
                    <w:rPr>
                      <w:rFonts w:ascii="Cambria Math" w:hAnsi="Cambria Math" w:cs="Times New Roman"/>
                      <w:color w:val="000000" w:themeColor="text1"/>
                    </w:rPr>
                    <m:t>2</m:t>
                  </m:r>
                </m:sup>
              </m:sSup>
            </m:den>
          </m:f>
        </m:oMath>
      </m:oMathPara>
    </w:p>
    <w:p w14:paraId="12A2BE71"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The imaginary parts of dielectric modulus (</w:t>
      </w:r>
      <w:r w:rsidRPr="00D202E4">
        <w:rPr>
          <w:rFonts w:cs="Times New Roman"/>
          <w:i/>
          <w:iCs/>
          <w:color w:val="000000" w:themeColor="text1"/>
        </w:rPr>
        <w:t>M''</w:t>
      </w:r>
      <w:r w:rsidRPr="00D202E4">
        <w:rPr>
          <w:rFonts w:cs="Times New Roman"/>
          <w:color w:val="000000" w:themeColor="text1"/>
        </w:rPr>
        <w:t>) obtained from the above equation is used in place of dielectric loss permittivity</w:t>
      </w:r>
      <w:r w:rsidRPr="00D202E4">
        <w:rPr>
          <w:rFonts w:cs="Times New Roman"/>
          <w:i/>
          <w:iCs/>
          <w:color w:val="000000" w:themeColor="text1"/>
        </w:rPr>
        <w:t xml:space="preserve"> </w:t>
      </w:r>
      <w:r w:rsidRPr="00D202E4">
        <w:rPr>
          <w:rFonts w:eastAsia="宋体" w:cs="Times New Roman"/>
          <w:i/>
          <w:iCs/>
          <w:color w:val="000000" w:themeColor="text1"/>
        </w:rPr>
        <w:t>ε</w:t>
      </w:r>
      <w:r w:rsidRPr="00D202E4">
        <w:rPr>
          <w:rFonts w:cs="Times New Roman"/>
          <w:i/>
          <w:iCs/>
          <w:color w:val="000000" w:themeColor="text1"/>
        </w:rPr>
        <w:t>''</w:t>
      </w:r>
      <w:r w:rsidRPr="00D202E4">
        <w:rPr>
          <w:rFonts w:cs="Times New Roman"/>
          <w:color w:val="000000" w:themeColor="text1"/>
        </w:rPr>
        <w:t>.</w:t>
      </w:r>
    </w:p>
    <w:p w14:paraId="0870B5B8" w14:textId="77777777" w:rsidR="009E2C9C" w:rsidRPr="00D202E4" w:rsidRDefault="009E2C9C" w:rsidP="0099483A">
      <w:pPr>
        <w:widowControl/>
        <w:spacing w:line="240" w:lineRule="auto"/>
        <w:ind w:firstLineChars="0" w:firstLine="0"/>
        <w:rPr>
          <w:rFonts w:cs="Times New Roman"/>
          <w:color w:val="000000" w:themeColor="text1"/>
        </w:rPr>
      </w:pPr>
    </w:p>
    <w:p w14:paraId="66F7FDF4" w14:textId="77777777" w:rsidR="009E2C9C" w:rsidRPr="00D202E4" w:rsidRDefault="009E2C9C" w:rsidP="0099483A">
      <w:pPr>
        <w:widowControl/>
        <w:ind w:firstLineChars="0" w:firstLine="0"/>
        <w:rPr>
          <w:rFonts w:cs="Times New Roman"/>
          <w:b/>
          <w:bCs/>
          <w:color w:val="000000" w:themeColor="text1"/>
        </w:rPr>
      </w:pPr>
      <w:proofErr w:type="spellStart"/>
      <w:r w:rsidRPr="00D202E4">
        <w:rPr>
          <w:rFonts w:cs="Times New Roman"/>
          <w:b/>
          <w:bCs/>
          <w:color w:val="000000" w:themeColor="text1"/>
        </w:rPr>
        <w:t>Havriliak-Negami</w:t>
      </w:r>
      <w:proofErr w:type="spellEnd"/>
      <w:r w:rsidRPr="00D202E4">
        <w:rPr>
          <w:rFonts w:cs="Times New Roman"/>
          <w:b/>
          <w:bCs/>
          <w:color w:val="000000" w:themeColor="text1"/>
        </w:rPr>
        <w:t xml:space="preserve"> (H-N) equation fitting:</w:t>
      </w:r>
    </w:p>
    <w:p w14:paraId="52D656A0" w14:textId="3C50EC8E"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To quantitatively analyze these relaxation processes, the analyses of the dielectric spectra are made by using </w:t>
      </w:r>
      <w:proofErr w:type="spellStart"/>
      <w:r w:rsidRPr="00D202E4">
        <w:rPr>
          <w:rFonts w:cs="Times New Roman"/>
          <w:color w:val="000000" w:themeColor="text1"/>
        </w:rPr>
        <w:t>Havriliak-Negami</w:t>
      </w:r>
      <w:proofErr w:type="spellEnd"/>
      <w:r w:rsidRPr="00D202E4">
        <w:rPr>
          <w:rFonts w:cs="Times New Roman"/>
          <w:color w:val="000000" w:themeColor="text1"/>
        </w:rPr>
        <w:t xml:space="preserve"> (H-N) function. In this model, the frequency dependence of the complex dielectric permittivity (</w:t>
      </w:r>
      <w:r w:rsidRPr="00D202E4">
        <w:rPr>
          <w:rFonts w:cs="Times New Roman"/>
          <w:i/>
          <w:iCs/>
          <w:color w:val="000000" w:themeColor="text1"/>
        </w:rPr>
        <w:t>ε*</w:t>
      </w:r>
      <w:r w:rsidRPr="00D202E4">
        <w:rPr>
          <w:rFonts w:cs="Times New Roman"/>
          <w:color w:val="000000" w:themeColor="text1"/>
        </w:rPr>
        <w:t xml:space="preserve">) can be described by the following equation: </w:t>
      </w:r>
      <w:r w:rsidR="00614303">
        <w:rPr>
          <w:rFonts w:cs="Times New Roman"/>
          <w:color w:val="000000" w:themeColor="text1"/>
          <w:vertAlign w:val="superscript"/>
        </w:rPr>
        <w:fldChar w:fldCharType="begin"/>
      </w:r>
      <w:r w:rsidR="00614303">
        <w:rPr>
          <w:rFonts w:cs="Times New Roman"/>
          <w:color w:val="000000" w:themeColor="text1"/>
          <w:vertAlign w:val="superscript"/>
        </w:rPr>
        <w:instrText xml:space="preserve"> ADDIN EN.CITE &lt;EndNote&gt;&lt;Cite&gt;&lt;Author&gt;Diaz-Calleja&lt;/Author&gt;&lt;Year&gt;2000&lt;/Year&gt;&lt;RecNum&gt;58&lt;/RecNum&gt;&lt;DisplayText&gt;&lt;style face="superscript"&gt;8, 9&lt;/style&gt;&lt;/DisplayText&gt;&lt;record&gt;&lt;rec-number&gt;58&lt;/rec-number&gt;&lt;foreign-keys&gt;&lt;key app="EN" db-id="22wapd0sdtazr4ed0e8vwz5rtwzz9vetdxv2" timestamp="1662298171"&gt;58&lt;/key&gt;&lt;/foreign-keys&gt;&lt;ref-type name="Journal Article"&gt;17&lt;/ref-type&gt;&lt;contributors&gt;&lt;authors&gt;&lt;author&gt;Diaz-Calleja, R&lt;/author&gt;&lt;/authors&gt;&lt;/contributors&gt;&lt;titles&gt;&lt;title&gt;Comment on the maximum in the loss permittivity for the Havriliak− Negami equation&lt;/title&gt;&lt;secondary-title&gt;Macromolecules&lt;/secondary-title&gt;&lt;/titles&gt;&lt;periodical&gt;&lt;full-title&gt;Macromolecules&lt;/full-title&gt;&lt;/periodical&gt;&lt;pages&gt;8924-8924&lt;/pages&gt;&lt;volume&gt;33&lt;/volume&gt;&lt;number&gt;24&lt;/number&gt;&lt;dates&gt;&lt;year&gt;2000&lt;/year&gt;&lt;/dates&gt;&lt;isbn&gt;0024-9297&lt;/isbn&gt;&lt;urls&gt;&lt;/urls&gt;&lt;/record&gt;&lt;/Cite&gt;&lt;Cite&gt;&lt;Author&gt;Boersma&lt;/Author&gt;&lt;Year&gt;1998&lt;/Year&gt;&lt;RecNum&gt;59&lt;/RecNum&gt;&lt;record&gt;&lt;rec-number&gt;59&lt;/rec-number&gt;&lt;foreign-keys&gt;&lt;key app="EN" db-id="22wapd0sdtazr4ed0e8vwz5rtwzz9vetdxv2" timestamp="1662298264"&gt;59&lt;/key&gt;&lt;/foreign-keys&gt;&lt;ref-type name="Journal Article"&gt;17&lt;/ref-type&gt;&lt;contributors&gt;&lt;authors&gt;&lt;author&gt;Boersma, Arjen&lt;/author&gt;&lt;author&gt;Van Turnhout, J&lt;/author&gt;&lt;author&gt;Wübbenhorst, Michael&lt;/author&gt;&lt;/authors&gt;&lt;/contributors&gt;&lt;titles&gt;&lt;title&gt;Dielectric characterization of a thermotropic liquid crystalline copolyesteramide: 1. Relaxation peak assignment&lt;/title&gt;&lt;secondary-title&gt;Macromolecules&lt;/secondary-title&gt;&lt;/titles&gt;&lt;periodical&gt;&lt;full-title&gt;Macromolecules&lt;/full-title&gt;&lt;/periodical&gt;&lt;pages&gt;7453-7460&lt;/pages&gt;&lt;volume&gt;31&lt;/volume&gt;&lt;number&gt;21&lt;/number&gt;&lt;dates&gt;&lt;year&gt;1998&lt;/year&gt;&lt;/dates&gt;&lt;isbn&gt;0024-9297&lt;/isbn&gt;&lt;urls&gt;&lt;/urls&gt;&lt;/record&gt;&lt;/Cite&gt;&lt;/EndNote&gt;</w:instrText>
      </w:r>
      <w:r w:rsidR="00614303">
        <w:rPr>
          <w:rFonts w:cs="Times New Roman"/>
          <w:color w:val="000000" w:themeColor="text1"/>
          <w:vertAlign w:val="superscript"/>
        </w:rPr>
        <w:fldChar w:fldCharType="separate"/>
      </w:r>
      <w:r w:rsidR="00614303">
        <w:rPr>
          <w:rFonts w:cs="Times New Roman"/>
          <w:noProof/>
          <w:color w:val="000000" w:themeColor="text1"/>
          <w:vertAlign w:val="superscript"/>
        </w:rPr>
        <w:t>8, 9</w:t>
      </w:r>
      <w:r w:rsidR="00614303">
        <w:rPr>
          <w:rFonts w:cs="Times New Roman"/>
          <w:color w:val="000000" w:themeColor="text1"/>
          <w:vertAlign w:val="superscript"/>
        </w:rPr>
        <w:fldChar w:fldCharType="end"/>
      </w:r>
    </w:p>
    <w:p w14:paraId="03C621EE" w14:textId="77777777" w:rsidR="009E2C9C" w:rsidRPr="00D202E4" w:rsidRDefault="00000000" w:rsidP="0099483A">
      <w:pPr>
        <w:widowControl/>
        <w:spacing w:beforeLines="50" w:before="120" w:afterLines="50" w:after="120" w:line="240" w:lineRule="auto"/>
        <w:ind w:firstLineChars="0" w:firstLine="0"/>
        <w:rPr>
          <w:rFonts w:cs="Times New Roman"/>
          <w:color w:val="000000" w:themeColor="text1"/>
        </w:rPr>
      </w:pPr>
      <m:oMathPara>
        <m:oMath>
          <m:sSup>
            <m:sSupPr>
              <m:ctrlPr>
                <w:rPr>
                  <w:rFonts w:ascii="Cambria Math" w:hAnsi="Cambria Math" w:cs="Times New Roman"/>
                  <w:i/>
                  <w:color w:val="000000" w:themeColor="text1"/>
                </w:rPr>
              </m:ctrlPr>
            </m:sSupPr>
            <m:e>
              <m:r>
                <w:rPr>
                  <w:rFonts w:ascii="Cambria Math" w:hAnsi="Cambria Math" w:cs="Times New Roman"/>
                  <w:color w:val="000000" w:themeColor="text1"/>
                </w:rPr>
                <m:t>ε</m:t>
              </m:r>
            </m:e>
            <m:sup>
              <m:r>
                <w:rPr>
                  <w:rFonts w:ascii="Cambria Math" w:hAnsi="Cambria Math" w:cs="Times New Roman"/>
                  <w:color w:val="000000" w:themeColor="text1"/>
                </w:rPr>
                <m:t>*</m:t>
              </m:r>
            </m:sup>
          </m:sSup>
          <m:d>
            <m:dPr>
              <m:ctrlPr>
                <w:rPr>
                  <w:rFonts w:ascii="Cambria Math" w:hAnsi="Cambria Math" w:cs="Times New Roman"/>
                  <w:i/>
                  <w:color w:val="000000" w:themeColor="text1"/>
                </w:rPr>
              </m:ctrlPr>
            </m:dPr>
            <m:e>
              <m:r>
                <w:rPr>
                  <w:rFonts w:ascii="Cambria Math" w:hAnsi="Cambria Math" w:cs="Times New Roman"/>
                  <w:color w:val="000000" w:themeColor="text1"/>
                </w:rPr>
                <m:t>ω</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ε</m:t>
              </m:r>
            </m:e>
            <m:sub>
              <m:r>
                <w:rPr>
                  <w:rFonts w:ascii="Cambria Math" w:hAnsi="Cambria Math" w:cs="Times New Roman"/>
                  <w:color w:val="000000" w:themeColor="text1"/>
                </w:rPr>
                <m:t>∞</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∆ε</m:t>
              </m:r>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[1+</m:t>
                  </m:r>
                  <m:sSup>
                    <m:sSupPr>
                      <m:ctrlPr>
                        <w:rPr>
                          <w:rFonts w:ascii="Cambria Math" w:hAnsi="Cambria Math" w:cs="Times New Roman"/>
                          <w:i/>
                          <w:color w:val="000000" w:themeColor="text1"/>
                        </w:rPr>
                      </m:ctrlPr>
                    </m:sSupPr>
                    <m:e>
                      <m:r>
                        <w:rPr>
                          <w:rFonts w:ascii="Cambria Math" w:hAnsi="Cambria Math" w:cs="Times New Roman"/>
                          <w:color w:val="000000" w:themeColor="text1"/>
                        </w:rPr>
                        <m:t>(iω</m:t>
                      </m:r>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HN</m:t>
                          </m:r>
                        </m:sub>
                      </m:sSub>
                      <m:r>
                        <w:rPr>
                          <w:rFonts w:ascii="Cambria Math" w:hAnsi="Cambria Math" w:cs="Times New Roman"/>
                          <w:color w:val="000000" w:themeColor="text1"/>
                        </w:rPr>
                        <m:t>)</m:t>
                      </m:r>
                    </m:e>
                    <m:sup>
                      <m:r>
                        <w:rPr>
                          <w:rFonts w:ascii="Cambria Math" w:hAnsi="Cambria Math" w:cs="Times New Roman"/>
                          <w:color w:val="000000" w:themeColor="text1"/>
                        </w:rPr>
                        <m:t>α</m:t>
                      </m:r>
                    </m:sup>
                  </m:sSup>
                  <m:r>
                    <w:rPr>
                      <w:rFonts w:ascii="Cambria Math" w:hAnsi="Cambria Math" w:cs="Times New Roman"/>
                      <w:color w:val="000000" w:themeColor="text1"/>
                    </w:rPr>
                    <m:t>]</m:t>
                  </m:r>
                </m:e>
                <m:sup>
                  <m:r>
                    <w:rPr>
                      <w:rFonts w:ascii="Cambria Math" w:hAnsi="Cambria Math" w:cs="Times New Roman"/>
                      <w:color w:val="000000" w:themeColor="text1"/>
                    </w:rPr>
                    <m:t>β</m:t>
                  </m:r>
                </m:sup>
              </m:sSup>
            </m:den>
          </m:f>
        </m:oMath>
      </m:oMathPara>
    </w:p>
    <w:p w14:paraId="631046DB"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where </w:t>
      </w:r>
      <w:proofErr w:type="spellStart"/>
      <w:r w:rsidRPr="00D202E4">
        <w:rPr>
          <w:rFonts w:cs="Times New Roman"/>
          <w:i/>
          <w:iCs/>
          <w:color w:val="000000" w:themeColor="text1"/>
        </w:rPr>
        <w:t>Δε</w:t>
      </w:r>
      <w:proofErr w:type="spellEnd"/>
      <w:r w:rsidRPr="00D202E4">
        <w:rPr>
          <w:rFonts w:cs="Times New Roman"/>
          <w:color w:val="000000" w:themeColor="text1"/>
        </w:rPr>
        <w:t>=</w:t>
      </w:r>
      <w:proofErr w:type="spellStart"/>
      <w:r w:rsidRPr="00D202E4">
        <w:rPr>
          <w:rFonts w:cs="Times New Roman"/>
          <w:i/>
          <w:iCs/>
          <w:color w:val="000000" w:themeColor="text1"/>
        </w:rPr>
        <w:t>ε</w:t>
      </w:r>
      <w:r w:rsidRPr="00D202E4">
        <w:rPr>
          <w:rFonts w:cs="Times New Roman"/>
          <w:i/>
          <w:iCs/>
          <w:color w:val="000000" w:themeColor="text1"/>
          <w:vertAlign w:val="subscript"/>
        </w:rPr>
        <w:t>s</w:t>
      </w:r>
      <w:proofErr w:type="spellEnd"/>
      <w:r w:rsidRPr="00D202E4">
        <w:rPr>
          <w:rFonts w:cs="Times New Roman"/>
          <w:i/>
          <w:iCs/>
          <w:color w:val="000000" w:themeColor="text1"/>
        </w:rPr>
        <w:t xml:space="preserve"> </w:t>
      </w:r>
      <w:r w:rsidRPr="00D202E4">
        <w:rPr>
          <w:rFonts w:cs="Times New Roman"/>
          <w:color w:val="000000" w:themeColor="text1"/>
        </w:rPr>
        <w:t xml:space="preserve">- </w:t>
      </w:r>
      <w:r w:rsidRPr="00D202E4">
        <w:rPr>
          <w:rFonts w:cs="Times New Roman"/>
          <w:i/>
          <w:iCs/>
          <w:color w:val="000000" w:themeColor="text1"/>
        </w:rPr>
        <w:t>ε</w:t>
      </w:r>
      <w:r w:rsidRPr="00D202E4">
        <w:rPr>
          <w:rFonts w:cs="Times New Roman"/>
          <w:i/>
          <w:iCs/>
          <w:color w:val="000000" w:themeColor="text1"/>
          <w:vertAlign w:val="subscript"/>
        </w:rPr>
        <w:t>∞</w:t>
      </w:r>
      <w:r w:rsidRPr="00D202E4">
        <w:rPr>
          <w:rFonts w:cs="Times New Roman"/>
          <w:color w:val="000000" w:themeColor="text1"/>
        </w:rPr>
        <w:t xml:space="preserve"> is the dielectric strength, </w:t>
      </w:r>
      <w:proofErr w:type="spellStart"/>
      <w:r w:rsidRPr="00D202E4">
        <w:rPr>
          <w:rFonts w:cs="Times New Roman"/>
          <w:i/>
          <w:iCs/>
          <w:color w:val="000000" w:themeColor="text1"/>
        </w:rPr>
        <w:t>ε</w:t>
      </w:r>
      <w:r w:rsidRPr="00D202E4">
        <w:rPr>
          <w:rFonts w:cs="Times New Roman"/>
          <w:i/>
          <w:iCs/>
          <w:color w:val="000000" w:themeColor="text1"/>
          <w:vertAlign w:val="subscript"/>
        </w:rPr>
        <w:t>s</w:t>
      </w:r>
      <w:proofErr w:type="spellEnd"/>
      <w:r w:rsidRPr="00D202E4">
        <w:rPr>
          <w:rFonts w:cs="Times New Roman"/>
          <w:color w:val="000000" w:themeColor="text1"/>
        </w:rPr>
        <w:t xml:space="preserve"> and</w:t>
      </w:r>
      <w:r w:rsidRPr="00D202E4">
        <w:rPr>
          <w:rFonts w:cs="Times New Roman"/>
          <w:i/>
          <w:iCs/>
          <w:color w:val="000000" w:themeColor="text1"/>
        </w:rPr>
        <w:t xml:space="preserve"> ε</w:t>
      </w:r>
      <w:r w:rsidRPr="00D202E4">
        <w:rPr>
          <w:rFonts w:cs="Times New Roman"/>
          <w:i/>
          <w:iCs/>
          <w:color w:val="000000" w:themeColor="text1"/>
          <w:vertAlign w:val="subscript"/>
        </w:rPr>
        <w:t>∞</w:t>
      </w:r>
      <w:r w:rsidRPr="00D202E4">
        <w:rPr>
          <w:rFonts w:cs="Times New Roman"/>
          <w:color w:val="000000" w:themeColor="text1"/>
          <w:vertAlign w:val="subscript"/>
        </w:rPr>
        <w:t xml:space="preserve"> </w:t>
      </w:r>
      <w:r w:rsidRPr="00D202E4">
        <w:rPr>
          <w:rFonts w:cs="Times New Roman"/>
          <w:color w:val="000000" w:themeColor="text1"/>
        </w:rPr>
        <w:t>are the relaxed and unrelaxed values of dielectric constant, and</w:t>
      </w:r>
      <w:r w:rsidRPr="00D202E4">
        <w:rPr>
          <w:rFonts w:cs="Times New Roman"/>
          <w:i/>
          <w:iCs/>
          <w:color w:val="000000" w:themeColor="text1"/>
        </w:rPr>
        <w:t xml:space="preserve"> </w:t>
      </w:r>
      <w:proofErr w:type="spellStart"/>
      <w:r w:rsidRPr="00D202E4">
        <w:rPr>
          <w:rFonts w:cs="Times New Roman"/>
          <w:i/>
          <w:iCs/>
          <w:color w:val="000000" w:themeColor="text1"/>
        </w:rPr>
        <w:t>τ</w:t>
      </w:r>
      <w:r w:rsidRPr="00D202E4">
        <w:rPr>
          <w:rFonts w:cs="Times New Roman"/>
          <w:i/>
          <w:iCs/>
          <w:color w:val="000000" w:themeColor="text1"/>
          <w:vertAlign w:val="subscript"/>
        </w:rPr>
        <w:t>HN</w:t>
      </w:r>
      <w:proofErr w:type="spellEnd"/>
      <w:r w:rsidRPr="00D202E4">
        <w:rPr>
          <w:rFonts w:cs="Times New Roman"/>
          <w:i/>
          <w:iCs/>
          <w:color w:val="000000" w:themeColor="text1"/>
        </w:rPr>
        <w:t xml:space="preserve"> </w:t>
      </w:r>
      <w:r w:rsidRPr="00D202E4">
        <w:rPr>
          <w:rFonts w:cs="Times New Roman"/>
          <w:color w:val="000000" w:themeColor="text1"/>
        </w:rPr>
        <w:t xml:space="preserve">is the characteristic relaxation time. The parameters </w:t>
      </w:r>
      <w:r w:rsidRPr="00D202E4">
        <w:rPr>
          <w:rFonts w:cs="Times New Roman"/>
          <w:i/>
          <w:iCs/>
          <w:color w:val="000000" w:themeColor="text1"/>
        </w:rPr>
        <w:t>α</w:t>
      </w:r>
      <w:r w:rsidRPr="00D202E4">
        <w:rPr>
          <w:rFonts w:cs="Times New Roman"/>
          <w:color w:val="000000" w:themeColor="text1"/>
        </w:rPr>
        <w:t xml:space="preserve"> and</w:t>
      </w:r>
      <w:r w:rsidRPr="00D202E4">
        <w:rPr>
          <w:rFonts w:cs="Times New Roman"/>
          <w:i/>
          <w:iCs/>
          <w:color w:val="000000" w:themeColor="text1"/>
        </w:rPr>
        <w:t xml:space="preserve"> β</w:t>
      </w:r>
      <w:r w:rsidRPr="00D202E4">
        <w:rPr>
          <w:rFonts w:cs="Times New Roman"/>
          <w:color w:val="000000" w:themeColor="text1"/>
        </w:rPr>
        <w:t xml:space="preserve"> (0 &lt; </w:t>
      </w:r>
      <w:r w:rsidRPr="00D202E4">
        <w:rPr>
          <w:rFonts w:cs="Times New Roman"/>
          <w:i/>
          <w:iCs/>
          <w:color w:val="000000" w:themeColor="text1"/>
        </w:rPr>
        <w:t>α</w:t>
      </w:r>
      <w:r w:rsidRPr="00D202E4">
        <w:rPr>
          <w:rFonts w:cs="Times New Roman"/>
          <w:color w:val="000000" w:themeColor="text1"/>
        </w:rPr>
        <w:t xml:space="preserve">, </w:t>
      </w:r>
      <w:r w:rsidRPr="00D202E4">
        <w:rPr>
          <w:rFonts w:cs="Times New Roman"/>
          <w:i/>
          <w:iCs/>
          <w:color w:val="000000" w:themeColor="text1"/>
        </w:rPr>
        <w:t>αβ</w:t>
      </w:r>
      <w:r w:rsidRPr="00D202E4">
        <w:rPr>
          <w:rFonts w:cs="Times New Roman"/>
          <w:color w:val="000000" w:themeColor="text1"/>
        </w:rPr>
        <w:t xml:space="preserve"> ≤ 1) define the symmetrical and asymmetrical broadening of the loss peak.</w:t>
      </w:r>
    </w:p>
    <w:p w14:paraId="027B1D86"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The relation between </w:t>
      </w:r>
      <w:proofErr w:type="spellStart"/>
      <w:r w:rsidRPr="00D202E4">
        <w:rPr>
          <w:rFonts w:cs="Times New Roman"/>
          <w:i/>
          <w:iCs/>
          <w:color w:val="000000" w:themeColor="text1"/>
        </w:rPr>
        <w:t>τ</w:t>
      </w:r>
      <w:r w:rsidRPr="00D202E4">
        <w:rPr>
          <w:rFonts w:cs="Times New Roman"/>
          <w:i/>
          <w:iCs/>
          <w:color w:val="000000" w:themeColor="text1"/>
          <w:vertAlign w:val="subscript"/>
        </w:rPr>
        <w:t>HN</w:t>
      </w:r>
      <w:proofErr w:type="spellEnd"/>
      <w:r w:rsidRPr="00D202E4">
        <w:rPr>
          <w:rFonts w:cs="Times New Roman"/>
          <w:color w:val="000000" w:themeColor="text1"/>
        </w:rPr>
        <w:t xml:space="preserve"> and average relaxation time </w:t>
      </w:r>
      <w:proofErr w:type="spellStart"/>
      <w:r w:rsidRPr="00D202E4">
        <w:rPr>
          <w:rFonts w:cs="Times New Roman"/>
          <w:i/>
          <w:iCs/>
          <w:color w:val="000000" w:themeColor="text1"/>
        </w:rPr>
        <w:t>τ</w:t>
      </w:r>
      <w:r w:rsidRPr="00D202E4">
        <w:rPr>
          <w:rFonts w:cs="Times New Roman"/>
          <w:i/>
          <w:iCs/>
          <w:color w:val="000000" w:themeColor="text1"/>
          <w:vertAlign w:val="subscript"/>
        </w:rPr>
        <w:t>max</w:t>
      </w:r>
      <w:proofErr w:type="spellEnd"/>
      <w:r w:rsidRPr="00D202E4">
        <w:rPr>
          <w:rFonts w:cs="Times New Roman"/>
          <w:color w:val="000000" w:themeColor="text1"/>
        </w:rPr>
        <w:t xml:space="preserve"> is given by the following equations:</w:t>
      </w:r>
    </w:p>
    <w:p w14:paraId="4828489D" w14:textId="77777777" w:rsidR="009E2C9C" w:rsidRPr="00D202E4" w:rsidRDefault="00000000" w:rsidP="0099483A">
      <w:pPr>
        <w:widowControl/>
        <w:spacing w:beforeLines="50" w:before="120" w:afterLines="50" w:after="120" w:line="240" w:lineRule="auto"/>
        <w:ind w:firstLineChars="0" w:firstLine="0"/>
        <w:rPr>
          <w:rFonts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max</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HN</m:t>
              </m:r>
            </m:sub>
          </m:sSub>
          <m:sSup>
            <m:sSupPr>
              <m:ctrlPr>
                <w:rPr>
                  <w:rFonts w:ascii="Cambria Math" w:hAnsi="Cambria Math" w:cs="Times New Roman"/>
                  <w:i/>
                  <w:color w:val="000000" w:themeColor="text1"/>
                </w:rPr>
              </m:ctrlPr>
            </m:sSupPr>
            <m:e>
              <m:r>
                <w:rPr>
                  <w:rFonts w:ascii="Cambria Math" w:hAnsi="Cambria Math" w:cs="Times New Roman"/>
                  <w:color w:val="000000" w:themeColor="text1"/>
                </w:rPr>
                <m:t>[sin</m:t>
              </m:r>
              <m:f>
                <m:fPr>
                  <m:ctrlPr>
                    <w:rPr>
                      <w:rFonts w:ascii="Cambria Math" w:hAnsi="Cambria Math" w:cs="Times New Roman"/>
                      <w:i/>
                      <w:color w:val="000000" w:themeColor="text1"/>
                    </w:rPr>
                  </m:ctrlPr>
                </m:fPr>
                <m:num>
                  <m:r>
                    <w:rPr>
                      <w:rFonts w:ascii="Cambria Math" w:hAnsi="Cambria Math" w:cs="Times New Roman"/>
                      <w:color w:val="000000" w:themeColor="text1"/>
                    </w:rPr>
                    <m:t>παβ</m:t>
                  </m:r>
                </m:num>
                <m:den>
                  <m:r>
                    <w:rPr>
                      <w:rFonts w:ascii="Cambria Math" w:hAnsi="Cambria Math" w:cs="Times New Roman"/>
                      <w:color w:val="000000" w:themeColor="text1"/>
                    </w:rPr>
                    <m:t>2(1+β)</m:t>
                  </m:r>
                </m:den>
              </m:f>
              <m:r>
                <w:rPr>
                  <w:rFonts w:ascii="Cambria Math" w:hAnsi="Cambria Math" w:cs="Times New Roman"/>
                  <w:color w:val="000000" w:themeColor="text1"/>
                </w:rPr>
                <m:t>]</m:t>
              </m:r>
            </m:e>
            <m:sup>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α</m:t>
                  </m:r>
                </m:den>
              </m:f>
            </m:sup>
          </m:sSup>
          <m:sSup>
            <m:sSupPr>
              <m:ctrlPr>
                <w:rPr>
                  <w:rFonts w:ascii="Cambria Math" w:hAnsi="Cambria Math" w:cs="Times New Roman"/>
                  <w:i/>
                  <w:color w:val="000000" w:themeColor="text1"/>
                </w:rPr>
              </m:ctrlPr>
            </m:sSupPr>
            <m:e>
              <m:r>
                <w:rPr>
                  <w:rFonts w:ascii="Cambria Math" w:hAnsi="Cambria Math" w:cs="Times New Roman"/>
                  <w:color w:val="000000" w:themeColor="text1"/>
                </w:rPr>
                <m:t>[sin</m:t>
              </m:r>
              <m:f>
                <m:fPr>
                  <m:ctrlPr>
                    <w:rPr>
                      <w:rFonts w:ascii="Cambria Math" w:hAnsi="Cambria Math" w:cs="Times New Roman"/>
                      <w:i/>
                      <w:color w:val="000000" w:themeColor="text1"/>
                    </w:rPr>
                  </m:ctrlPr>
                </m:fPr>
                <m:num>
                  <m:r>
                    <w:rPr>
                      <w:rFonts w:ascii="Cambria Math" w:hAnsi="Cambria Math" w:cs="Times New Roman"/>
                      <w:color w:val="000000" w:themeColor="text1"/>
                    </w:rPr>
                    <m:t>πα</m:t>
                  </m:r>
                </m:num>
                <m:den>
                  <m:r>
                    <w:rPr>
                      <w:rFonts w:ascii="Cambria Math" w:hAnsi="Cambria Math" w:cs="Times New Roman"/>
                      <w:color w:val="000000" w:themeColor="text1"/>
                    </w:rPr>
                    <m:t>2(1+β)</m:t>
                  </m:r>
                </m:den>
              </m:f>
              <m:r>
                <w:rPr>
                  <w:rFonts w:ascii="Cambria Math" w:hAnsi="Cambria Math" w:cs="Times New Roman"/>
                  <w:color w:val="000000" w:themeColor="text1"/>
                </w:rPr>
                <m:t>]</m:t>
              </m:r>
            </m:e>
            <m:sup>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α</m:t>
                  </m:r>
                </m:den>
              </m:f>
            </m:sup>
          </m:sSup>
        </m:oMath>
      </m:oMathPara>
    </w:p>
    <w:p w14:paraId="4C768BF3" w14:textId="77777777" w:rsidR="009E2C9C" w:rsidRPr="00D202E4" w:rsidRDefault="00000000" w:rsidP="0099483A">
      <w:pPr>
        <w:widowControl/>
        <w:spacing w:beforeLines="50" w:before="120" w:afterLines="50" w:after="120" w:line="240" w:lineRule="auto"/>
        <w:ind w:firstLineChars="0" w:firstLine="0"/>
        <w:rPr>
          <w:rFonts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max</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2π</m:t>
              </m:r>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max</m:t>
                  </m:r>
                </m:sub>
              </m:sSub>
            </m:den>
          </m:f>
        </m:oMath>
      </m:oMathPara>
    </w:p>
    <w:p w14:paraId="7AE3BCBF"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where </w:t>
      </w:r>
      <w:r w:rsidRPr="00D202E4">
        <w:rPr>
          <w:rFonts w:cs="Times New Roman"/>
          <w:i/>
          <w:iCs/>
          <w:color w:val="000000" w:themeColor="text1"/>
        </w:rPr>
        <w:t>f</w:t>
      </w:r>
      <w:r w:rsidRPr="00D202E4">
        <w:rPr>
          <w:rFonts w:cs="Times New Roman"/>
          <w:i/>
          <w:iCs/>
          <w:color w:val="000000" w:themeColor="text1"/>
          <w:vertAlign w:val="subscript"/>
        </w:rPr>
        <w:t>max</w:t>
      </w:r>
      <w:r w:rsidRPr="00D202E4">
        <w:rPr>
          <w:rFonts w:cs="Times New Roman"/>
          <w:color w:val="000000" w:themeColor="text1"/>
        </w:rPr>
        <w:t xml:space="preserve"> is the frequency at which </w:t>
      </w:r>
      <w:r w:rsidRPr="00D202E4">
        <w:rPr>
          <w:rFonts w:cs="Times New Roman"/>
          <w:i/>
          <w:iCs/>
          <w:color w:val="000000" w:themeColor="text1"/>
        </w:rPr>
        <w:t>ε''</w:t>
      </w:r>
      <w:r w:rsidRPr="00D202E4">
        <w:rPr>
          <w:rFonts w:cs="Times New Roman"/>
          <w:color w:val="000000" w:themeColor="text1"/>
        </w:rPr>
        <w:t xml:space="preserve"> passes through the maximum value.</w:t>
      </w:r>
    </w:p>
    <w:p w14:paraId="0DCCD291"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The </w:t>
      </w:r>
      <w:r w:rsidRPr="00D202E4">
        <w:rPr>
          <w:rFonts w:cs="Times New Roman"/>
          <w:i/>
          <w:iCs/>
          <w:color w:val="000000" w:themeColor="text1"/>
        </w:rPr>
        <w:t>ε*</w:t>
      </w:r>
      <w:r w:rsidRPr="00D202E4">
        <w:rPr>
          <w:rFonts w:cs="Times New Roman"/>
          <w:color w:val="000000" w:themeColor="text1"/>
        </w:rPr>
        <w:t xml:space="preserve"> in the fitted H-N equation is further converted into </w:t>
      </w:r>
      <w:r w:rsidRPr="00D202E4">
        <w:rPr>
          <w:rFonts w:cs="Times New Roman"/>
          <w:i/>
          <w:iCs/>
          <w:color w:val="000000" w:themeColor="text1"/>
        </w:rPr>
        <w:t>M*</w:t>
      </w:r>
      <w:r w:rsidRPr="00D202E4">
        <w:rPr>
          <w:rFonts w:cs="Times New Roman"/>
          <w:color w:val="000000" w:themeColor="text1"/>
        </w:rPr>
        <w:t>.</w:t>
      </w:r>
    </w:p>
    <w:p w14:paraId="05B6BCCD" w14:textId="77777777" w:rsidR="009E2C9C" w:rsidRPr="00D202E4" w:rsidRDefault="009E2C9C" w:rsidP="0099483A">
      <w:pPr>
        <w:widowControl/>
        <w:ind w:firstLineChars="0" w:firstLine="0"/>
        <w:rPr>
          <w:rFonts w:cs="Times New Roman"/>
          <w:color w:val="000000" w:themeColor="text1"/>
        </w:rPr>
      </w:pPr>
    </w:p>
    <w:p w14:paraId="4E75B9D2" w14:textId="77777777" w:rsidR="009E2C9C" w:rsidRPr="00D202E4" w:rsidRDefault="009E2C9C" w:rsidP="0099483A">
      <w:pPr>
        <w:widowControl/>
        <w:ind w:firstLineChars="0" w:firstLine="0"/>
        <w:rPr>
          <w:rFonts w:cs="Times New Roman"/>
          <w:b/>
          <w:bCs/>
          <w:color w:val="000000" w:themeColor="text1"/>
        </w:rPr>
      </w:pPr>
      <w:r w:rsidRPr="00D202E4">
        <w:rPr>
          <w:rFonts w:cs="Times New Roman"/>
          <w:b/>
          <w:bCs/>
          <w:color w:val="000000" w:themeColor="text1"/>
        </w:rPr>
        <w:t>Vogel-Fulcher-</w:t>
      </w:r>
      <w:proofErr w:type="spellStart"/>
      <w:r w:rsidRPr="00D202E4">
        <w:rPr>
          <w:rFonts w:cs="Times New Roman"/>
          <w:b/>
          <w:bCs/>
          <w:color w:val="000000" w:themeColor="text1"/>
        </w:rPr>
        <w:t>Tamman</w:t>
      </w:r>
      <w:proofErr w:type="spellEnd"/>
      <w:r w:rsidRPr="00D202E4">
        <w:rPr>
          <w:rFonts w:cs="Times New Roman"/>
          <w:b/>
          <w:bCs/>
          <w:color w:val="000000" w:themeColor="text1"/>
        </w:rPr>
        <w:t xml:space="preserve"> (VFT) equation fitting:</w:t>
      </w:r>
    </w:p>
    <w:p w14:paraId="156693B8" w14:textId="76915E9F"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The average relaxation times </w:t>
      </w:r>
      <w:proofErr w:type="spellStart"/>
      <w:r w:rsidRPr="00D202E4">
        <w:rPr>
          <w:rFonts w:cs="Times New Roman"/>
          <w:i/>
          <w:iCs/>
          <w:color w:val="000000" w:themeColor="text1"/>
        </w:rPr>
        <w:t>τ</w:t>
      </w:r>
      <w:r w:rsidRPr="00D202E4">
        <w:rPr>
          <w:rFonts w:cs="Times New Roman"/>
          <w:i/>
          <w:iCs/>
          <w:color w:val="000000" w:themeColor="text1"/>
          <w:vertAlign w:val="subscript"/>
        </w:rPr>
        <w:t>max</w:t>
      </w:r>
      <w:proofErr w:type="spellEnd"/>
      <w:r w:rsidRPr="00D202E4">
        <w:rPr>
          <w:rFonts w:cs="Times New Roman"/>
          <w:color w:val="000000" w:themeColor="text1"/>
        </w:rPr>
        <w:t xml:space="preserve"> can be extracted from the H-N equation. This characteristic relaxation time can be correlated with the temperature from 50 to 90 °C through Vogel-Fulcher-</w:t>
      </w:r>
      <w:proofErr w:type="spellStart"/>
      <w:r w:rsidRPr="00D202E4">
        <w:rPr>
          <w:rFonts w:cs="Times New Roman"/>
          <w:color w:val="000000" w:themeColor="text1"/>
        </w:rPr>
        <w:t>Tamman</w:t>
      </w:r>
      <w:proofErr w:type="spellEnd"/>
      <w:r w:rsidRPr="00D202E4">
        <w:rPr>
          <w:rFonts w:cs="Times New Roman"/>
          <w:color w:val="000000" w:themeColor="text1"/>
        </w:rPr>
        <w:t xml:space="preserve"> (VFT) equation as follows:</w:t>
      </w:r>
      <w:r w:rsidR="00742582">
        <w:rPr>
          <w:rFonts w:cs="Times New Roman"/>
          <w:color w:val="000000" w:themeColor="text1"/>
          <w:vertAlign w:val="superscript"/>
        </w:rPr>
        <w:fldChar w:fldCharType="begin"/>
      </w:r>
      <w:r w:rsidR="00742582">
        <w:rPr>
          <w:rFonts w:cs="Times New Roman"/>
          <w:color w:val="000000" w:themeColor="text1"/>
          <w:vertAlign w:val="superscript"/>
        </w:rPr>
        <w:instrText xml:space="preserve"> ADDIN EN.CITE &lt;EndNote&gt;&lt;Cite&gt;&lt;Author&gt;Tang&lt;/Author&gt;&lt;Year&gt;2014&lt;/Year&gt;&lt;RecNum&gt;61&lt;/RecNum&gt;&lt;DisplayText&gt;&lt;style face="superscript"&gt;10, 11&lt;/style&gt;&lt;/DisplayText&gt;&lt;record&gt;&lt;rec-number&gt;61&lt;/rec-number&gt;&lt;foreign-keys&gt;&lt;key app="EN" db-id="22wapd0sdtazr4ed0e8vwz5rtwzz9vetdxv2" timestamp="1662298366"&gt;61&lt;/key&gt;&lt;/foreign-keys&gt;&lt;ref-type name="Journal Article"&gt;17&lt;/ref-type&gt;&lt;contributors&gt;&lt;authors&gt;&lt;author&gt;Tang, Zhenghai&lt;/author&gt;&lt;author&gt;Zhang, Liqun&lt;/author&gt;&lt;author&gt;Feng, Wenjiang&lt;/author&gt;&lt;author&gt;Guo, Baochun&lt;/author&gt;&lt;author&gt;Liu, Fang&lt;/author&gt;&lt;author&gt;Jia, Demin&lt;/author&gt;&lt;/authors&gt;&lt;/contributors&gt;&lt;titles&gt;&lt;title&gt;Rational design of graphene surface chemistry for high-performance rubber/graphene composites&lt;/title&gt;&lt;secondary-title&gt;Macromolecules&lt;/secondary-title&gt;&lt;/titles&gt;&lt;periodical&gt;&lt;full-title&gt;Macromolecules&lt;/full-title&gt;&lt;/periodical&gt;&lt;pages&gt;8663-8673&lt;/pages&gt;&lt;volume&gt;47&lt;/volume&gt;&lt;number&gt;24&lt;/number&gt;&lt;dates&gt;&lt;year&gt;2014&lt;/year&gt;&lt;/dates&gt;&lt;isbn&gt;0024-9297&lt;/isbn&gt;&lt;urls&gt;&lt;/urls&gt;&lt;/record&gt;&lt;/Cite&gt;&lt;Cite&gt;&lt;Author&gt;Ortiz-Serna&lt;/Author&gt;&lt;Year&gt;2010&lt;/Year&gt;&lt;RecNum&gt;60&lt;/RecNum&gt;&lt;record&gt;&lt;rec-number&gt;60&lt;/rec-number&gt;&lt;foreign-keys&gt;&lt;key app="EN" db-id="22wapd0sdtazr4ed0e8vwz5rtwzz9vetdxv2" timestamp="1662298338"&gt;60&lt;/key&gt;&lt;/foreign-keys&gt;&lt;ref-type name="Journal Article"&gt;17&lt;/ref-type&gt;&lt;contributors&gt;&lt;authors&gt;&lt;author&gt;Ortiz-Serna, P&lt;/author&gt;&lt;author&gt;Díaz-Calleja, R&lt;/author&gt;&lt;author&gt;Sanchis, MJ&lt;/author&gt;&lt;author&gt;Floudas, G&lt;/author&gt;&lt;author&gt;Nunes, RC&lt;/author&gt;&lt;author&gt;Martins, AF&lt;/author&gt;&lt;author&gt;Visconte, LL&lt;/author&gt;&lt;/authors&gt;&lt;/contributors&gt;&lt;titles&gt;&lt;title&gt;Dynamics of natural rubber as a function of frequency, temperature, and pressure. A dielectric spectroscopy investigation&lt;/title&gt;&lt;secondary-title&gt;Macromolecules&lt;/secondary-title&gt;&lt;/titles&gt;&lt;periodical&gt;&lt;full-title&gt;Macromolecules&lt;/full-title&gt;&lt;/periodical&gt;&lt;pages&gt;5094-5102&lt;/pages&gt;&lt;volume&gt;43&lt;/volume&gt;&lt;number&gt;11&lt;/number&gt;&lt;dates&gt;&lt;year&gt;2010&lt;/year&gt;&lt;/dates&gt;&lt;isbn&gt;0024-9297&lt;/isbn&gt;&lt;urls&gt;&lt;/urls&gt;&lt;/record&gt;&lt;/Cite&gt;&lt;/EndNote&gt;</w:instrText>
      </w:r>
      <w:r w:rsidR="00742582">
        <w:rPr>
          <w:rFonts w:cs="Times New Roman"/>
          <w:color w:val="000000" w:themeColor="text1"/>
          <w:vertAlign w:val="superscript"/>
        </w:rPr>
        <w:fldChar w:fldCharType="separate"/>
      </w:r>
      <w:r w:rsidR="00742582">
        <w:rPr>
          <w:rFonts w:cs="Times New Roman"/>
          <w:noProof/>
          <w:color w:val="000000" w:themeColor="text1"/>
          <w:vertAlign w:val="superscript"/>
        </w:rPr>
        <w:t>10, 11</w:t>
      </w:r>
      <w:r w:rsidR="00742582">
        <w:rPr>
          <w:rFonts w:cs="Times New Roman"/>
          <w:color w:val="000000" w:themeColor="text1"/>
          <w:vertAlign w:val="superscript"/>
        </w:rPr>
        <w:fldChar w:fldCharType="end"/>
      </w:r>
    </w:p>
    <w:p w14:paraId="1B3DB8F0" w14:textId="77777777" w:rsidR="009E2C9C" w:rsidRPr="00D202E4" w:rsidRDefault="00000000" w:rsidP="0099483A">
      <w:pPr>
        <w:widowControl/>
        <w:spacing w:beforeLines="50" w:before="120" w:afterLines="50" w:after="120" w:line="240" w:lineRule="auto"/>
        <w:ind w:firstLineChars="0" w:firstLine="0"/>
        <w:rPr>
          <w:rFonts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max</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0</m:t>
              </m:r>
            </m:sub>
          </m:sSub>
          <m:r>
            <w:rPr>
              <w:rFonts w:ascii="Cambria Math" w:hAnsi="Cambria Math" w:cs="Times New Roman"/>
              <w:color w:val="000000" w:themeColor="text1"/>
            </w:rPr>
            <m:t>exp</m:t>
          </m:r>
          <m:r>
            <m:rPr>
              <m:sty m:val="p"/>
            </m:rPr>
            <w:rPr>
              <w:rFonts w:ascii="Cambria Math" w:hAnsi="Cambria Math" w:cs="Times New Roman"/>
              <w:color w:val="000000" w:themeColor="text1"/>
            </w:rPr>
            <m:t>⁡</m:t>
          </m:r>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B</m:t>
              </m:r>
            </m:num>
            <m:den>
              <m:r>
                <w:rPr>
                  <w:rFonts w:ascii="Cambria Math" w:hAnsi="Cambria Math" w:cs="Times New Roman"/>
                  <w:color w:val="000000" w:themeColor="text1"/>
                </w:rPr>
                <m:t>T-</m:t>
              </m:r>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0</m:t>
                  </m:r>
                </m:sub>
              </m:sSub>
            </m:den>
          </m:f>
          <m:r>
            <w:rPr>
              <w:rFonts w:ascii="Cambria Math" w:hAnsi="Cambria Math" w:cs="Times New Roman"/>
              <w:color w:val="000000" w:themeColor="text1"/>
            </w:rPr>
            <m:t>)</m:t>
          </m:r>
        </m:oMath>
      </m:oMathPara>
    </w:p>
    <w:p w14:paraId="29EC806B"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where</w:t>
      </w:r>
      <w:r w:rsidRPr="00D202E4">
        <w:rPr>
          <w:rFonts w:cs="Times New Roman"/>
          <w:i/>
          <w:iCs/>
          <w:color w:val="000000" w:themeColor="text1"/>
        </w:rPr>
        <w:t xml:space="preserve"> τ</w:t>
      </w:r>
      <w:r w:rsidRPr="00D202E4">
        <w:rPr>
          <w:rFonts w:cs="Times New Roman"/>
          <w:i/>
          <w:iCs/>
          <w:color w:val="000000" w:themeColor="text1"/>
          <w:vertAlign w:val="subscript"/>
        </w:rPr>
        <w:t>0</w:t>
      </w:r>
      <w:r w:rsidRPr="00D202E4">
        <w:rPr>
          <w:rFonts w:cs="Times New Roman"/>
          <w:color w:val="000000" w:themeColor="text1"/>
        </w:rPr>
        <w:t xml:space="preserve"> and </w:t>
      </w:r>
      <w:r w:rsidRPr="00D202E4">
        <w:rPr>
          <w:rFonts w:cs="Times New Roman"/>
          <w:i/>
          <w:iCs/>
          <w:color w:val="000000" w:themeColor="text1"/>
        </w:rPr>
        <w:t>B</w:t>
      </w:r>
      <w:r w:rsidRPr="00D202E4">
        <w:rPr>
          <w:rFonts w:cs="Times New Roman"/>
          <w:color w:val="000000" w:themeColor="text1"/>
        </w:rPr>
        <w:t xml:space="preserve"> are empirical parameters and </w:t>
      </w:r>
      <w:r w:rsidRPr="00D202E4">
        <w:rPr>
          <w:rFonts w:cs="Times New Roman"/>
          <w:i/>
          <w:iCs/>
          <w:color w:val="000000" w:themeColor="text1"/>
        </w:rPr>
        <w:t>T</w:t>
      </w:r>
      <w:r w:rsidRPr="00D202E4">
        <w:rPr>
          <w:rFonts w:cs="Times New Roman"/>
          <w:i/>
          <w:iCs/>
          <w:color w:val="000000" w:themeColor="text1"/>
          <w:vertAlign w:val="subscript"/>
        </w:rPr>
        <w:t>0</w:t>
      </w:r>
      <w:r w:rsidRPr="00D202E4">
        <w:rPr>
          <w:rFonts w:cs="Times New Roman"/>
          <w:color w:val="000000" w:themeColor="text1"/>
        </w:rPr>
        <w:t xml:space="preserve"> is the so-called Vogel temperature.</w:t>
      </w:r>
    </w:p>
    <w:p w14:paraId="7107494F"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Further extrapolate the equation to around 25 °C to get the corresponding </w:t>
      </w:r>
      <w:proofErr w:type="spellStart"/>
      <w:r w:rsidRPr="00D202E4">
        <w:rPr>
          <w:rFonts w:cs="Times New Roman"/>
          <w:i/>
          <w:iCs/>
          <w:color w:val="000000" w:themeColor="text1"/>
        </w:rPr>
        <w:t>τ</w:t>
      </w:r>
      <w:r w:rsidRPr="00D202E4">
        <w:rPr>
          <w:rFonts w:cs="Times New Roman"/>
          <w:i/>
          <w:iCs/>
          <w:color w:val="000000" w:themeColor="text1"/>
          <w:vertAlign w:val="subscript"/>
        </w:rPr>
        <w:t>max</w:t>
      </w:r>
      <w:proofErr w:type="spellEnd"/>
      <w:r w:rsidRPr="00D202E4">
        <w:rPr>
          <w:rFonts w:cs="Times New Roman"/>
          <w:color w:val="000000" w:themeColor="text1"/>
        </w:rPr>
        <w:t xml:space="preserve"> at room temperature.</w:t>
      </w:r>
    </w:p>
    <w:p w14:paraId="3F943DA1" w14:textId="77777777" w:rsidR="009E2C9C" w:rsidRPr="00D202E4" w:rsidRDefault="009E2C9C" w:rsidP="0099483A">
      <w:pPr>
        <w:widowControl/>
        <w:spacing w:line="240" w:lineRule="auto"/>
        <w:ind w:firstLineChars="0" w:firstLine="0"/>
        <w:jc w:val="left"/>
        <w:rPr>
          <w:rFonts w:cs="Times New Roman"/>
          <w:color w:val="000000" w:themeColor="text1"/>
        </w:rPr>
      </w:pPr>
    </w:p>
    <w:p w14:paraId="350D32EA" w14:textId="77777777" w:rsidR="009E2C9C" w:rsidRPr="00D202E4" w:rsidRDefault="009E2C9C" w:rsidP="0099483A">
      <w:pPr>
        <w:widowControl/>
        <w:ind w:firstLineChars="0" w:firstLine="0"/>
        <w:rPr>
          <w:rFonts w:cs="Times New Roman"/>
          <w:b/>
          <w:bCs/>
          <w:color w:val="000000" w:themeColor="text1"/>
        </w:rPr>
      </w:pPr>
      <w:r w:rsidRPr="00D202E4">
        <w:rPr>
          <w:rFonts w:cs="Times New Roman"/>
          <w:b/>
          <w:bCs/>
          <w:color w:val="000000" w:themeColor="text1"/>
        </w:rPr>
        <w:lastRenderedPageBreak/>
        <w:t>Arrhenius equation fitting:</w:t>
      </w:r>
    </w:p>
    <w:p w14:paraId="56670449" w14:textId="1BC2D826"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To obtain the activation energy (</w:t>
      </w:r>
      <w:proofErr w:type="spellStart"/>
      <w:r w:rsidRPr="00D202E4">
        <w:rPr>
          <w:rFonts w:cs="Times New Roman"/>
          <w:i/>
          <w:iCs/>
          <w:color w:val="000000" w:themeColor="text1"/>
        </w:rPr>
        <w:t>E</w:t>
      </w:r>
      <w:r w:rsidRPr="00D202E4">
        <w:rPr>
          <w:rFonts w:cs="Times New Roman"/>
          <w:i/>
          <w:iCs/>
          <w:color w:val="000000" w:themeColor="text1"/>
          <w:vertAlign w:val="subscript"/>
        </w:rPr>
        <w:t>a</w:t>
      </w:r>
      <w:proofErr w:type="spellEnd"/>
      <w:r w:rsidRPr="00D202E4">
        <w:rPr>
          <w:rFonts w:cs="Times New Roman"/>
          <w:color w:val="000000" w:themeColor="text1"/>
        </w:rPr>
        <w:t>) of relaxation process around a specified temperature, we use the Arrhenius equation to linearly fit the data points, the equation is as follows:</w:t>
      </w:r>
      <w:r w:rsidR="00742582">
        <w:rPr>
          <w:rFonts w:cs="Times New Roman"/>
          <w:color w:val="000000" w:themeColor="text1"/>
          <w:vertAlign w:val="superscript"/>
        </w:rPr>
        <w:fldChar w:fldCharType="begin"/>
      </w:r>
      <w:r w:rsidR="00742582">
        <w:rPr>
          <w:rFonts w:cs="Times New Roman"/>
          <w:color w:val="000000" w:themeColor="text1"/>
          <w:vertAlign w:val="superscript"/>
        </w:rPr>
        <w:instrText xml:space="preserve"> ADDIN EN.CITE &lt;EndNote&gt;&lt;Cite&gt;&lt;Author&gt;Menzinger&lt;/Author&gt;&lt;Year&gt;1969&lt;/Year&gt;&lt;RecNum&gt;62&lt;/RecNum&gt;&lt;DisplayText&gt;&lt;style face="superscript"&gt;12&lt;/style&gt;&lt;/DisplayText&gt;&lt;record&gt;&lt;rec-number&gt;62&lt;/rec-number&gt;&lt;foreign-keys&gt;&lt;key app="EN" db-id="22wapd0sdtazr4ed0e8vwz5rtwzz9vetdxv2" timestamp="1662298429"&gt;62&lt;/key&gt;&lt;/foreign-keys&gt;&lt;ref-type name="Journal Article"&gt;17&lt;/ref-type&gt;&lt;contributors&gt;&lt;authors&gt;&lt;author&gt;Menzinger, M&lt;/author&gt;&lt;author&gt;Wolfgang, Re&lt;/author&gt;&lt;/authors&gt;&lt;/contributors&gt;&lt;titles&gt;&lt;title&gt;The meaning and use of the Arrhenius activation energy&lt;/title&gt;&lt;secondary-title&gt;Angewandte Chemie International Edition in English&lt;/secondary-title&gt;&lt;/titles&gt;&lt;periodical&gt;&lt;full-title&gt;Angewandte Chemie International Edition in English&lt;/full-title&gt;&lt;/periodical&gt;&lt;pages&gt;438-444&lt;/pages&gt;&lt;volume&gt;8&lt;/volume&gt;&lt;number&gt;6&lt;/number&gt;&lt;dates&gt;&lt;year&gt;1969&lt;/year&gt;&lt;/dates&gt;&lt;isbn&gt;0570-0833&lt;/isbn&gt;&lt;urls&gt;&lt;/urls&gt;&lt;/record&gt;&lt;/Cite&gt;&lt;/EndNote&gt;</w:instrText>
      </w:r>
      <w:r w:rsidR="00742582">
        <w:rPr>
          <w:rFonts w:cs="Times New Roman"/>
          <w:color w:val="000000" w:themeColor="text1"/>
          <w:vertAlign w:val="superscript"/>
        </w:rPr>
        <w:fldChar w:fldCharType="separate"/>
      </w:r>
      <w:r w:rsidR="00742582">
        <w:rPr>
          <w:rFonts w:cs="Times New Roman"/>
          <w:noProof/>
          <w:color w:val="000000" w:themeColor="text1"/>
          <w:vertAlign w:val="superscript"/>
        </w:rPr>
        <w:t>12</w:t>
      </w:r>
      <w:r w:rsidR="00742582">
        <w:rPr>
          <w:rFonts w:cs="Times New Roman"/>
          <w:color w:val="000000" w:themeColor="text1"/>
          <w:vertAlign w:val="superscript"/>
        </w:rPr>
        <w:fldChar w:fldCharType="end"/>
      </w:r>
    </w:p>
    <w:p w14:paraId="491C5716" w14:textId="77777777" w:rsidR="009E2C9C" w:rsidRPr="00D202E4" w:rsidRDefault="00000000" w:rsidP="0099483A">
      <w:pPr>
        <w:widowControl/>
        <w:spacing w:beforeLines="50" w:before="120" w:afterLines="50" w:after="120" w:line="240" w:lineRule="auto"/>
        <w:ind w:firstLineChars="0" w:firstLine="0"/>
        <w:rPr>
          <w:rFonts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max</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0</m:t>
              </m:r>
            </m:sub>
          </m:sSub>
          <m:r>
            <w:rPr>
              <w:rFonts w:ascii="Cambria Math" w:hAnsi="Cambria Math" w:cs="Times New Roman"/>
              <w:color w:val="000000" w:themeColor="text1"/>
            </w:rPr>
            <m:t>exp</m:t>
          </m:r>
          <m:r>
            <m:rPr>
              <m:sty m:val="p"/>
            </m:rPr>
            <w:rPr>
              <w:rFonts w:ascii="Cambria Math" w:hAnsi="Cambria Math" w:cs="Times New Roman"/>
              <w:color w:val="000000" w:themeColor="text1"/>
            </w:rPr>
            <m:t>⁡</m:t>
          </m:r>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a</m:t>
                  </m:r>
                </m:sub>
              </m:sSub>
            </m:num>
            <m:den>
              <m:r>
                <w:rPr>
                  <w:rFonts w:ascii="Cambria Math" w:hAnsi="Cambria Math" w:cs="Times New Roman"/>
                  <w:color w:val="000000" w:themeColor="text1"/>
                </w:rPr>
                <m:t>RT</m:t>
              </m:r>
            </m:den>
          </m:f>
          <m:r>
            <w:rPr>
              <w:rFonts w:ascii="Cambria Math" w:hAnsi="Cambria Math" w:cs="Times New Roman"/>
              <w:color w:val="000000" w:themeColor="text1"/>
            </w:rPr>
            <m:t>)</m:t>
          </m:r>
        </m:oMath>
      </m:oMathPara>
    </w:p>
    <w:p w14:paraId="5F45B66A"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 xml:space="preserve">where </w:t>
      </w:r>
      <w:proofErr w:type="spellStart"/>
      <w:r w:rsidRPr="00D202E4">
        <w:rPr>
          <w:rFonts w:cs="Times New Roman"/>
          <w:i/>
          <w:iCs/>
          <w:color w:val="000000" w:themeColor="text1"/>
        </w:rPr>
        <w:t>τ</w:t>
      </w:r>
      <w:r w:rsidRPr="00D202E4">
        <w:rPr>
          <w:rFonts w:cs="Times New Roman"/>
          <w:i/>
          <w:iCs/>
          <w:color w:val="000000" w:themeColor="text1"/>
          <w:vertAlign w:val="subscript"/>
        </w:rPr>
        <w:t>max</w:t>
      </w:r>
      <w:proofErr w:type="spellEnd"/>
      <w:r w:rsidRPr="00D202E4">
        <w:rPr>
          <w:rFonts w:cs="Times New Roman"/>
          <w:color w:val="000000" w:themeColor="text1"/>
        </w:rPr>
        <w:t xml:space="preserve"> average relaxation time at the certain temperature, and </w:t>
      </w:r>
      <w:r w:rsidRPr="00D202E4">
        <w:rPr>
          <w:rFonts w:cs="Times New Roman"/>
          <w:i/>
          <w:iCs/>
          <w:color w:val="000000" w:themeColor="text1"/>
        </w:rPr>
        <w:t>τ</w:t>
      </w:r>
      <w:r w:rsidRPr="00D202E4">
        <w:rPr>
          <w:rFonts w:cs="Times New Roman"/>
          <w:i/>
          <w:iCs/>
          <w:color w:val="000000" w:themeColor="text1"/>
          <w:vertAlign w:val="subscript"/>
        </w:rPr>
        <w:t>0</w:t>
      </w:r>
      <w:r w:rsidRPr="00D202E4">
        <w:rPr>
          <w:rFonts w:cs="Times New Roman"/>
          <w:color w:val="000000" w:themeColor="text1"/>
        </w:rPr>
        <w:t xml:space="preserve"> is a proportionality constant. </w:t>
      </w:r>
    </w:p>
    <w:p w14:paraId="1073EF08" w14:textId="77777777" w:rsidR="009E2C9C" w:rsidRPr="00D202E4" w:rsidRDefault="009E2C9C" w:rsidP="0099483A">
      <w:pPr>
        <w:widowControl/>
        <w:spacing w:line="240" w:lineRule="auto"/>
        <w:ind w:firstLineChars="0" w:firstLine="0"/>
        <w:rPr>
          <w:rFonts w:eastAsia="黑体" w:cs="Times New Roman"/>
          <w:b/>
          <w:bCs/>
          <w:color w:val="000000" w:themeColor="text1"/>
          <w:kern w:val="44"/>
          <w:sz w:val="32"/>
          <w:szCs w:val="24"/>
        </w:rPr>
      </w:pPr>
    </w:p>
    <w:p w14:paraId="4AA5B64F" w14:textId="77777777" w:rsidR="009E2C9C" w:rsidRPr="00A52938" w:rsidRDefault="009E2C9C" w:rsidP="0099483A">
      <w:pPr>
        <w:pStyle w:val="ae"/>
        <w:rPr>
          <w:rFonts w:ascii="Times New Roman" w:hAnsi="Times New Roman" w:cs="Times New Roman"/>
          <w:iCs/>
          <w:color w:val="000000" w:themeColor="text1"/>
        </w:rPr>
      </w:pPr>
      <w:bookmarkStart w:id="13" w:name="_Toc111924621"/>
      <w:r w:rsidRPr="00A52938">
        <w:rPr>
          <w:rFonts w:ascii="Times New Roman" w:hAnsi="Times New Roman" w:cs="Times New Roman"/>
          <w:iCs/>
          <w:color w:val="000000" w:themeColor="text1"/>
        </w:rPr>
        <w:t>Self-healing efficiency.</w:t>
      </w:r>
      <w:bookmarkEnd w:id="13"/>
      <w:r w:rsidRPr="00A52938">
        <w:rPr>
          <w:rFonts w:ascii="Times New Roman" w:hAnsi="Times New Roman" w:cs="Times New Roman"/>
          <w:iCs/>
          <w:color w:val="000000" w:themeColor="text1"/>
        </w:rPr>
        <w:t xml:space="preserve"> </w:t>
      </w:r>
    </w:p>
    <w:p w14:paraId="524FDB93"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Self-healing efficiency (η) is calculated according to the following equation:</w:t>
      </w:r>
    </w:p>
    <w:p w14:paraId="5CA77F4D" w14:textId="77777777" w:rsidR="009E2C9C" w:rsidRPr="00D202E4" w:rsidRDefault="009E2C9C" w:rsidP="0099483A">
      <w:pPr>
        <w:widowControl/>
        <w:spacing w:beforeLines="50" w:before="120" w:afterLines="50" w:after="120" w:line="240" w:lineRule="auto"/>
        <w:ind w:firstLineChars="0" w:firstLine="0"/>
        <w:rPr>
          <w:rFonts w:cs="Times New Roman"/>
          <w:i/>
          <w:iCs/>
          <w:color w:val="000000" w:themeColor="text1"/>
        </w:rPr>
      </w:pPr>
      <m:oMathPara>
        <m:oMath>
          <m:r>
            <w:rPr>
              <w:rFonts w:ascii="Cambria Math" w:hAnsi="Cambria Math" w:cs="Times New Roman"/>
              <w:color w:val="000000" w:themeColor="text1"/>
            </w:rPr>
            <m:t>η=</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heal</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ori</m:t>
                  </m:r>
                </m:sub>
              </m:sSub>
            </m:den>
          </m:f>
          <m:r>
            <w:rPr>
              <w:rFonts w:ascii="Cambria Math" w:hAnsi="Cambria Math" w:cs="Times New Roman"/>
              <w:color w:val="000000" w:themeColor="text1"/>
            </w:rPr>
            <m:t>×100%</m:t>
          </m:r>
        </m:oMath>
      </m:oMathPara>
    </w:p>
    <w:p w14:paraId="20CB9234"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where</w:t>
      </w:r>
      <w:r w:rsidRPr="00D202E4">
        <w:rPr>
          <w:rFonts w:cs="Times New Roman"/>
          <w:i/>
          <w:iCs/>
          <w:color w:val="000000" w:themeColor="text1"/>
        </w:rPr>
        <w:t xml:space="preserve"> </w:t>
      </w:r>
      <w:proofErr w:type="spellStart"/>
      <w:r w:rsidRPr="00D202E4">
        <w:rPr>
          <w:rFonts w:cs="Times New Roman"/>
          <w:i/>
          <w:iCs/>
          <w:color w:val="000000" w:themeColor="text1"/>
        </w:rPr>
        <w:t>σ</w:t>
      </w:r>
      <w:r w:rsidRPr="00D202E4">
        <w:rPr>
          <w:rFonts w:cs="Times New Roman"/>
          <w:i/>
          <w:iCs/>
          <w:color w:val="000000" w:themeColor="text1"/>
          <w:vertAlign w:val="subscript"/>
        </w:rPr>
        <w:t>heal</w:t>
      </w:r>
      <w:proofErr w:type="spellEnd"/>
      <w:r w:rsidRPr="00D202E4">
        <w:rPr>
          <w:rFonts w:cs="Times New Roman"/>
          <w:b/>
          <w:bCs/>
          <w:i/>
          <w:iCs/>
          <w:color w:val="000000" w:themeColor="text1"/>
        </w:rPr>
        <w:t xml:space="preserve"> </w:t>
      </w:r>
      <w:r w:rsidRPr="00D202E4">
        <w:rPr>
          <w:rFonts w:cs="Times New Roman"/>
          <w:color w:val="000000" w:themeColor="text1"/>
        </w:rPr>
        <w:t xml:space="preserve">is the specified mechanical property value of the healed samples, and </w:t>
      </w:r>
      <w:proofErr w:type="spellStart"/>
      <w:r w:rsidRPr="00D202E4">
        <w:rPr>
          <w:rFonts w:cs="Times New Roman"/>
          <w:i/>
          <w:iCs/>
          <w:color w:val="000000" w:themeColor="text1"/>
        </w:rPr>
        <w:t>σ</w:t>
      </w:r>
      <w:r w:rsidRPr="00D202E4">
        <w:rPr>
          <w:rFonts w:cs="Times New Roman"/>
          <w:i/>
          <w:iCs/>
          <w:color w:val="000000" w:themeColor="text1"/>
          <w:vertAlign w:val="subscript"/>
        </w:rPr>
        <w:t>ori</w:t>
      </w:r>
      <w:proofErr w:type="spellEnd"/>
      <w:r w:rsidRPr="00D202E4">
        <w:rPr>
          <w:rFonts w:cs="Times New Roman"/>
          <w:color w:val="000000" w:themeColor="text1"/>
        </w:rPr>
        <w:t xml:space="preserve"> is the corresponding mechanical property value of the original samples.</w:t>
      </w:r>
    </w:p>
    <w:p w14:paraId="3CB49794" w14:textId="77777777" w:rsidR="009E2C9C" w:rsidRPr="00D202E4" w:rsidRDefault="009E2C9C" w:rsidP="0099483A">
      <w:pPr>
        <w:widowControl/>
        <w:ind w:firstLineChars="0" w:firstLine="0"/>
        <w:rPr>
          <w:rFonts w:cs="Times New Roman"/>
          <w:color w:val="000000" w:themeColor="text1"/>
        </w:rPr>
      </w:pPr>
      <w:r w:rsidRPr="00D202E4">
        <w:rPr>
          <w:rFonts w:cs="Times New Roman"/>
          <w:color w:val="000000" w:themeColor="text1"/>
        </w:rPr>
        <w:t>Mechanical properties here include Young's modulus, yield strength and tensile toughness.</w:t>
      </w:r>
    </w:p>
    <w:p w14:paraId="7727D590" w14:textId="77777777" w:rsidR="009E2C9C" w:rsidRPr="00D202E4" w:rsidRDefault="009E2C9C" w:rsidP="0099483A">
      <w:pPr>
        <w:widowControl/>
        <w:ind w:firstLineChars="0" w:firstLine="0"/>
        <w:jc w:val="left"/>
        <w:rPr>
          <w:rFonts w:cs="Times New Roman"/>
          <w:color w:val="000000" w:themeColor="text1"/>
        </w:rPr>
      </w:pPr>
    </w:p>
    <w:p w14:paraId="4E38FC7C" w14:textId="77777777" w:rsidR="009E2C9C" w:rsidRPr="00D202E4" w:rsidRDefault="009E2C9C" w:rsidP="0099483A">
      <w:pPr>
        <w:widowControl/>
        <w:ind w:firstLineChars="0" w:firstLine="0"/>
        <w:jc w:val="left"/>
        <w:rPr>
          <w:rFonts w:cs="Times New Roman"/>
          <w:color w:val="000000" w:themeColor="text1"/>
        </w:rPr>
      </w:pPr>
    </w:p>
    <w:p w14:paraId="7B3AEE98" w14:textId="77777777" w:rsidR="009E2C9C" w:rsidRPr="00D202E4" w:rsidRDefault="009E2C9C" w:rsidP="0099483A">
      <w:pPr>
        <w:widowControl/>
        <w:ind w:firstLineChars="0" w:firstLine="0"/>
        <w:jc w:val="left"/>
        <w:rPr>
          <w:rFonts w:cs="Times New Roman"/>
          <w:color w:val="000000" w:themeColor="text1"/>
        </w:rPr>
      </w:pPr>
    </w:p>
    <w:p w14:paraId="1EE03D59" w14:textId="77777777" w:rsidR="009E2C9C" w:rsidRPr="00D202E4" w:rsidRDefault="009E2C9C" w:rsidP="0099483A">
      <w:pPr>
        <w:widowControl/>
        <w:ind w:firstLineChars="0" w:firstLine="0"/>
        <w:jc w:val="left"/>
        <w:rPr>
          <w:rFonts w:cs="Times New Roman"/>
          <w:color w:val="000000" w:themeColor="text1"/>
        </w:rPr>
      </w:pPr>
    </w:p>
    <w:p w14:paraId="1B9E4A30" w14:textId="77777777" w:rsidR="009E2C9C" w:rsidRPr="00D202E4" w:rsidRDefault="009E2C9C" w:rsidP="0099483A">
      <w:pPr>
        <w:widowControl/>
        <w:ind w:firstLineChars="0" w:firstLine="0"/>
        <w:jc w:val="left"/>
        <w:rPr>
          <w:rFonts w:cs="Times New Roman"/>
          <w:color w:val="000000" w:themeColor="text1"/>
        </w:rPr>
      </w:pPr>
    </w:p>
    <w:p w14:paraId="2290D886" w14:textId="77777777" w:rsidR="009E2C9C" w:rsidRPr="00D202E4" w:rsidRDefault="009E2C9C" w:rsidP="0099483A">
      <w:pPr>
        <w:widowControl/>
        <w:ind w:firstLineChars="0" w:firstLine="0"/>
        <w:jc w:val="left"/>
        <w:rPr>
          <w:rFonts w:cs="Times New Roman"/>
          <w:color w:val="000000" w:themeColor="text1"/>
        </w:rPr>
      </w:pPr>
    </w:p>
    <w:p w14:paraId="29CF524A" w14:textId="77777777" w:rsidR="009E2C9C" w:rsidRPr="00D202E4" w:rsidRDefault="009E2C9C" w:rsidP="0099483A">
      <w:pPr>
        <w:widowControl/>
        <w:spacing w:line="240" w:lineRule="auto"/>
        <w:ind w:firstLineChars="0" w:firstLine="0"/>
        <w:jc w:val="left"/>
        <w:rPr>
          <w:rFonts w:cs="Times New Roman"/>
          <w:color w:val="000000" w:themeColor="text1"/>
        </w:rPr>
      </w:pPr>
    </w:p>
    <w:p w14:paraId="1194B0E9" w14:textId="77777777" w:rsidR="009E2C9C" w:rsidRPr="00D202E4" w:rsidRDefault="009E2C9C" w:rsidP="0099483A">
      <w:pPr>
        <w:widowControl/>
        <w:spacing w:line="240" w:lineRule="auto"/>
        <w:ind w:firstLineChars="0" w:firstLine="0"/>
        <w:jc w:val="left"/>
        <w:rPr>
          <w:rFonts w:cs="Times New Roman"/>
          <w:color w:val="000000" w:themeColor="text1"/>
        </w:rPr>
      </w:pPr>
    </w:p>
    <w:p w14:paraId="10538DD3" w14:textId="77777777" w:rsidR="009E2C9C" w:rsidRPr="00D202E4" w:rsidRDefault="009E2C9C" w:rsidP="0099483A">
      <w:pPr>
        <w:widowControl/>
        <w:spacing w:line="240" w:lineRule="auto"/>
        <w:ind w:firstLineChars="0" w:firstLine="0"/>
        <w:jc w:val="left"/>
        <w:rPr>
          <w:rFonts w:cs="Times New Roman"/>
          <w:color w:val="000000" w:themeColor="text1"/>
        </w:rPr>
      </w:pPr>
      <w:r w:rsidRPr="00D202E4">
        <w:rPr>
          <w:rFonts w:cs="Times New Roman"/>
          <w:color w:val="000000" w:themeColor="text1"/>
        </w:rPr>
        <w:br w:type="page"/>
      </w:r>
    </w:p>
    <w:p w14:paraId="70748D73" w14:textId="11E3BB3F" w:rsidR="009E2C9C" w:rsidRPr="00D202E4" w:rsidRDefault="00093FC4" w:rsidP="0099483A">
      <w:pPr>
        <w:pStyle w:val="ad"/>
        <w:spacing w:before="240"/>
        <w:rPr>
          <w:color w:val="000000" w:themeColor="text1"/>
        </w:rPr>
      </w:pPr>
      <w:bookmarkStart w:id="14" w:name="_Toc111924622"/>
      <w:bookmarkStart w:id="15" w:name="_Hlk113217720"/>
      <w:r w:rsidRPr="00093FC4">
        <w:rPr>
          <w:color w:val="000000" w:themeColor="text1"/>
        </w:rPr>
        <w:lastRenderedPageBreak/>
        <w:t xml:space="preserve">Supplementary </w:t>
      </w:r>
      <w:bookmarkEnd w:id="15"/>
      <w:r w:rsidR="009E2C9C" w:rsidRPr="00D202E4">
        <w:rPr>
          <w:color w:val="000000" w:themeColor="text1"/>
        </w:rPr>
        <w:t xml:space="preserve">Results </w:t>
      </w:r>
      <w:bookmarkEnd w:id="14"/>
    </w:p>
    <w:p w14:paraId="42635EA7" w14:textId="77777777" w:rsidR="009E2C9C" w:rsidRPr="00D202E4" w:rsidRDefault="009E2C9C" w:rsidP="0099483A">
      <w:pPr>
        <w:widowControl/>
        <w:spacing w:line="240" w:lineRule="auto"/>
        <w:ind w:firstLineChars="0" w:firstLine="0"/>
        <w:jc w:val="left"/>
        <w:rPr>
          <w:rFonts w:cs="Times New Roman"/>
          <w:color w:val="000000" w:themeColor="text1"/>
        </w:rPr>
      </w:pPr>
    </w:p>
    <w:p w14:paraId="7932F977" w14:textId="77777777" w:rsidR="009E2C9C" w:rsidRPr="00D202E4" w:rsidRDefault="009E2C9C" w:rsidP="0099483A">
      <w:pPr>
        <w:widowControl/>
        <w:spacing w:line="240" w:lineRule="auto"/>
        <w:ind w:firstLineChars="0" w:firstLine="0"/>
        <w:jc w:val="left"/>
        <w:rPr>
          <w:rFonts w:cs="Times New Roman"/>
          <w:color w:val="000000" w:themeColor="text1"/>
        </w:rPr>
      </w:pPr>
    </w:p>
    <w:p w14:paraId="33995167" w14:textId="77777777" w:rsidR="009E2C9C" w:rsidRPr="00D202E4" w:rsidRDefault="009E2C9C" w:rsidP="0099483A">
      <w:pPr>
        <w:widowControl/>
        <w:spacing w:line="240" w:lineRule="auto"/>
        <w:ind w:firstLineChars="0" w:firstLine="0"/>
        <w:jc w:val="left"/>
        <w:rPr>
          <w:rFonts w:cs="Times New Roman"/>
          <w:color w:val="000000" w:themeColor="text1"/>
        </w:rPr>
      </w:pPr>
    </w:p>
    <w:p w14:paraId="1BD4A9F9"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41BC9D49" wp14:editId="7BEACE69">
            <wp:extent cx="5960788" cy="2421473"/>
            <wp:effectExtent l="0" t="0" r="190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60788" cy="2421473"/>
                    </a:xfrm>
                    <a:prstGeom prst="rect">
                      <a:avLst/>
                    </a:prstGeom>
                    <a:noFill/>
                    <a:ln>
                      <a:noFill/>
                    </a:ln>
                  </pic:spPr>
                </pic:pic>
              </a:graphicData>
            </a:graphic>
          </wp:inline>
        </w:drawing>
      </w:r>
    </w:p>
    <w:p w14:paraId="488968DC"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5A888AA0" w14:textId="38B09AF0" w:rsidR="009E2C9C" w:rsidRPr="00A52938" w:rsidRDefault="00093FC4" w:rsidP="0099483A">
      <w:pPr>
        <w:widowControl/>
        <w:spacing w:line="360" w:lineRule="auto"/>
        <w:ind w:firstLineChars="0" w:firstLine="0"/>
        <w:rPr>
          <w:rFonts w:eastAsia="宋体" w:cs="Times New Roman"/>
          <w:color w:val="000000" w:themeColor="text1"/>
          <w:kern w:val="0"/>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1. </w:t>
      </w:r>
      <w:r w:rsidR="009E2C9C" w:rsidRPr="00A52938">
        <w:rPr>
          <w:rFonts w:eastAsia="+mn-ea" w:cs="Times New Roman"/>
          <w:color w:val="000000" w:themeColor="text1"/>
          <w:kern w:val="24"/>
          <w:sz w:val="24"/>
          <w:szCs w:val="24"/>
        </w:rPr>
        <w:t>a) Glassy transparent THG sheet. b) Dumbbell-shaped THG samples.</w:t>
      </w:r>
    </w:p>
    <w:p w14:paraId="433AF9A3" w14:textId="77777777" w:rsidR="009E2C9C" w:rsidRPr="00D202E4" w:rsidRDefault="009E2C9C" w:rsidP="0099483A">
      <w:pPr>
        <w:widowControl/>
        <w:spacing w:line="240" w:lineRule="auto"/>
        <w:ind w:firstLineChars="0" w:firstLine="0"/>
        <w:jc w:val="left"/>
        <w:rPr>
          <w:rFonts w:cs="Times New Roman"/>
          <w:color w:val="000000" w:themeColor="text1"/>
        </w:rPr>
      </w:pPr>
      <w:r w:rsidRPr="00D202E4">
        <w:rPr>
          <w:rFonts w:cs="Times New Roman"/>
          <w:color w:val="000000" w:themeColor="text1"/>
        </w:rPr>
        <w:br w:type="page"/>
      </w:r>
    </w:p>
    <w:p w14:paraId="4887B011" w14:textId="77777777" w:rsidR="009E2C9C" w:rsidRPr="00D202E4" w:rsidRDefault="009E2C9C" w:rsidP="0099483A">
      <w:pPr>
        <w:widowControl/>
        <w:spacing w:line="240" w:lineRule="auto"/>
        <w:ind w:firstLineChars="0" w:firstLine="0"/>
        <w:jc w:val="left"/>
        <w:rPr>
          <w:rFonts w:cs="Times New Roman"/>
          <w:color w:val="000000" w:themeColor="text1"/>
        </w:rPr>
      </w:pPr>
    </w:p>
    <w:p w14:paraId="187A4B74" w14:textId="77777777" w:rsidR="009E2C9C" w:rsidRPr="00D202E4" w:rsidRDefault="009E2C9C" w:rsidP="0099483A">
      <w:pPr>
        <w:widowControl/>
        <w:spacing w:line="240" w:lineRule="auto"/>
        <w:ind w:firstLineChars="0" w:firstLine="0"/>
        <w:jc w:val="left"/>
        <w:rPr>
          <w:rFonts w:cs="Times New Roman"/>
          <w:color w:val="000000" w:themeColor="text1"/>
        </w:rPr>
      </w:pPr>
    </w:p>
    <w:p w14:paraId="26AD5B5D" w14:textId="77777777" w:rsidR="009E2C9C" w:rsidRPr="00D202E4" w:rsidRDefault="009E2C9C" w:rsidP="0099483A">
      <w:pPr>
        <w:widowControl/>
        <w:spacing w:line="240" w:lineRule="auto"/>
        <w:ind w:firstLineChars="0" w:firstLine="0"/>
        <w:jc w:val="left"/>
        <w:rPr>
          <w:rFonts w:cs="Times New Roman"/>
          <w:color w:val="000000" w:themeColor="text1"/>
        </w:rPr>
      </w:pPr>
    </w:p>
    <w:p w14:paraId="6396B76E" w14:textId="77777777" w:rsidR="009E2C9C" w:rsidRPr="00D202E4" w:rsidRDefault="009E2C9C" w:rsidP="0099483A">
      <w:pPr>
        <w:widowControl/>
        <w:spacing w:line="240" w:lineRule="auto"/>
        <w:ind w:firstLineChars="0" w:firstLine="0"/>
        <w:jc w:val="center"/>
        <w:rPr>
          <w:rFonts w:cs="Times New Roman"/>
          <w:color w:val="000000" w:themeColor="text1"/>
        </w:rPr>
      </w:pPr>
      <w:r w:rsidRPr="00D202E4">
        <w:rPr>
          <w:rFonts w:cs="Times New Roman"/>
          <w:noProof/>
          <w:color w:val="000000" w:themeColor="text1"/>
        </w:rPr>
        <w:drawing>
          <wp:inline distT="0" distB="0" distL="0" distR="0" wp14:anchorId="79FD8AA0" wp14:editId="0EBC1F54">
            <wp:extent cx="5799667" cy="4019169"/>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290"/>
                    <a:stretch/>
                  </pic:blipFill>
                  <pic:spPr bwMode="auto">
                    <a:xfrm>
                      <a:off x="0" y="0"/>
                      <a:ext cx="5803692" cy="4021958"/>
                    </a:xfrm>
                    <a:prstGeom prst="rect">
                      <a:avLst/>
                    </a:prstGeom>
                    <a:noFill/>
                    <a:ln>
                      <a:noFill/>
                    </a:ln>
                    <a:extLst>
                      <a:ext uri="{53640926-AAD7-44D8-BBD7-CCE9431645EC}">
                        <a14:shadowObscured xmlns:a14="http://schemas.microsoft.com/office/drawing/2010/main"/>
                      </a:ext>
                    </a:extLst>
                  </pic:spPr>
                </pic:pic>
              </a:graphicData>
            </a:graphic>
          </wp:inline>
        </w:drawing>
      </w:r>
    </w:p>
    <w:p w14:paraId="2807DD17" w14:textId="77777777" w:rsidR="009E2C9C" w:rsidRPr="00D202E4" w:rsidRDefault="009E2C9C" w:rsidP="0099483A">
      <w:pPr>
        <w:widowControl/>
        <w:spacing w:line="240" w:lineRule="auto"/>
        <w:ind w:firstLineChars="0" w:firstLine="0"/>
        <w:rPr>
          <w:rFonts w:cs="Times New Roman"/>
          <w:b/>
          <w:bCs/>
          <w:color w:val="000000" w:themeColor="text1"/>
          <w:kern w:val="24"/>
          <w:sz w:val="24"/>
          <w:szCs w:val="24"/>
        </w:rPr>
      </w:pPr>
    </w:p>
    <w:p w14:paraId="50B984EF" w14:textId="6502633E" w:rsidR="009E2C9C" w:rsidRPr="00A52938" w:rsidRDefault="00093FC4" w:rsidP="0099483A">
      <w:pPr>
        <w:widowControl/>
        <w:spacing w:line="360" w:lineRule="auto"/>
        <w:ind w:firstLineChars="0" w:firstLine="0"/>
        <w:rPr>
          <w:rFonts w:eastAsia="宋体" w:cs="Times New Roman"/>
          <w:color w:val="000000" w:themeColor="text1"/>
          <w:kern w:val="0"/>
          <w:sz w:val="24"/>
          <w:szCs w:val="24"/>
        </w:rPr>
      </w:pPr>
      <w:r w:rsidRPr="00A52938">
        <w:rPr>
          <w:rFonts w:cs="Times New Roman"/>
          <w:b/>
          <w:bCs/>
          <w:color w:val="000000" w:themeColor="text1"/>
          <w:kern w:val="24"/>
          <w:sz w:val="24"/>
          <w:szCs w:val="24"/>
        </w:rPr>
        <w:t xml:space="preserve">Supplementary </w:t>
      </w:r>
      <w:r w:rsidR="009E2C9C" w:rsidRPr="00A52938">
        <w:rPr>
          <w:rFonts w:cs="Times New Roman"/>
          <w:b/>
          <w:bCs/>
          <w:color w:val="000000" w:themeColor="text1"/>
          <w:kern w:val="24"/>
          <w:sz w:val="24"/>
          <w:szCs w:val="24"/>
        </w:rPr>
        <w:t>Figure 2. FTIR analysis of HBP, THG hybrid</w:t>
      </w:r>
      <w:r w:rsidR="009E2C9C" w:rsidRPr="00A52938">
        <w:rPr>
          <w:rFonts w:cs="Times New Roman" w:hint="eastAsia"/>
          <w:b/>
          <w:bCs/>
          <w:color w:val="000000" w:themeColor="text1"/>
          <w:kern w:val="24"/>
          <w:sz w:val="24"/>
          <w:szCs w:val="24"/>
        </w:rPr>
        <w:t>s</w:t>
      </w:r>
      <w:r w:rsidR="009E2C9C" w:rsidRPr="00A52938">
        <w:rPr>
          <w:rFonts w:cs="Times New Roman"/>
          <w:b/>
          <w:bCs/>
          <w:color w:val="000000" w:themeColor="text1"/>
          <w:kern w:val="24"/>
          <w:sz w:val="24"/>
          <w:szCs w:val="24"/>
        </w:rPr>
        <w:t xml:space="preserve"> and control samples. </w:t>
      </w:r>
    </w:p>
    <w:p w14:paraId="782DACE6" w14:textId="06761753" w:rsidR="009E2C9C" w:rsidRPr="00D202E4" w:rsidRDefault="009E2C9C" w:rsidP="0099483A">
      <w:pPr>
        <w:widowControl/>
        <w:spacing w:line="360" w:lineRule="auto"/>
        <w:ind w:firstLineChars="0" w:firstLine="0"/>
        <w:rPr>
          <w:rFonts w:cs="Times New Roman"/>
          <w:color w:val="000000" w:themeColor="text1"/>
          <w:kern w:val="24"/>
          <w:sz w:val="24"/>
          <w:szCs w:val="24"/>
        </w:rPr>
      </w:pPr>
      <w:r w:rsidRPr="00D202E4">
        <w:rPr>
          <w:rFonts w:cs="Times New Roman"/>
          <w:color w:val="000000" w:themeColor="text1"/>
          <w:kern w:val="24"/>
          <w:sz w:val="24"/>
          <w:szCs w:val="24"/>
        </w:rPr>
        <w:t>a) FTIR spectra of MBA, ODA and HBP respectively. The characteristic peaks of MBA are at 3305 cm</w:t>
      </w:r>
      <w:r w:rsidRPr="00D202E4">
        <w:rPr>
          <w:rFonts w:cs="Times New Roman"/>
          <w:color w:val="000000" w:themeColor="text1"/>
          <w:kern w:val="24"/>
          <w:sz w:val="24"/>
          <w:szCs w:val="24"/>
          <w:vertAlign w:val="superscript"/>
        </w:rPr>
        <w:t xml:space="preserve">-1 </w:t>
      </w:r>
      <w:r w:rsidRPr="00D202E4">
        <w:rPr>
          <w:rFonts w:cs="Times New Roman"/>
          <w:color w:val="000000" w:themeColor="text1"/>
          <w:kern w:val="24"/>
          <w:sz w:val="24"/>
          <w:szCs w:val="24"/>
        </w:rPr>
        <w:t>(N-H stretching vibration ), 1658 cm</w:t>
      </w:r>
      <w:r w:rsidRPr="00D202E4">
        <w:rPr>
          <w:rFonts w:cs="Times New Roman"/>
          <w:color w:val="000000" w:themeColor="text1"/>
          <w:kern w:val="24"/>
          <w:sz w:val="24"/>
          <w:szCs w:val="24"/>
          <w:vertAlign w:val="superscript"/>
        </w:rPr>
        <w:t xml:space="preserve">-1 </w:t>
      </w:r>
      <w:r w:rsidRPr="00D202E4">
        <w:rPr>
          <w:rFonts w:cs="Times New Roman"/>
          <w:color w:val="000000" w:themeColor="text1"/>
          <w:kern w:val="24"/>
          <w:sz w:val="24"/>
          <w:szCs w:val="24"/>
        </w:rPr>
        <w:t>(C=O stretching vibration), 1543 cm</w:t>
      </w:r>
      <w:r w:rsidRPr="00D202E4">
        <w:rPr>
          <w:rFonts w:cs="Times New Roman"/>
          <w:color w:val="000000" w:themeColor="text1"/>
          <w:kern w:val="24"/>
          <w:sz w:val="24"/>
          <w:szCs w:val="24"/>
          <w:vertAlign w:val="superscript"/>
        </w:rPr>
        <w:t xml:space="preserve">-1 </w:t>
      </w:r>
      <w:r w:rsidRPr="00D202E4">
        <w:rPr>
          <w:rFonts w:cs="Times New Roman"/>
          <w:color w:val="000000" w:themeColor="text1"/>
          <w:kern w:val="24"/>
          <w:sz w:val="24"/>
          <w:szCs w:val="24"/>
        </w:rPr>
        <w:t>(N-H bending vibration),</w:t>
      </w:r>
      <w:r w:rsidR="00742582">
        <w:rPr>
          <w:rFonts w:cs="Times New Roman"/>
          <w:color w:val="000000" w:themeColor="text1"/>
          <w:kern w:val="24"/>
          <w:sz w:val="24"/>
          <w:szCs w:val="24"/>
          <w:vertAlign w:val="superscript"/>
        </w:rPr>
        <w:fldChar w:fldCharType="begin"/>
      </w:r>
      <w:r w:rsidR="00742582">
        <w:rPr>
          <w:rFonts w:cs="Times New Roman"/>
          <w:color w:val="000000" w:themeColor="text1"/>
          <w:kern w:val="24"/>
          <w:sz w:val="24"/>
          <w:szCs w:val="24"/>
          <w:vertAlign w:val="superscript"/>
        </w:rPr>
        <w:instrText xml:space="preserve"> ADDIN EN.CITE &lt;EndNote&gt;&lt;Cite&gt;&lt;Author&gt;Pérez&lt;/Author&gt;&lt;Year&gt;2014&lt;/Year&gt;&lt;RecNum&gt;63&lt;/RecNum&gt;&lt;DisplayText&gt;&lt;style face="superscript"&gt;13&lt;/style&gt;&lt;/DisplayText&gt;&lt;record&gt;&lt;rec-number&gt;63&lt;/rec-number&gt;&lt;foreign-keys&gt;&lt;key app="EN" db-id="22wapd0sdtazr4ed0e8vwz5rtwzz9vetdxv2" timestamp="1662298502"&gt;63&lt;/key&gt;&lt;/foreign-keys&gt;&lt;ref-type name="Journal Article"&gt;17&lt;/ref-type&gt;&lt;contributors&gt;&lt;authors&gt;&lt;author&gt;Pérez, Elena&lt;/author&gt;&lt;author&gt;Martínez, Ana&lt;/author&gt;&lt;author&gt;Teijón, César&lt;/author&gt;&lt;author&gt;Teijón, Jose M&lt;/author&gt;&lt;author&gt;Blanco, M Dolores&lt;/author&gt;&lt;/authors&gt;&lt;/contributors&gt;&lt;titles&gt;&lt;title&gt;Bioresponsive nanohydrogels based on HEAA and NIPA for poorly soluble drugs delivery&lt;/title&gt;&lt;secondary-title&gt;International Journal of Pharmaceutics&lt;/secondary-title&gt;&lt;/titles&gt;&lt;periodical&gt;&lt;full-title&gt;International Journal of Pharmaceutics&lt;/full-title&gt;&lt;/periodical&gt;&lt;pages&gt;107-119&lt;/pages&gt;&lt;volume&gt;470&lt;/volume&gt;&lt;number&gt;1-2&lt;/number&gt;&lt;dates&gt;&lt;year&gt;2014&lt;/year&gt;&lt;/dates&gt;&lt;isbn&gt;0378-5173&lt;/isbn&gt;&lt;urls&gt;&lt;/urls&gt;&lt;/record&gt;&lt;/Cite&gt;&lt;/EndNote&gt;</w:instrText>
      </w:r>
      <w:r w:rsidR="00742582">
        <w:rPr>
          <w:rFonts w:cs="Times New Roman"/>
          <w:color w:val="000000" w:themeColor="text1"/>
          <w:kern w:val="24"/>
          <w:sz w:val="24"/>
          <w:szCs w:val="24"/>
          <w:vertAlign w:val="superscript"/>
        </w:rPr>
        <w:fldChar w:fldCharType="separate"/>
      </w:r>
      <w:r w:rsidR="00742582">
        <w:rPr>
          <w:rFonts w:cs="Times New Roman"/>
          <w:noProof/>
          <w:color w:val="000000" w:themeColor="text1"/>
          <w:kern w:val="24"/>
          <w:sz w:val="24"/>
          <w:szCs w:val="24"/>
          <w:vertAlign w:val="superscript"/>
        </w:rPr>
        <w:t>13</w:t>
      </w:r>
      <w:r w:rsidR="00742582">
        <w:rPr>
          <w:rFonts w:cs="Times New Roman"/>
          <w:color w:val="000000" w:themeColor="text1"/>
          <w:kern w:val="24"/>
          <w:sz w:val="24"/>
          <w:szCs w:val="24"/>
          <w:vertAlign w:val="superscript"/>
        </w:rPr>
        <w:fldChar w:fldCharType="end"/>
      </w:r>
      <w:r w:rsidRPr="00D202E4">
        <w:rPr>
          <w:rFonts w:cs="Times New Roman"/>
          <w:color w:val="000000" w:themeColor="text1"/>
          <w:kern w:val="24"/>
          <w:sz w:val="24"/>
          <w:szCs w:val="24"/>
        </w:rPr>
        <w:t xml:space="preserve"> while the peaks at 992 cm</w:t>
      </w:r>
      <w:r w:rsidRPr="00D202E4">
        <w:rPr>
          <w:rFonts w:cs="Times New Roman"/>
          <w:color w:val="000000" w:themeColor="text1"/>
          <w:kern w:val="24"/>
          <w:sz w:val="24"/>
          <w:szCs w:val="24"/>
          <w:vertAlign w:val="superscript"/>
        </w:rPr>
        <w:t>-1</w:t>
      </w:r>
      <w:r w:rsidRPr="00D202E4">
        <w:rPr>
          <w:rFonts w:cs="Times New Roman"/>
          <w:color w:val="000000" w:themeColor="text1"/>
          <w:kern w:val="24"/>
          <w:sz w:val="24"/>
          <w:szCs w:val="24"/>
        </w:rPr>
        <w:t xml:space="preserve"> and 967 cm</w:t>
      </w:r>
      <w:r w:rsidRPr="00D202E4">
        <w:rPr>
          <w:rFonts w:cs="Times New Roman"/>
          <w:color w:val="000000" w:themeColor="text1"/>
          <w:kern w:val="24"/>
          <w:sz w:val="24"/>
          <w:szCs w:val="24"/>
          <w:vertAlign w:val="superscript"/>
        </w:rPr>
        <w:t>-1</w:t>
      </w:r>
      <w:r w:rsidRPr="00D202E4">
        <w:rPr>
          <w:rFonts w:cs="Times New Roman"/>
          <w:color w:val="000000" w:themeColor="text1"/>
          <w:kern w:val="24"/>
          <w:sz w:val="24"/>
          <w:szCs w:val="24"/>
        </w:rPr>
        <w:t xml:space="preserve"> belong to the bending vibration peaks of vinyl groups, which disappeared in the spectra of HBP, indicating that the Michael addition reaction has consumed all double bonds and hyperbranched polymer was successfully synthesized.</w:t>
      </w:r>
      <w:r w:rsidR="00742582">
        <w:rPr>
          <w:rFonts w:cs="Times New Roman"/>
          <w:color w:val="000000" w:themeColor="text1"/>
          <w:kern w:val="24"/>
          <w:sz w:val="24"/>
          <w:szCs w:val="24"/>
          <w:vertAlign w:val="superscript"/>
        </w:rPr>
        <w:fldChar w:fldCharType="begin"/>
      </w:r>
      <w:r w:rsidR="00742582">
        <w:rPr>
          <w:rFonts w:cs="Times New Roman"/>
          <w:color w:val="000000" w:themeColor="text1"/>
          <w:kern w:val="24"/>
          <w:sz w:val="24"/>
          <w:szCs w:val="24"/>
          <w:vertAlign w:val="superscript"/>
        </w:rPr>
        <w:instrText xml:space="preserve"> ADDIN EN.CITE &lt;EndNote&gt;&lt;Cite&gt;&lt;Author&gt;Zhang&lt;/Author&gt;&lt;Year&gt;2016&lt;/Year&gt;&lt;RecNum&gt;64&lt;/RecNum&gt;&lt;DisplayText&gt;&lt;style face="superscript"&gt;14&lt;/style&gt;&lt;/DisplayText&gt;&lt;record&gt;&lt;rec-number&gt;64&lt;/rec-number&gt;&lt;foreign-keys&gt;&lt;key app="EN" db-id="22wapd0sdtazr4ed0e8vwz5rtwzz9vetdxv2" timestamp="1662298527"&gt;64&lt;/key&gt;&lt;/foreign-keys&gt;&lt;ref-type name="Journal Article"&gt;17&lt;/ref-type&gt;&lt;contributors&gt;&lt;authors&gt;&lt;author&gt;Zhang, Jing&lt;/author&gt;&lt;author&gt;Liang, Xiaoyang&lt;/author&gt;&lt;author&gt;Zhang, Ying&lt;/author&gt;&lt;author&gt;Shang, Qing&lt;/author&gt;&lt;/authors&gt;&lt;/contributors&gt;&lt;titles&gt;&lt;title&gt;Fabrication and evaluation of a novel polymeric hydrogel of carboxymethyl chitosan-g-polyacrylic acid (CMC-g-PAA) for oral insulin delivery&lt;/title&gt;&lt;secondary-title&gt;RSC advances&lt;/secondary-title&gt;&lt;/titles&gt;&lt;periodical&gt;&lt;full-title&gt;RSC advances&lt;/full-title&gt;&lt;/periodical&gt;&lt;pages&gt;52858-52867&lt;/pages&gt;&lt;volume&gt;6&lt;/volume&gt;&lt;number&gt;58&lt;/number&gt;&lt;dates&gt;&lt;year&gt;2016&lt;/year&gt;&lt;/dates&gt;&lt;urls&gt;&lt;/urls&gt;&lt;/record&gt;&lt;/Cite&gt;&lt;/EndNote&gt;</w:instrText>
      </w:r>
      <w:r w:rsidR="00742582">
        <w:rPr>
          <w:rFonts w:cs="Times New Roman"/>
          <w:color w:val="000000" w:themeColor="text1"/>
          <w:kern w:val="24"/>
          <w:sz w:val="24"/>
          <w:szCs w:val="24"/>
          <w:vertAlign w:val="superscript"/>
        </w:rPr>
        <w:fldChar w:fldCharType="separate"/>
      </w:r>
      <w:r w:rsidR="00742582">
        <w:rPr>
          <w:rFonts w:cs="Times New Roman"/>
          <w:noProof/>
          <w:color w:val="000000" w:themeColor="text1"/>
          <w:kern w:val="24"/>
          <w:sz w:val="24"/>
          <w:szCs w:val="24"/>
          <w:vertAlign w:val="superscript"/>
        </w:rPr>
        <w:t>14</w:t>
      </w:r>
      <w:r w:rsidR="00742582">
        <w:rPr>
          <w:rFonts w:cs="Times New Roman"/>
          <w:color w:val="000000" w:themeColor="text1"/>
          <w:kern w:val="24"/>
          <w:sz w:val="24"/>
          <w:szCs w:val="24"/>
          <w:vertAlign w:val="superscript"/>
        </w:rPr>
        <w:fldChar w:fldCharType="end"/>
      </w:r>
      <w:r w:rsidRPr="00D202E4">
        <w:rPr>
          <w:rFonts w:cs="Times New Roman"/>
          <w:color w:val="000000" w:themeColor="text1"/>
          <w:kern w:val="24"/>
          <w:sz w:val="24"/>
          <w:szCs w:val="24"/>
        </w:rPr>
        <w:t xml:space="preserve"> (b, c, d) FTIR spectra of HBP/PBA, HBP/PBH, control sample THG’, THG’’ and their components, respectively. Typically, peaks at 1730 cm</w:t>
      </w:r>
      <w:r w:rsidRPr="00D202E4">
        <w:rPr>
          <w:rFonts w:cs="Times New Roman"/>
          <w:color w:val="000000" w:themeColor="text1"/>
          <w:kern w:val="24"/>
          <w:sz w:val="24"/>
          <w:szCs w:val="24"/>
          <w:vertAlign w:val="superscript"/>
        </w:rPr>
        <w:t>-1</w:t>
      </w:r>
      <w:r w:rsidRPr="00D202E4">
        <w:rPr>
          <w:rFonts w:cs="Times New Roman"/>
          <w:color w:val="000000" w:themeColor="text1"/>
          <w:kern w:val="24"/>
          <w:sz w:val="24"/>
          <w:szCs w:val="24"/>
        </w:rPr>
        <w:t>, 1651 cm</w:t>
      </w:r>
      <w:r w:rsidRPr="00D202E4">
        <w:rPr>
          <w:rFonts w:cs="Times New Roman"/>
          <w:color w:val="000000" w:themeColor="text1"/>
          <w:kern w:val="24"/>
          <w:sz w:val="24"/>
          <w:szCs w:val="24"/>
          <w:vertAlign w:val="superscript"/>
        </w:rPr>
        <w:t>-1</w:t>
      </w:r>
      <w:r w:rsidRPr="00D202E4">
        <w:rPr>
          <w:rFonts w:cs="Times New Roman"/>
          <w:color w:val="000000" w:themeColor="text1"/>
          <w:kern w:val="24"/>
          <w:sz w:val="24"/>
          <w:szCs w:val="24"/>
        </w:rPr>
        <w:t xml:space="preserve"> and 1541 cm</w:t>
      </w:r>
      <w:r w:rsidRPr="00D202E4">
        <w:rPr>
          <w:rFonts w:cs="Times New Roman"/>
          <w:color w:val="000000" w:themeColor="text1"/>
          <w:kern w:val="24"/>
          <w:sz w:val="24"/>
          <w:szCs w:val="24"/>
          <w:vertAlign w:val="superscript"/>
        </w:rPr>
        <w:t>-1</w:t>
      </w:r>
      <w:r w:rsidRPr="00D202E4">
        <w:rPr>
          <w:rFonts w:cs="Times New Roman"/>
          <w:color w:val="000000" w:themeColor="text1"/>
          <w:kern w:val="24"/>
          <w:sz w:val="24"/>
          <w:szCs w:val="24"/>
        </w:rPr>
        <w:t xml:space="preserve"> belong to the C=O stretching of ester bond, amide Ⅰ band bending and amide II band bending, respectively. In particular, the peak at 1557 cm</w:t>
      </w:r>
      <w:r w:rsidRPr="00D202E4">
        <w:rPr>
          <w:rFonts w:cs="Times New Roman"/>
          <w:color w:val="000000" w:themeColor="text1"/>
          <w:kern w:val="24"/>
          <w:sz w:val="24"/>
          <w:szCs w:val="24"/>
          <w:vertAlign w:val="superscript"/>
        </w:rPr>
        <w:t>-1</w:t>
      </w:r>
      <w:r w:rsidRPr="00D202E4">
        <w:rPr>
          <w:rFonts w:cs="Times New Roman"/>
          <w:color w:val="000000" w:themeColor="text1"/>
          <w:kern w:val="24"/>
          <w:sz w:val="24"/>
          <w:szCs w:val="24"/>
        </w:rPr>
        <w:t xml:space="preserve"> can be assigned to the antisymmetric stretching vibration of ionized -COOH.</w:t>
      </w:r>
    </w:p>
    <w:p w14:paraId="0B4ED8DC" w14:textId="77777777" w:rsidR="009E2C9C" w:rsidRPr="00D202E4" w:rsidRDefault="009E2C9C" w:rsidP="0099483A">
      <w:pPr>
        <w:widowControl/>
        <w:spacing w:line="240" w:lineRule="auto"/>
        <w:ind w:firstLineChars="0" w:firstLine="0"/>
        <w:jc w:val="left"/>
        <w:rPr>
          <w:rFonts w:cs="Times New Roman"/>
          <w:color w:val="000000" w:themeColor="text1"/>
          <w:kern w:val="24"/>
          <w:sz w:val="24"/>
          <w:szCs w:val="24"/>
        </w:rPr>
      </w:pPr>
      <w:r w:rsidRPr="00D202E4">
        <w:rPr>
          <w:rFonts w:cs="Times New Roman"/>
          <w:color w:val="000000" w:themeColor="text1"/>
          <w:kern w:val="24"/>
          <w:sz w:val="24"/>
          <w:szCs w:val="24"/>
        </w:rPr>
        <w:br w:type="page"/>
      </w:r>
    </w:p>
    <w:p w14:paraId="6AE23993" w14:textId="77777777" w:rsidR="009E2C9C" w:rsidRPr="00D202E4" w:rsidRDefault="009E2C9C" w:rsidP="0099483A">
      <w:pPr>
        <w:widowControl/>
        <w:spacing w:line="240" w:lineRule="auto"/>
        <w:ind w:firstLineChars="0" w:firstLine="0"/>
        <w:rPr>
          <w:rFonts w:eastAsia="宋体" w:cs="Times New Roman"/>
          <w:color w:val="000000" w:themeColor="text1"/>
          <w:kern w:val="0"/>
          <w:szCs w:val="28"/>
        </w:rPr>
      </w:pPr>
    </w:p>
    <w:p w14:paraId="03C7AB73" w14:textId="77777777" w:rsidR="009E2C9C" w:rsidRPr="00D202E4" w:rsidRDefault="009E2C9C" w:rsidP="0099483A">
      <w:pPr>
        <w:widowControl/>
        <w:spacing w:line="240" w:lineRule="auto"/>
        <w:ind w:firstLineChars="0" w:firstLine="0"/>
        <w:rPr>
          <w:rFonts w:eastAsia="宋体" w:cs="Times New Roman"/>
          <w:color w:val="000000" w:themeColor="text1"/>
          <w:kern w:val="0"/>
          <w:szCs w:val="28"/>
        </w:rPr>
      </w:pPr>
    </w:p>
    <w:p w14:paraId="1E0915C0" w14:textId="77777777" w:rsidR="009E2C9C" w:rsidRPr="00D202E4" w:rsidRDefault="009E2C9C" w:rsidP="0099483A">
      <w:pPr>
        <w:widowControl/>
        <w:spacing w:line="240" w:lineRule="auto"/>
        <w:ind w:firstLineChars="0" w:firstLine="0"/>
        <w:rPr>
          <w:rFonts w:eastAsia="宋体" w:cs="Times New Roman"/>
          <w:noProof/>
          <w:color w:val="000000" w:themeColor="text1"/>
          <w:kern w:val="0"/>
          <w:szCs w:val="28"/>
        </w:rPr>
      </w:pPr>
    </w:p>
    <w:p w14:paraId="5D94185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620A8F16" wp14:editId="4A203A53">
            <wp:extent cx="5933720" cy="2129167"/>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1" cstate="print">
                      <a:extLst>
                        <a:ext uri="{28A0092B-C50C-407E-A947-70E740481C1C}">
                          <a14:useLocalDpi xmlns:a14="http://schemas.microsoft.com/office/drawing/2010/main" val="0"/>
                        </a:ext>
                      </a:extLst>
                    </a:blip>
                    <a:srcRect l="3241" r="3241"/>
                    <a:stretch>
                      <a:fillRect/>
                    </a:stretch>
                  </pic:blipFill>
                  <pic:spPr bwMode="auto">
                    <a:xfrm>
                      <a:off x="0" y="0"/>
                      <a:ext cx="5933720" cy="2129167"/>
                    </a:xfrm>
                    <a:prstGeom prst="rect">
                      <a:avLst/>
                    </a:prstGeom>
                    <a:ln>
                      <a:noFill/>
                    </a:ln>
                    <a:extLst>
                      <a:ext uri="{53640926-AAD7-44D8-BBD7-CCE9431645EC}">
                        <a14:shadowObscured xmlns:a14="http://schemas.microsoft.com/office/drawing/2010/main"/>
                      </a:ext>
                    </a:extLst>
                  </pic:spPr>
                </pic:pic>
              </a:graphicData>
            </a:graphic>
          </wp:inline>
        </w:drawing>
      </w:r>
    </w:p>
    <w:p w14:paraId="157717FA" w14:textId="77777777" w:rsidR="009E2C9C" w:rsidRPr="00D202E4" w:rsidRDefault="009E2C9C" w:rsidP="0099483A">
      <w:pPr>
        <w:widowControl/>
        <w:spacing w:line="240" w:lineRule="auto"/>
        <w:ind w:firstLineChars="0" w:firstLine="0"/>
        <w:rPr>
          <w:rFonts w:eastAsia="+mn-ea" w:cs="Times New Roman"/>
          <w:b/>
          <w:bCs/>
          <w:color w:val="000000" w:themeColor="text1"/>
          <w:kern w:val="24"/>
          <w:sz w:val="24"/>
          <w:szCs w:val="24"/>
        </w:rPr>
      </w:pPr>
    </w:p>
    <w:p w14:paraId="14DF9F26" w14:textId="318C014A" w:rsidR="009E2C9C" w:rsidRPr="00A52938" w:rsidRDefault="00093FC4" w:rsidP="0099483A">
      <w:pPr>
        <w:widowControl/>
        <w:spacing w:line="360" w:lineRule="auto"/>
        <w:ind w:firstLineChars="0" w:firstLine="0"/>
        <w:rPr>
          <w:rFonts w:eastAsia="宋体" w:cs="Times New Roman"/>
          <w:color w:val="000000" w:themeColor="text1"/>
          <w:kern w:val="0"/>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3. NMR characterization of HBP. </w:t>
      </w:r>
    </w:p>
    <w:p w14:paraId="61E939A9" w14:textId="77777777" w:rsidR="009E2C9C" w:rsidRPr="00D202E4" w:rsidRDefault="009E2C9C" w:rsidP="0099483A">
      <w:pPr>
        <w:widowControl/>
        <w:spacing w:line="360" w:lineRule="auto"/>
        <w:ind w:firstLineChars="0" w:firstLine="0"/>
        <w:rPr>
          <w:rFonts w:eastAsia="+mn-ea" w:cs="Times New Roman"/>
          <w:color w:val="000000" w:themeColor="text1"/>
          <w:kern w:val="24"/>
          <w:sz w:val="24"/>
          <w:szCs w:val="24"/>
        </w:rPr>
      </w:pPr>
      <w:r w:rsidRPr="00D202E4">
        <w:rPr>
          <w:rFonts w:eastAsia="+mn-ea" w:cs="Times New Roman"/>
          <w:color w:val="000000" w:themeColor="text1"/>
          <w:kern w:val="24"/>
          <w:sz w:val="24"/>
          <w:szCs w:val="24"/>
        </w:rPr>
        <w:t xml:space="preserve">a) Chemical structure of HBP. b) </w:t>
      </w:r>
      <w:r w:rsidRPr="00D202E4">
        <w:rPr>
          <w:rFonts w:eastAsia="宋体" w:cs="Times New Roman"/>
          <w:color w:val="000000" w:themeColor="text1"/>
          <w:kern w:val="24"/>
          <w:position w:val="7"/>
          <w:sz w:val="24"/>
          <w:szCs w:val="24"/>
          <w:vertAlign w:val="superscript"/>
        </w:rPr>
        <w:t>1</w:t>
      </w:r>
      <w:r w:rsidRPr="00D202E4">
        <w:rPr>
          <w:rFonts w:eastAsia="宋体" w:cs="Times New Roman"/>
          <w:color w:val="000000" w:themeColor="text1"/>
          <w:kern w:val="24"/>
          <w:sz w:val="24"/>
          <w:szCs w:val="24"/>
        </w:rPr>
        <w:t>H NMR spectra of HBP and region amplified NMR analysis.</w:t>
      </w:r>
    </w:p>
    <w:p w14:paraId="4B5605D3" w14:textId="77777777" w:rsidR="009E2C9C" w:rsidRPr="00D202E4" w:rsidRDefault="009E2C9C" w:rsidP="0099483A">
      <w:pPr>
        <w:widowControl/>
        <w:spacing w:line="240" w:lineRule="auto"/>
        <w:ind w:firstLineChars="0" w:firstLine="0"/>
        <w:rPr>
          <w:rFonts w:eastAsia="+mn-ea" w:cs="Times New Roman"/>
          <w:color w:val="000000" w:themeColor="text1"/>
          <w:kern w:val="24"/>
          <w:sz w:val="24"/>
          <w:szCs w:val="24"/>
        </w:rPr>
      </w:pPr>
    </w:p>
    <w:p w14:paraId="3E2A4C0A"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77B3F40C"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4DA65716" w14:textId="77777777" w:rsidR="009E2C9C" w:rsidRPr="00D202E4" w:rsidRDefault="009E2C9C" w:rsidP="0099483A">
      <w:pPr>
        <w:widowControl/>
        <w:spacing w:line="240" w:lineRule="auto"/>
        <w:ind w:firstLineChars="0" w:firstLine="0"/>
        <w:jc w:val="left"/>
        <w:rPr>
          <w:rFonts w:cs="Times New Roman"/>
          <w:color w:val="000000" w:themeColor="text1"/>
        </w:rPr>
      </w:pPr>
      <w:r w:rsidRPr="00D202E4">
        <w:rPr>
          <w:rFonts w:cs="Times New Roman"/>
          <w:color w:val="000000" w:themeColor="text1"/>
        </w:rPr>
        <w:br w:type="page"/>
      </w:r>
    </w:p>
    <w:p w14:paraId="0167C209" w14:textId="77777777" w:rsidR="009E2C9C" w:rsidRPr="00D202E4" w:rsidRDefault="009E2C9C" w:rsidP="0099483A">
      <w:pPr>
        <w:widowControl/>
        <w:spacing w:line="240" w:lineRule="auto"/>
        <w:ind w:firstLineChars="0" w:firstLine="0"/>
        <w:jc w:val="left"/>
        <w:rPr>
          <w:rFonts w:cs="Times New Roman"/>
          <w:color w:val="000000" w:themeColor="text1"/>
        </w:rPr>
      </w:pPr>
    </w:p>
    <w:p w14:paraId="048B7AFC" w14:textId="77777777" w:rsidR="009E2C9C" w:rsidRPr="00D202E4" w:rsidRDefault="009E2C9C" w:rsidP="0099483A">
      <w:pPr>
        <w:widowControl/>
        <w:spacing w:line="240" w:lineRule="auto"/>
        <w:ind w:firstLineChars="0" w:firstLine="0"/>
        <w:jc w:val="left"/>
        <w:rPr>
          <w:rFonts w:cs="Times New Roman"/>
          <w:color w:val="000000" w:themeColor="text1"/>
        </w:rPr>
      </w:pPr>
    </w:p>
    <w:p w14:paraId="75F9D35C" w14:textId="77777777" w:rsidR="009E2C9C" w:rsidRPr="00D202E4" w:rsidRDefault="009E2C9C" w:rsidP="0099483A">
      <w:pPr>
        <w:widowControl/>
        <w:spacing w:line="240" w:lineRule="auto"/>
        <w:ind w:firstLineChars="0" w:firstLine="0"/>
        <w:jc w:val="left"/>
        <w:rPr>
          <w:rFonts w:cs="Times New Roman"/>
          <w:color w:val="000000" w:themeColor="text1"/>
        </w:rPr>
      </w:pPr>
    </w:p>
    <w:p w14:paraId="0C2E7681" w14:textId="77777777" w:rsidR="009E2C9C" w:rsidRPr="00D202E4" w:rsidRDefault="009E2C9C" w:rsidP="0099483A">
      <w:pPr>
        <w:widowControl/>
        <w:spacing w:line="240" w:lineRule="auto"/>
        <w:ind w:firstLineChars="0" w:firstLine="0"/>
        <w:jc w:val="center"/>
        <w:rPr>
          <w:rFonts w:cs="Times New Roman"/>
          <w:color w:val="000000" w:themeColor="text1"/>
        </w:rPr>
      </w:pPr>
      <w:r w:rsidRPr="00D202E4">
        <w:rPr>
          <w:rFonts w:cs="Times New Roman"/>
          <w:noProof/>
          <w:color w:val="000000" w:themeColor="text1"/>
        </w:rPr>
        <w:drawing>
          <wp:inline distT="0" distB="0" distL="0" distR="0" wp14:anchorId="516A5B3E" wp14:editId="783B323C">
            <wp:extent cx="5926939" cy="2688958"/>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rcRect l="4620" r="4620"/>
                    <a:stretch>
                      <a:fillRect/>
                    </a:stretch>
                  </pic:blipFill>
                  <pic:spPr bwMode="auto">
                    <a:xfrm>
                      <a:off x="0" y="0"/>
                      <a:ext cx="5926939" cy="2688958"/>
                    </a:xfrm>
                    <a:prstGeom prst="rect">
                      <a:avLst/>
                    </a:prstGeom>
                    <a:ln>
                      <a:noFill/>
                    </a:ln>
                    <a:extLst>
                      <a:ext uri="{53640926-AAD7-44D8-BBD7-CCE9431645EC}">
                        <a14:shadowObscured xmlns:a14="http://schemas.microsoft.com/office/drawing/2010/main"/>
                      </a:ext>
                    </a:extLst>
                  </pic:spPr>
                </pic:pic>
              </a:graphicData>
            </a:graphic>
          </wp:inline>
        </w:drawing>
      </w:r>
    </w:p>
    <w:p w14:paraId="6D84F3AC" w14:textId="77777777" w:rsidR="009E2C9C" w:rsidRPr="00D202E4" w:rsidRDefault="009E2C9C" w:rsidP="0099483A">
      <w:pPr>
        <w:widowControl/>
        <w:spacing w:line="360" w:lineRule="auto"/>
        <w:ind w:firstLineChars="0" w:firstLine="0"/>
        <w:rPr>
          <w:rFonts w:eastAsia="+mn-ea" w:cs="Times New Roman"/>
          <w:b/>
          <w:bCs/>
          <w:color w:val="000000" w:themeColor="text1"/>
          <w:kern w:val="24"/>
          <w:sz w:val="24"/>
          <w:szCs w:val="24"/>
        </w:rPr>
      </w:pPr>
    </w:p>
    <w:p w14:paraId="20851242" w14:textId="54E250BF" w:rsidR="009E2C9C" w:rsidRPr="00A52938" w:rsidRDefault="00093FC4" w:rsidP="0099483A">
      <w:pPr>
        <w:widowControl/>
        <w:spacing w:line="360" w:lineRule="auto"/>
        <w:ind w:firstLineChars="0" w:firstLine="0"/>
        <w:rPr>
          <w:rFonts w:eastAsia="+mn-ea" w:cs="Times New Roman"/>
          <w:b/>
          <w:bCs/>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4. </w:t>
      </w:r>
      <w:r w:rsidR="009E2C9C" w:rsidRPr="00A52938">
        <w:rPr>
          <w:rFonts w:eastAsia="+mn-ea" w:cs="Times New Roman"/>
          <w:b/>
          <w:bCs/>
          <w:color w:val="000000" w:themeColor="text1"/>
          <w:kern w:val="24"/>
          <w:sz w:val="24"/>
          <w:szCs w:val="24"/>
          <w:vertAlign w:val="superscript"/>
        </w:rPr>
        <w:t>1</w:t>
      </w:r>
      <w:r w:rsidR="009E2C9C" w:rsidRPr="00A52938">
        <w:rPr>
          <w:rFonts w:eastAsia="+mn-ea" w:cs="Times New Roman"/>
          <w:b/>
          <w:bCs/>
          <w:color w:val="000000" w:themeColor="text1"/>
          <w:kern w:val="24"/>
          <w:sz w:val="24"/>
          <w:szCs w:val="24"/>
        </w:rPr>
        <w:t xml:space="preserve">H NMR characterization of PBHA. </w:t>
      </w:r>
    </w:p>
    <w:p w14:paraId="2C1A42B9" w14:textId="77777777" w:rsidR="009E2C9C" w:rsidRPr="00D202E4" w:rsidRDefault="009E2C9C" w:rsidP="0099483A">
      <w:pPr>
        <w:widowControl/>
        <w:spacing w:line="360" w:lineRule="auto"/>
        <w:ind w:firstLineChars="0" w:firstLine="0"/>
        <w:rPr>
          <w:rFonts w:eastAsia="+mn-ea" w:cs="Times New Roman"/>
          <w:color w:val="000000" w:themeColor="text1"/>
          <w:kern w:val="24"/>
          <w:sz w:val="24"/>
          <w:szCs w:val="24"/>
        </w:rPr>
      </w:pPr>
      <w:r w:rsidRPr="00D202E4">
        <w:rPr>
          <w:rFonts w:eastAsia="+mn-ea" w:cs="Times New Roman"/>
          <w:color w:val="000000" w:themeColor="text1"/>
          <w:kern w:val="24"/>
          <w:sz w:val="24"/>
          <w:szCs w:val="24"/>
        </w:rPr>
        <w:t xml:space="preserve">a) </w:t>
      </w:r>
      <w:r w:rsidRPr="00D202E4">
        <w:rPr>
          <w:rFonts w:eastAsia="+mn-ea" w:cs="Times New Roman"/>
          <w:color w:val="000000" w:themeColor="text1"/>
          <w:kern w:val="24"/>
          <w:sz w:val="24"/>
          <w:szCs w:val="24"/>
          <w:vertAlign w:val="superscript"/>
        </w:rPr>
        <w:t>1</w:t>
      </w:r>
      <w:r w:rsidRPr="00D202E4">
        <w:rPr>
          <w:rFonts w:eastAsia="+mn-ea" w:cs="Times New Roman"/>
          <w:color w:val="000000" w:themeColor="text1"/>
          <w:kern w:val="24"/>
          <w:sz w:val="24"/>
          <w:szCs w:val="24"/>
        </w:rPr>
        <w:t xml:space="preserve">H NMR spectra of monomers before (black line) and after (red line) copolymerization of PBHA. Where MB is an internal standard, and the integrated areas of A3, B2 and C3 are used to calculate the output ratio of monomers. b) </w:t>
      </w:r>
      <w:r w:rsidRPr="00D202E4">
        <w:rPr>
          <w:rFonts w:eastAsia="+mn-ea" w:cs="Times New Roman"/>
          <w:color w:val="000000" w:themeColor="text1"/>
          <w:kern w:val="24"/>
          <w:sz w:val="24"/>
          <w:szCs w:val="24"/>
          <w:vertAlign w:val="superscript"/>
        </w:rPr>
        <w:t>1</w:t>
      </w:r>
      <w:r w:rsidRPr="00D202E4">
        <w:rPr>
          <w:rFonts w:eastAsia="+mn-ea" w:cs="Times New Roman"/>
          <w:color w:val="000000" w:themeColor="text1"/>
          <w:kern w:val="24"/>
          <w:sz w:val="24"/>
          <w:szCs w:val="24"/>
        </w:rPr>
        <w:t>H NMR spectra of PBHA as a proof of the synthesis process.</w:t>
      </w:r>
    </w:p>
    <w:p w14:paraId="067E7765" w14:textId="77777777" w:rsidR="009E2C9C" w:rsidRPr="00D202E4" w:rsidRDefault="009E2C9C" w:rsidP="0099483A">
      <w:pPr>
        <w:widowControl/>
        <w:spacing w:line="240" w:lineRule="auto"/>
        <w:ind w:firstLineChars="0" w:firstLine="0"/>
        <w:jc w:val="left"/>
        <w:rPr>
          <w:rFonts w:cs="Times New Roman"/>
          <w:color w:val="000000" w:themeColor="text1"/>
        </w:rPr>
      </w:pPr>
      <w:r w:rsidRPr="00D202E4">
        <w:rPr>
          <w:rFonts w:cs="Times New Roman"/>
          <w:color w:val="000000" w:themeColor="text1"/>
        </w:rPr>
        <w:br w:type="page"/>
      </w:r>
    </w:p>
    <w:p w14:paraId="3CB71C68" w14:textId="77777777" w:rsidR="009E2C9C" w:rsidRPr="00D202E4" w:rsidRDefault="009E2C9C" w:rsidP="0099483A">
      <w:pPr>
        <w:widowControl/>
        <w:spacing w:line="240" w:lineRule="auto"/>
        <w:ind w:firstLineChars="0" w:firstLine="0"/>
        <w:rPr>
          <w:rFonts w:eastAsia="宋体" w:cs="Times New Roman"/>
          <w:color w:val="000000" w:themeColor="text1"/>
          <w:kern w:val="0"/>
          <w:szCs w:val="28"/>
        </w:rPr>
      </w:pPr>
    </w:p>
    <w:p w14:paraId="57C99CE5" w14:textId="77777777" w:rsidR="009E2C9C" w:rsidRPr="00D202E4" w:rsidRDefault="009E2C9C" w:rsidP="0099483A">
      <w:pPr>
        <w:widowControl/>
        <w:spacing w:line="240" w:lineRule="auto"/>
        <w:ind w:firstLineChars="0" w:firstLine="0"/>
        <w:rPr>
          <w:rFonts w:eastAsia="宋体" w:cs="Times New Roman"/>
          <w:color w:val="000000" w:themeColor="text1"/>
          <w:kern w:val="0"/>
          <w:szCs w:val="28"/>
        </w:rPr>
      </w:pPr>
    </w:p>
    <w:p w14:paraId="6C94D23C" w14:textId="77777777" w:rsidR="009E2C9C" w:rsidRPr="00D202E4" w:rsidRDefault="009E2C9C" w:rsidP="0099483A">
      <w:pPr>
        <w:widowControl/>
        <w:spacing w:line="240" w:lineRule="auto"/>
        <w:ind w:firstLineChars="0" w:firstLine="0"/>
        <w:rPr>
          <w:rFonts w:eastAsia="宋体" w:cs="Times New Roman"/>
          <w:noProof/>
          <w:color w:val="000000" w:themeColor="text1"/>
          <w:kern w:val="0"/>
          <w:szCs w:val="28"/>
        </w:rPr>
      </w:pPr>
    </w:p>
    <w:p w14:paraId="245227DB"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12032A66" wp14:editId="1E7E559C">
            <wp:extent cx="5939790" cy="4096156"/>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4096156"/>
                    </a:xfrm>
                    <a:prstGeom prst="rect">
                      <a:avLst/>
                    </a:prstGeom>
                  </pic:spPr>
                </pic:pic>
              </a:graphicData>
            </a:graphic>
          </wp:inline>
        </w:drawing>
      </w:r>
    </w:p>
    <w:p w14:paraId="7ECFD14D" w14:textId="77777777" w:rsidR="009E2C9C" w:rsidRPr="00D202E4" w:rsidRDefault="009E2C9C" w:rsidP="0099483A">
      <w:pPr>
        <w:widowControl/>
        <w:spacing w:line="240" w:lineRule="auto"/>
        <w:ind w:firstLineChars="0" w:firstLine="0"/>
        <w:rPr>
          <w:rFonts w:eastAsia="+mn-ea" w:cs="Times New Roman"/>
          <w:b/>
          <w:bCs/>
          <w:color w:val="000000" w:themeColor="text1"/>
          <w:kern w:val="24"/>
          <w:sz w:val="24"/>
          <w:szCs w:val="24"/>
        </w:rPr>
      </w:pPr>
    </w:p>
    <w:p w14:paraId="059D6186" w14:textId="2DD0265E" w:rsidR="009E2C9C" w:rsidRPr="00A52938" w:rsidRDefault="00093FC4" w:rsidP="0099483A">
      <w:pPr>
        <w:widowControl/>
        <w:spacing w:line="360" w:lineRule="auto"/>
        <w:ind w:firstLineChars="0" w:firstLine="0"/>
        <w:rPr>
          <w:rFonts w:eastAsia="宋体" w:cs="Times New Roman"/>
          <w:color w:val="000000" w:themeColor="text1"/>
          <w:kern w:val="0"/>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Figure 5. Characterization of the degree of branching (DB) of HBP.</w:t>
      </w:r>
    </w:p>
    <w:p w14:paraId="01B3108C" w14:textId="77777777" w:rsidR="009E2C9C" w:rsidRPr="00D202E4" w:rsidRDefault="009E2C9C" w:rsidP="0099483A">
      <w:pPr>
        <w:widowControl/>
        <w:spacing w:line="360" w:lineRule="auto"/>
        <w:ind w:firstLineChars="0" w:firstLine="0"/>
        <w:rPr>
          <w:rFonts w:eastAsia="+mn-ea" w:cs="Times New Roman"/>
          <w:color w:val="000000" w:themeColor="text1"/>
          <w:kern w:val="24"/>
          <w:sz w:val="24"/>
          <w:szCs w:val="24"/>
        </w:rPr>
      </w:pPr>
      <w:r w:rsidRPr="00D202E4">
        <w:rPr>
          <w:rFonts w:eastAsia="+mn-ea" w:cs="Times New Roman"/>
          <w:color w:val="000000" w:themeColor="text1"/>
          <w:kern w:val="24"/>
          <w:sz w:val="24"/>
          <w:szCs w:val="24"/>
        </w:rPr>
        <w:t>a) Classification of structural units of HBP</w:t>
      </w:r>
      <w:r w:rsidRPr="00D202E4">
        <w:rPr>
          <w:rFonts w:eastAsia="宋体" w:cs="Times New Roman"/>
          <w:color w:val="000000" w:themeColor="text1"/>
          <w:kern w:val="24"/>
          <w:sz w:val="24"/>
          <w:szCs w:val="24"/>
        </w:rPr>
        <w:t xml:space="preserve">. </w:t>
      </w:r>
      <w:r w:rsidRPr="00D202E4">
        <w:rPr>
          <w:rFonts w:eastAsia="+mn-ea" w:cs="Times New Roman"/>
          <w:color w:val="000000" w:themeColor="text1"/>
          <w:kern w:val="24"/>
          <w:sz w:val="24"/>
          <w:szCs w:val="24"/>
        </w:rPr>
        <w:t xml:space="preserve">b) Quantitative </w:t>
      </w:r>
      <w:r w:rsidRPr="00D202E4">
        <w:rPr>
          <w:rFonts w:eastAsia="+mn-ea" w:cs="Times New Roman"/>
          <w:color w:val="000000" w:themeColor="text1"/>
          <w:kern w:val="24"/>
          <w:sz w:val="24"/>
          <w:szCs w:val="24"/>
          <w:vertAlign w:val="superscript"/>
        </w:rPr>
        <w:t>13</w:t>
      </w:r>
      <w:r w:rsidRPr="00D202E4">
        <w:rPr>
          <w:rFonts w:eastAsia="+mn-ea" w:cs="Times New Roman"/>
          <w:color w:val="000000" w:themeColor="text1"/>
          <w:kern w:val="24"/>
          <w:sz w:val="24"/>
          <w:szCs w:val="24"/>
        </w:rPr>
        <w:t xml:space="preserve">C NMR spectra of HBP. c) </w:t>
      </w:r>
      <w:r w:rsidRPr="00D202E4">
        <w:rPr>
          <w:rFonts w:eastAsia="+mn-ea" w:cs="Times New Roman"/>
          <w:color w:val="000000" w:themeColor="text1"/>
          <w:kern w:val="24"/>
          <w:position w:val="7"/>
          <w:sz w:val="24"/>
          <w:szCs w:val="24"/>
          <w:vertAlign w:val="superscript"/>
        </w:rPr>
        <w:t>13</w:t>
      </w:r>
      <w:r w:rsidRPr="00D202E4">
        <w:rPr>
          <w:rFonts w:eastAsia="+mn-ea" w:cs="Times New Roman"/>
          <w:color w:val="000000" w:themeColor="text1"/>
          <w:kern w:val="24"/>
          <w:sz w:val="24"/>
          <w:szCs w:val="24"/>
        </w:rPr>
        <w:t xml:space="preserve">C, </w:t>
      </w:r>
      <w:r w:rsidRPr="00D202E4">
        <w:rPr>
          <w:rFonts w:eastAsia="+mn-ea" w:cs="Times New Roman"/>
          <w:color w:val="000000" w:themeColor="text1"/>
          <w:kern w:val="24"/>
          <w:position w:val="7"/>
          <w:sz w:val="24"/>
          <w:szCs w:val="24"/>
          <w:vertAlign w:val="superscript"/>
        </w:rPr>
        <w:t>1</w:t>
      </w:r>
      <w:r w:rsidRPr="00D202E4">
        <w:rPr>
          <w:rFonts w:eastAsia="+mn-ea" w:cs="Times New Roman"/>
          <w:color w:val="000000" w:themeColor="text1"/>
          <w:kern w:val="24"/>
          <w:sz w:val="24"/>
          <w:szCs w:val="24"/>
        </w:rPr>
        <w:t xml:space="preserve">H-HSQC spectra of HBP, the </w:t>
      </w:r>
      <w:r w:rsidRPr="00D202E4">
        <w:rPr>
          <w:rFonts w:eastAsia="+mn-ea" w:cs="Times New Roman"/>
          <w:color w:val="000000" w:themeColor="text1"/>
          <w:kern w:val="24"/>
          <w:position w:val="7"/>
          <w:sz w:val="24"/>
          <w:szCs w:val="24"/>
          <w:vertAlign w:val="superscript"/>
        </w:rPr>
        <w:t>13</w:t>
      </w:r>
      <w:r w:rsidRPr="00D202E4">
        <w:rPr>
          <w:rFonts w:eastAsia="+mn-ea" w:cs="Times New Roman"/>
          <w:color w:val="000000" w:themeColor="text1"/>
          <w:kern w:val="24"/>
          <w:sz w:val="24"/>
          <w:szCs w:val="24"/>
        </w:rPr>
        <w:t xml:space="preserve">C, </w:t>
      </w:r>
      <w:r w:rsidRPr="00D202E4">
        <w:rPr>
          <w:rFonts w:eastAsia="+mn-ea" w:cs="Times New Roman"/>
          <w:color w:val="000000" w:themeColor="text1"/>
          <w:kern w:val="24"/>
          <w:position w:val="7"/>
          <w:sz w:val="24"/>
          <w:szCs w:val="24"/>
          <w:vertAlign w:val="superscript"/>
        </w:rPr>
        <w:t>1</w:t>
      </w:r>
      <w:r w:rsidRPr="00D202E4">
        <w:rPr>
          <w:rFonts w:eastAsia="+mn-ea" w:cs="Times New Roman"/>
          <w:color w:val="000000" w:themeColor="text1"/>
          <w:kern w:val="24"/>
          <w:sz w:val="24"/>
          <w:szCs w:val="24"/>
        </w:rPr>
        <w:t xml:space="preserve">H-HSQC spectra reveal the assignment of the structure units. The relative integrated area of peaks in quantitative </w:t>
      </w:r>
      <w:r w:rsidRPr="00D202E4">
        <w:rPr>
          <w:rFonts w:eastAsia="+mn-ea" w:cs="Times New Roman"/>
          <w:color w:val="000000" w:themeColor="text1"/>
          <w:kern w:val="24"/>
          <w:sz w:val="24"/>
          <w:szCs w:val="24"/>
          <w:vertAlign w:val="superscript"/>
        </w:rPr>
        <w:t>13</w:t>
      </w:r>
      <w:r w:rsidRPr="00D202E4">
        <w:rPr>
          <w:rFonts w:eastAsia="+mn-ea" w:cs="Times New Roman"/>
          <w:color w:val="000000" w:themeColor="text1"/>
          <w:kern w:val="24"/>
          <w:sz w:val="24"/>
          <w:szCs w:val="24"/>
        </w:rPr>
        <w:t>C NMR spectra are used to calculate the degree of branching of HBP.</w:t>
      </w:r>
    </w:p>
    <w:p w14:paraId="4D8E8D8C" w14:textId="77777777" w:rsidR="009E2C9C" w:rsidRPr="00D202E4" w:rsidRDefault="009E2C9C" w:rsidP="0099483A">
      <w:pPr>
        <w:widowControl/>
        <w:spacing w:line="240" w:lineRule="auto"/>
        <w:ind w:firstLineChars="0" w:firstLine="0"/>
        <w:jc w:val="left"/>
        <w:rPr>
          <w:rFonts w:cs="Times New Roman"/>
          <w:color w:val="000000" w:themeColor="text1"/>
        </w:rPr>
      </w:pPr>
      <w:r w:rsidRPr="00D202E4">
        <w:rPr>
          <w:rFonts w:cs="Times New Roman"/>
          <w:color w:val="000000" w:themeColor="text1"/>
        </w:rPr>
        <w:br w:type="page"/>
      </w:r>
    </w:p>
    <w:p w14:paraId="70D900A9" w14:textId="77777777" w:rsidR="009E2C9C" w:rsidRPr="00D202E4" w:rsidRDefault="009E2C9C" w:rsidP="0099483A">
      <w:pPr>
        <w:widowControl/>
        <w:spacing w:line="240" w:lineRule="auto"/>
        <w:ind w:firstLineChars="0" w:firstLine="0"/>
        <w:jc w:val="left"/>
        <w:rPr>
          <w:rFonts w:cs="Times New Roman"/>
          <w:color w:val="000000" w:themeColor="text1"/>
        </w:rPr>
      </w:pPr>
    </w:p>
    <w:p w14:paraId="4FFB4B34" w14:textId="77777777" w:rsidR="009E2C9C" w:rsidRPr="00D202E4" w:rsidRDefault="009E2C9C" w:rsidP="0099483A">
      <w:pPr>
        <w:widowControl/>
        <w:spacing w:line="240" w:lineRule="auto"/>
        <w:ind w:firstLineChars="0" w:firstLine="0"/>
        <w:jc w:val="left"/>
        <w:rPr>
          <w:rFonts w:cs="Times New Roman"/>
          <w:color w:val="000000" w:themeColor="text1"/>
        </w:rPr>
      </w:pPr>
    </w:p>
    <w:p w14:paraId="7680F4CF" w14:textId="77777777" w:rsidR="009E2C9C" w:rsidRPr="00D202E4" w:rsidRDefault="009E2C9C" w:rsidP="0099483A">
      <w:pPr>
        <w:widowControl/>
        <w:spacing w:line="240" w:lineRule="auto"/>
        <w:ind w:firstLineChars="0" w:firstLine="0"/>
        <w:jc w:val="left"/>
        <w:rPr>
          <w:rFonts w:cs="Times New Roman"/>
          <w:color w:val="000000" w:themeColor="text1"/>
        </w:rPr>
      </w:pPr>
    </w:p>
    <w:p w14:paraId="4C3CB11E" w14:textId="77777777" w:rsidR="009E2C9C" w:rsidRPr="00D202E4" w:rsidRDefault="009E2C9C" w:rsidP="0099483A">
      <w:pPr>
        <w:widowControl/>
        <w:spacing w:line="240" w:lineRule="auto"/>
        <w:ind w:firstLineChars="0" w:firstLine="0"/>
        <w:jc w:val="center"/>
        <w:rPr>
          <w:rFonts w:cs="Times New Roman"/>
          <w:color w:val="000000" w:themeColor="text1"/>
        </w:rPr>
      </w:pPr>
      <w:r w:rsidRPr="00D202E4">
        <w:rPr>
          <w:rFonts w:cs="Times New Roman"/>
          <w:noProof/>
          <w:color w:val="000000" w:themeColor="text1"/>
        </w:rPr>
        <w:drawing>
          <wp:inline distT="0" distB="0" distL="0" distR="0" wp14:anchorId="6FA7113E" wp14:editId="774D73FA">
            <wp:extent cx="5874430" cy="2171199"/>
            <wp:effectExtent l="0" t="0" r="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874430" cy="2171199"/>
                    </a:xfrm>
                    <a:prstGeom prst="rect">
                      <a:avLst/>
                    </a:prstGeom>
                    <a:noFill/>
                    <a:ln>
                      <a:noFill/>
                    </a:ln>
                  </pic:spPr>
                </pic:pic>
              </a:graphicData>
            </a:graphic>
          </wp:inline>
        </w:drawing>
      </w:r>
    </w:p>
    <w:p w14:paraId="4F63B8EB" w14:textId="77777777" w:rsidR="009E2C9C" w:rsidRPr="00D202E4" w:rsidRDefault="009E2C9C" w:rsidP="0099483A">
      <w:pPr>
        <w:widowControl/>
        <w:spacing w:line="240" w:lineRule="auto"/>
        <w:ind w:firstLineChars="0" w:firstLine="0"/>
        <w:rPr>
          <w:rFonts w:eastAsia="+mn-ea" w:cs="Times New Roman"/>
          <w:b/>
          <w:bCs/>
          <w:color w:val="000000" w:themeColor="text1"/>
          <w:kern w:val="24"/>
          <w:sz w:val="24"/>
          <w:szCs w:val="24"/>
        </w:rPr>
      </w:pPr>
    </w:p>
    <w:p w14:paraId="3FB9F43A" w14:textId="31318689" w:rsidR="009E2C9C" w:rsidRPr="00A52938" w:rsidRDefault="00093FC4" w:rsidP="0099483A">
      <w:pPr>
        <w:widowControl/>
        <w:spacing w:line="360" w:lineRule="auto"/>
        <w:ind w:firstLineChars="0" w:firstLine="0"/>
        <w:rPr>
          <w:rFonts w:eastAsia="+mn-ea"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6. </w:t>
      </w:r>
      <w:r w:rsidR="009E2C9C" w:rsidRPr="00A52938">
        <w:rPr>
          <w:rFonts w:eastAsia="+mn-ea" w:cs="Times New Roman"/>
          <w:color w:val="000000" w:themeColor="text1"/>
          <w:kern w:val="24"/>
          <w:sz w:val="24"/>
          <w:szCs w:val="24"/>
        </w:rPr>
        <w:t xml:space="preserve">a) Size distribution of HBP measured by </w:t>
      </w:r>
      <w:proofErr w:type="spellStart"/>
      <w:r w:rsidR="009E2C9C" w:rsidRPr="00A52938">
        <w:rPr>
          <w:rFonts w:eastAsia="+mn-ea" w:cs="Times New Roman"/>
          <w:color w:val="000000" w:themeColor="text1"/>
          <w:kern w:val="24"/>
          <w:sz w:val="24"/>
          <w:szCs w:val="24"/>
        </w:rPr>
        <w:t>Zetasizer</w:t>
      </w:r>
      <w:proofErr w:type="spellEnd"/>
      <w:r w:rsidR="009E2C9C" w:rsidRPr="00A52938">
        <w:rPr>
          <w:rFonts w:eastAsia="+mn-ea" w:cs="Times New Roman"/>
          <w:color w:val="000000" w:themeColor="text1"/>
          <w:kern w:val="24"/>
          <w:sz w:val="24"/>
          <w:szCs w:val="24"/>
        </w:rPr>
        <w:t xml:space="preserve"> Nano analyzer. b) </w:t>
      </w:r>
      <w:r w:rsidR="009E2C9C" w:rsidRPr="00A52938">
        <w:rPr>
          <w:rFonts w:eastAsia="宋体" w:cs="Times New Roman"/>
          <w:color w:val="000000" w:themeColor="text1"/>
          <w:kern w:val="24"/>
          <w:sz w:val="24"/>
          <w:szCs w:val="24"/>
        </w:rPr>
        <w:t>GPC elution curve of PBHA, PBHA’, and PBHA’’, PMMA as the standard</w:t>
      </w:r>
      <w:r w:rsidR="009E2C9C" w:rsidRPr="00A52938">
        <w:rPr>
          <w:rFonts w:eastAsia="+mn-ea" w:cs="Times New Roman"/>
          <w:color w:val="000000" w:themeColor="text1"/>
          <w:kern w:val="24"/>
          <w:sz w:val="24"/>
          <w:szCs w:val="24"/>
        </w:rPr>
        <w:t>.</w:t>
      </w:r>
    </w:p>
    <w:p w14:paraId="5BDB1B47" w14:textId="77777777" w:rsidR="009E2C9C" w:rsidRPr="00D202E4" w:rsidRDefault="009E2C9C" w:rsidP="0099483A">
      <w:pPr>
        <w:widowControl/>
        <w:spacing w:line="240" w:lineRule="auto"/>
        <w:ind w:firstLineChars="0" w:firstLine="0"/>
        <w:jc w:val="left"/>
        <w:rPr>
          <w:rFonts w:cs="Times New Roman"/>
          <w:color w:val="000000" w:themeColor="text1"/>
          <w:kern w:val="24"/>
          <w:sz w:val="24"/>
          <w:szCs w:val="24"/>
        </w:rPr>
      </w:pPr>
      <w:r w:rsidRPr="00D202E4">
        <w:rPr>
          <w:rFonts w:eastAsia="+mn-ea" w:cs="Times New Roman"/>
          <w:color w:val="000000" w:themeColor="text1"/>
          <w:kern w:val="24"/>
          <w:sz w:val="24"/>
          <w:szCs w:val="24"/>
        </w:rPr>
        <w:br w:type="page"/>
      </w:r>
    </w:p>
    <w:p w14:paraId="7FB25432"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77550775"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140C191B"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2F2BCF31"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716732C8" wp14:editId="1F141154">
            <wp:extent cx="3441600" cy="2340000"/>
            <wp:effectExtent l="0" t="0" r="0" b="317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441600" cy="2340000"/>
                    </a:xfrm>
                    <a:prstGeom prst="rect">
                      <a:avLst/>
                    </a:prstGeom>
                    <a:noFill/>
                    <a:ln>
                      <a:noFill/>
                    </a:ln>
                  </pic:spPr>
                </pic:pic>
              </a:graphicData>
            </a:graphic>
          </wp:inline>
        </w:drawing>
      </w:r>
    </w:p>
    <w:p w14:paraId="3EB84EFC"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3FBAFEA0" w14:textId="3DD2B521" w:rsidR="009E2C9C" w:rsidRPr="00A52938" w:rsidRDefault="00093FC4" w:rsidP="0099483A">
      <w:pPr>
        <w:widowControl/>
        <w:spacing w:line="360" w:lineRule="auto"/>
        <w:ind w:firstLineChars="0" w:firstLine="0"/>
        <w:rPr>
          <w:rFonts w:eastAsia="宋体"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7. </w:t>
      </w:r>
      <w:r w:rsidR="009E2C9C" w:rsidRPr="00A52938">
        <w:rPr>
          <w:rFonts w:eastAsia="+mn-ea" w:cs="Times New Roman"/>
          <w:color w:val="000000" w:themeColor="text1"/>
          <w:kern w:val="24"/>
          <w:sz w:val="24"/>
          <w:szCs w:val="24"/>
        </w:rPr>
        <w:t xml:space="preserve">TGA curves of THG and components. The thermal weight loss ratio of the amide component in HBP between 220-300 </w:t>
      </w:r>
      <w:r w:rsidR="009E2C9C" w:rsidRPr="00A52938">
        <w:rPr>
          <w:rFonts w:eastAsia="宋体" w:cs="Times New Roman"/>
          <w:color w:val="000000" w:themeColor="text1"/>
          <w:kern w:val="24"/>
          <w:sz w:val="24"/>
          <w:szCs w:val="24"/>
        </w:rPr>
        <w:t xml:space="preserve">°C </w:t>
      </w:r>
      <w:r w:rsidR="009E2C9C" w:rsidRPr="00A52938">
        <w:rPr>
          <w:rFonts w:eastAsia="+mn-ea" w:cs="Times New Roman"/>
          <w:color w:val="000000" w:themeColor="text1"/>
          <w:kern w:val="24"/>
          <w:sz w:val="24"/>
          <w:szCs w:val="24"/>
        </w:rPr>
        <w:t>can be used to calculate the content of HBP in THG hybrid. The mass ratios of HBP in the hybrid is around 39.8%</w:t>
      </w:r>
      <w:r w:rsidR="009E2C9C" w:rsidRPr="00A52938">
        <w:rPr>
          <w:rFonts w:eastAsia="宋体" w:cs="Times New Roman"/>
          <w:color w:val="000000" w:themeColor="text1"/>
          <w:kern w:val="24"/>
          <w:sz w:val="24"/>
          <w:szCs w:val="24"/>
        </w:rPr>
        <w:t>.</w:t>
      </w:r>
    </w:p>
    <w:p w14:paraId="03C71B3E" w14:textId="77777777" w:rsidR="009E2C9C" w:rsidRPr="00D202E4" w:rsidRDefault="009E2C9C" w:rsidP="0099483A">
      <w:pPr>
        <w:widowControl/>
        <w:spacing w:line="240" w:lineRule="auto"/>
        <w:ind w:firstLineChars="0" w:firstLine="0"/>
        <w:rPr>
          <w:rFonts w:eastAsia="宋体" w:cs="Times New Roman"/>
          <w:color w:val="000000" w:themeColor="text1"/>
          <w:kern w:val="24"/>
          <w:sz w:val="24"/>
          <w:szCs w:val="24"/>
        </w:rPr>
      </w:pPr>
    </w:p>
    <w:p w14:paraId="086CC835" w14:textId="77777777" w:rsidR="009E2C9C" w:rsidRPr="00D202E4" w:rsidRDefault="009E2C9C" w:rsidP="0099483A">
      <w:pPr>
        <w:widowControl/>
        <w:spacing w:line="240" w:lineRule="auto"/>
        <w:ind w:firstLineChars="0" w:firstLine="0"/>
        <w:jc w:val="left"/>
        <w:rPr>
          <w:rFonts w:eastAsia="宋体" w:cs="Times New Roman"/>
          <w:color w:val="000000" w:themeColor="text1"/>
          <w:kern w:val="24"/>
          <w:sz w:val="24"/>
          <w:szCs w:val="24"/>
        </w:rPr>
      </w:pPr>
      <w:r w:rsidRPr="00D202E4">
        <w:rPr>
          <w:rFonts w:eastAsia="宋体" w:cs="Times New Roman"/>
          <w:color w:val="000000" w:themeColor="text1"/>
          <w:kern w:val="24"/>
          <w:sz w:val="24"/>
          <w:szCs w:val="24"/>
        </w:rPr>
        <w:br w:type="page"/>
      </w:r>
    </w:p>
    <w:p w14:paraId="504952F3" w14:textId="77777777" w:rsidR="009E2C9C" w:rsidRPr="00D202E4" w:rsidRDefault="009E2C9C" w:rsidP="0099483A">
      <w:pPr>
        <w:widowControl/>
        <w:spacing w:line="360" w:lineRule="auto"/>
        <w:ind w:firstLineChars="0" w:firstLine="0"/>
        <w:rPr>
          <w:rFonts w:cs="Times New Roman"/>
          <w:b/>
          <w:bCs/>
          <w:color w:val="000000" w:themeColor="text1"/>
          <w:kern w:val="24"/>
          <w:sz w:val="24"/>
          <w:szCs w:val="24"/>
        </w:rPr>
      </w:pPr>
    </w:p>
    <w:p w14:paraId="280008E0" w14:textId="77777777" w:rsidR="009E2C9C" w:rsidRPr="00D202E4" w:rsidRDefault="009E2C9C" w:rsidP="0099483A">
      <w:pPr>
        <w:widowControl/>
        <w:spacing w:line="360" w:lineRule="auto"/>
        <w:ind w:firstLineChars="0" w:firstLine="0"/>
        <w:rPr>
          <w:rFonts w:cs="Times New Roman"/>
          <w:b/>
          <w:bCs/>
          <w:color w:val="000000" w:themeColor="text1"/>
          <w:kern w:val="24"/>
          <w:sz w:val="24"/>
          <w:szCs w:val="24"/>
        </w:rPr>
      </w:pPr>
    </w:p>
    <w:p w14:paraId="24612FA0" w14:textId="77777777" w:rsidR="009E2C9C" w:rsidRPr="00D202E4" w:rsidRDefault="009E2C9C" w:rsidP="0099483A">
      <w:pPr>
        <w:widowControl/>
        <w:spacing w:line="360" w:lineRule="auto"/>
        <w:ind w:firstLineChars="0" w:firstLine="0"/>
        <w:rPr>
          <w:rFonts w:cs="Times New Roman"/>
          <w:b/>
          <w:bCs/>
          <w:color w:val="000000" w:themeColor="text1"/>
          <w:kern w:val="24"/>
          <w:sz w:val="24"/>
          <w:szCs w:val="24"/>
        </w:rPr>
      </w:pPr>
    </w:p>
    <w:p w14:paraId="3F6CD415"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5FE981EE" wp14:editId="1C2A6D11">
            <wp:extent cx="4619959" cy="2340000"/>
            <wp:effectExtent l="0" t="0" r="9525" b="317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459" b="120"/>
                    <a:stretch/>
                  </pic:blipFill>
                  <pic:spPr bwMode="auto">
                    <a:xfrm>
                      <a:off x="0" y="0"/>
                      <a:ext cx="4619959"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4D1103FE"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20D3035D" w14:textId="4A9ABE27" w:rsidR="009E2C9C" w:rsidRPr="00A52938" w:rsidRDefault="00093FC4" w:rsidP="0099483A">
      <w:pPr>
        <w:widowControl/>
        <w:spacing w:line="360" w:lineRule="auto"/>
        <w:ind w:firstLineChars="0" w:firstLine="0"/>
        <w:rPr>
          <w:rFonts w:eastAsia="宋体" w:cs="Times New Roman"/>
          <w:color w:val="000000" w:themeColor="text1"/>
          <w:kern w:val="0"/>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8. </w:t>
      </w:r>
      <w:r w:rsidR="009E2C9C" w:rsidRPr="00A52938">
        <w:rPr>
          <w:rFonts w:eastAsia="+mn-ea" w:cs="Times New Roman"/>
          <w:color w:val="000000" w:themeColor="text1"/>
          <w:kern w:val="24"/>
          <w:sz w:val="24"/>
          <w:szCs w:val="24"/>
        </w:rPr>
        <w:t>a, b) Temperature dependent FTIR spectra of THG upon heating from 20 °C to 80 °C.</w:t>
      </w:r>
    </w:p>
    <w:p w14:paraId="5A34C353" w14:textId="77777777" w:rsidR="009E2C9C" w:rsidRPr="00D202E4" w:rsidRDefault="009E2C9C" w:rsidP="0099483A">
      <w:pPr>
        <w:widowControl/>
        <w:spacing w:line="360" w:lineRule="auto"/>
        <w:ind w:firstLineChars="0" w:firstLine="0"/>
        <w:rPr>
          <w:rFonts w:cs="Times New Roman"/>
          <w:b/>
          <w:bCs/>
          <w:color w:val="000000" w:themeColor="text1"/>
          <w:kern w:val="24"/>
          <w:sz w:val="24"/>
          <w:szCs w:val="24"/>
        </w:rPr>
      </w:pPr>
    </w:p>
    <w:p w14:paraId="35363E5D" w14:textId="77777777" w:rsidR="009E2C9C" w:rsidRPr="00D202E4" w:rsidRDefault="009E2C9C" w:rsidP="0099483A">
      <w:pPr>
        <w:widowControl/>
        <w:spacing w:line="360" w:lineRule="auto"/>
        <w:ind w:firstLineChars="0" w:firstLine="0"/>
        <w:rPr>
          <w:rFonts w:cs="Times New Roman"/>
          <w:b/>
          <w:bCs/>
          <w:color w:val="000000" w:themeColor="text1"/>
          <w:kern w:val="24"/>
          <w:sz w:val="24"/>
          <w:szCs w:val="24"/>
        </w:rPr>
      </w:pPr>
    </w:p>
    <w:p w14:paraId="7D034F3F" w14:textId="77777777" w:rsidR="009E2C9C" w:rsidRPr="00D202E4" w:rsidRDefault="009E2C9C" w:rsidP="0099483A">
      <w:pPr>
        <w:widowControl/>
        <w:spacing w:line="240" w:lineRule="auto"/>
        <w:ind w:firstLineChars="0" w:firstLine="0"/>
        <w:jc w:val="left"/>
        <w:rPr>
          <w:rFonts w:cs="Times New Roman"/>
          <w:b/>
          <w:bCs/>
          <w:color w:val="000000" w:themeColor="text1"/>
          <w:kern w:val="24"/>
          <w:sz w:val="24"/>
          <w:szCs w:val="24"/>
        </w:rPr>
      </w:pPr>
      <w:r w:rsidRPr="00D202E4">
        <w:rPr>
          <w:rFonts w:cs="Times New Roman"/>
          <w:b/>
          <w:bCs/>
          <w:color w:val="000000" w:themeColor="text1"/>
          <w:kern w:val="24"/>
          <w:sz w:val="24"/>
          <w:szCs w:val="24"/>
        </w:rPr>
        <w:br w:type="page"/>
      </w:r>
    </w:p>
    <w:p w14:paraId="03041F73" w14:textId="77777777" w:rsidR="009E2C9C" w:rsidRPr="00D202E4" w:rsidRDefault="009E2C9C" w:rsidP="0099483A">
      <w:pPr>
        <w:widowControl/>
        <w:spacing w:line="360" w:lineRule="auto"/>
        <w:ind w:firstLineChars="0" w:firstLine="0"/>
        <w:rPr>
          <w:rFonts w:asciiTheme="minorEastAsia" w:hAnsiTheme="minorEastAsia" w:cs="Times New Roman"/>
          <w:b/>
          <w:bCs/>
          <w:color w:val="000000" w:themeColor="text1"/>
          <w:kern w:val="24"/>
          <w:sz w:val="24"/>
          <w:szCs w:val="24"/>
        </w:rPr>
      </w:pPr>
    </w:p>
    <w:p w14:paraId="5037201F" w14:textId="77777777" w:rsidR="009E2C9C" w:rsidRPr="00D202E4" w:rsidRDefault="009E2C9C" w:rsidP="0099483A">
      <w:pPr>
        <w:widowControl/>
        <w:spacing w:line="360" w:lineRule="auto"/>
        <w:ind w:firstLineChars="0" w:firstLine="0"/>
        <w:rPr>
          <w:rFonts w:asciiTheme="minorEastAsia" w:hAnsiTheme="minorEastAsia" w:cs="Times New Roman"/>
          <w:b/>
          <w:bCs/>
          <w:color w:val="000000" w:themeColor="text1"/>
          <w:kern w:val="24"/>
          <w:sz w:val="24"/>
          <w:szCs w:val="24"/>
        </w:rPr>
      </w:pPr>
    </w:p>
    <w:p w14:paraId="6DD81895" w14:textId="77777777" w:rsidR="009E2C9C" w:rsidRPr="00D202E4" w:rsidRDefault="009E2C9C" w:rsidP="0099483A">
      <w:pPr>
        <w:widowControl/>
        <w:spacing w:line="360" w:lineRule="auto"/>
        <w:ind w:firstLineChars="0" w:firstLine="0"/>
        <w:rPr>
          <w:rFonts w:asciiTheme="minorEastAsia" w:hAnsiTheme="minorEastAsia" w:cs="Times New Roman"/>
          <w:b/>
          <w:bCs/>
          <w:color w:val="000000" w:themeColor="text1"/>
          <w:kern w:val="24"/>
          <w:sz w:val="24"/>
          <w:szCs w:val="24"/>
        </w:rPr>
      </w:pPr>
    </w:p>
    <w:p w14:paraId="1633FC60" w14:textId="77777777" w:rsidR="009E2C9C" w:rsidRPr="00D202E4" w:rsidRDefault="009E2C9C" w:rsidP="0099483A">
      <w:pPr>
        <w:widowControl/>
        <w:spacing w:line="240" w:lineRule="auto"/>
        <w:ind w:firstLineChars="0" w:firstLine="0"/>
        <w:jc w:val="left"/>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22A6E458" wp14:editId="7792BC29">
            <wp:extent cx="5522190" cy="2212537"/>
            <wp:effectExtent l="0" t="0" r="254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7" cstate="print">
                      <a:extLst>
                        <a:ext uri="{28A0092B-C50C-407E-A947-70E740481C1C}">
                          <a14:useLocalDpi xmlns:a14="http://schemas.microsoft.com/office/drawing/2010/main" val="0"/>
                        </a:ext>
                      </a:extLst>
                    </a:blip>
                    <a:srcRect t="2380" b="2380"/>
                    <a:stretch>
                      <a:fillRect/>
                    </a:stretch>
                  </pic:blipFill>
                  <pic:spPr bwMode="auto">
                    <a:xfrm>
                      <a:off x="0" y="0"/>
                      <a:ext cx="5522190" cy="2212537"/>
                    </a:xfrm>
                    <a:prstGeom prst="rect">
                      <a:avLst/>
                    </a:prstGeom>
                    <a:noFill/>
                    <a:ln>
                      <a:noFill/>
                    </a:ln>
                    <a:extLst>
                      <a:ext uri="{53640926-AAD7-44D8-BBD7-CCE9431645EC}">
                        <a14:shadowObscured xmlns:a14="http://schemas.microsoft.com/office/drawing/2010/main"/>
                      </a:ext>
                    </a:extLst>
                  </pic:spPr>
                </pic:pic>
              </a:graphicData>
            </a:graphic>
          </wp:inline>
        </w:drawing>
      </w:r>
    </w:p>
    <w:p w14:paraId="6365A63F"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4DA7A1A4" w14:textId="54DD9CE1" w:rsidR="009E2C9C" w:rsidRPr="00A52938" w:rsidRDefault="00093FC4" w:rsidP="0099483A">
      <w:pPr>
        <w:widowControl/>
        <w:spacing w:line="360" w:lineRule="auto"/>
        <w:ind w:firstLineChars="0" w:firstLine="0"/>
        <w:rPr>
          <w:rFonts w:eastAsia="宋体" w:cs="Times New Roman"/>
          <w:color w:val="000000" w:themeColor="text1"/>
          <w:kern w:val="0"/>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9. </w:t>
      </w:r>
      <w:r w:rsidR="009E2C9C" w:rsidRPr="00A52938">
        <w:rPr>
          <w:rFonts w:eastAsia="+mn-ea" w:cs="Times New Roman"/>
          <w:color w:val="000000" w:themeColor="text1"/>
          <w:kern w:val="24"/>
          <w:sz w:val="24"/>
          <w:szCs w:val="24"/>
        </w:rPr>
        <w:t>a) THG samples are swollen in H</w:t>
      </w:r>
      <w:r w:rsidR="009E2C9C" w:rsidRPr="00A52938">
        <w:rPr>
          <w:rFonts w:eastAsia="+mn-ea" w:cs="Times New Roman"/>
          <w:color w:val="000000" w:themeColor="text1"/>
          <w:kern w:val="24"/>
          <w:sz w:val="24"/>
          <w:szCs w:val="24"/>
          <w:vertAlign w:val="subscript"/>
        </w:rPr>
        <w:t>2</w:t>
      </w:r>
      <w:r w:rsidR="009E2C9C" w:rsidRPr="00A52938">
        <w:rPr>
          <w:rFonts w:eastAsia="+mn-ea" w:cs="Times New Roman"/>
          <w:color w:val="000000" w:themeColor="text1"/>
          <w:kern w:val="24"/>
          <w:sz w:val="24"/>
          <w:szCs w:val="24"/>
        </w:rPr>
        <w:t xml:space="preserve">O, EtOH, THF, DMF, and DMSO for 72 h, showing more obvious swelling but no dissolution with increasing polarity of the organic solvent. b) The HBP/PBH sample </w:t>
      </w:r>
      <w:r w:rsidR="009E2C9C" w:rsidRPr="00A52938">
        <w:rPr>
          <w:rFonts w:cs="Times New Roman"/>
          <w:color w:val="000000" w:themeColor="text1"/>
          <w:kern w:val="24"/>
          <w:sz w:val="24"/>
          <w:szCs w:val="24"/>
        </w:rPr>
        <w:t>is</w:t>
      </w:r>
      <w:r w:rsidR="009E2C9C" w:rsidRPr="00A52938">
        <w:rPr>
          <w:rFonts w:eastAsia="+mn-ea" w:cs="Times New Roman"/>
          <w:color w:val="000000" w:themeColor="text1"/>
          <w:kern w:val="24"/>
          <w:sz w:val="24"/>
          <w:szCs w:val="24"/>
        </w:rPr>
        <w:t xml:space="preserve"> completely dissolved in EtOH after 24 hours at room temperature, becoming a homogeneous solution, indicating the absence of a strong physicall</w:t>
      </w:r>
      <w:r w:rsidR="009E2C9C" w:rsidRPr="00A52938">
        <w:rPr>
          <w:rFonts w:cs="Times New Roman"/>
          <w:color w:val="000000" w:themeColor="text1"/>
          <w:kern w:val="24"/>
          <w:sz w:val="24"/>
          <w:szCs w:val="24"/>
        </w:rPr>
        <w:t>y</w:t>
      </w:r>
      <w:r w:rsidR="009E2C9C" w:rsidRPr="00A52938">
        <w:rPr>
          <w:rFonts w:eastAsia="+mn-ea" w:cs="Times New Roman"/>
          <w:color w:val="000000" w:themeColor="text1"/>
          <w:kern w:val="24"/>
          <w:sz w:val="24"/>
          <w:szCs w:val="24"/>
        </w:rPr>
        <w:t xml:space="preserve"> cross-linked network.</w:t>
      </w:r>
    </w:p>
    <w:p w14:paraId="32F0F9DA" w14:textId="77777777" w:rsidR="009E2C9C" w:rsidRPr="00D202E4" w:rsidRDefault="009E2C9C" w:rsidP="0099483A">
      <w:pPr>
        <w:widowControl/>
        <w:spacing w:line="360" w:lineRule="auto"/>
        <w:ind w:firstLineChars="0" w:firstLine="0"/>
        <w:rPr>
          <w:rFonts w:cs="Times New Roman"/>
          <w:b/>
          <w:bCs/>
          <w:color w:val="000000" w:themeColor="text1"/>
          <w:kern w:val="24"/>
          <w:sz w:val="24"/>
          <w:szCs w:val="24"/>
        </w:rPr>
      </w:pPr>
    </w:p>
    <w:p w14:paraId="61AE01E6" w14:textId="77777777" w:rsidR="009E2C9C" w:rsidRPr="00D202E4" w:rsidRDefault="009E2C9C" w:rsidP="0099483A">
      <w:pPr>
        <w:widowControl/>
        <w:spacing w:line="360" w:lineRule="auto"/>
        <w:ind w:firstLineChars="0" w:firstLine="0"/>
        <w:rPr>
          <w:rFonts w:eastAsia="+mn-ea" w:cs="Times New Roman"/>
          <w:b/>
          <w:bCs/>
          <w:color w:val="000000" w:themeColor="text1"/>
          <w:kern w:val="24"/>
          <w:sz w:val="24"/>
          <w:szCs w:val="24"/>
        </w:rPr>
      </w:pPr>
      <w:r w:rsidRPr="00D202E4">
        <w:rPr>
          <w:rFonts w:eastAsia="+mn-ea" w:cs="Times New Roman"/>
          <w:b/>
          <w:bCs/>
          <w:color w:val="000000" w:themeColor="text1"/>
          <w:kern w:val="24"/>
          <w:sz w:val="24"/>
          <w:szCs w:val="24"/>
        </w:rPr>
        <w:br w:type="page"/>
      </w:r>
    </w:p>
    <w:p w14:paraId="6B8BCF5C" w14:textId="77777777" w:rsidR="009E2C9C" w:rsidRPr="00D202E4" w:rsidRDefault="009E2C9C" w:rsidP="0099483A">
      <w:pPr>
        <w:widowControl/>
        <w:spacing w:line="240" w:lineRule="auto"/>
        <w:ind w:firstLineChars="0" w:firstLine="0"/>
        <w:jc w:val="left"/>
        <w:rPr>
          <w:rFonts w:eastAsia="宋体" w:cs="Times New Roman"/>
          <w:color w:val="000000" w:themeColor="text1"/>
          <w:kern w:val="0"/>
          <w:sz w:val="24"/>
          <w:szCs w:val="24"/>
        </w:rPr>
      </w:pPr>
    </w:p>
    <w:p w14:paraId="6D9EF175"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05A20B38"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3495249B"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58AA302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534979F0" wp14:editId="44D7CE92">
            <wp:extent cx="3056399" cy="23400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56399" cy="2340000"/>
                    </a:xfrm>
                    <a:prstGeom prst="rect">
                      <a:avLst/>
                    </a:prstGeom>
                    <a:noFill/>
                    <a:ln>
                      <a:noFill/>
                    </a:ln>
                  </pic:spPr>
                </pic:pic>
              </a:graphicData>
            </a:graphic>
          </wp:inline>
        </w:drawing>
      </w:r>
    </w:p>
    <w:p w14:paraId="14069DA4"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5CDA6302" w14:textId="3D0B399F" w:rsidR="009E2C9C" w:rsidRPr="00A52938" w:rsidRDefault="00093FC4" w:rsidP="0099483A">
      <w:pPr>
        <w:widowControl/>
        <w:spacing w:line="360" w:lineRule="auto"/>
        <w:ind w:firstLineChars="0" w:firstLine="0"/>
        <w:rPr>
          <w:rFonts w:eastAsia="宋体"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10. </w:t>
      </w:r>
      <w:r w:rsidR="009E2C9C" w:rsidRPr="00A52938">
        <w:rPr>
          <w:rFonts w:eastAsia="+mn-ea" w:cs="Times New Roman"/>
          <w:color w:val="000000" w:themeColor="text1"/>
          <w:kern w:val="24"/>
          <w:sz w:val="24"/>
          <w:szCs w:val="24"/>
        </w:rPr>
        <w:t>X-ray diffraction profiles for THG at 25 °C, showing that THG is amorphous without crystallization.</w:t>
      </w:r>
      <w:r w:rsidR="009E2C9C" w:rsidRPr="00A52938">
        <w:rPr>
          <w:rFonts w:eastAsia="宋体" w:cs="Times New Roman"/>
          <w:color w:val="000000" w:themeColor="text1"/>
          <w:kern w:val="24"/>
          <w:sz w:val="24"/>
          <w:szCs w:val="24"/>
        </w:rPr>
        <w:t xml:space="preserve"> </w:t>
      </w:r>
    </w:p>
    <w:p w14:paraId="41153A0A" w14:textId="77777777" w:rsidR="009E2C9C" w:rsidRPr="00D202E4" w:rsidRDefault="009E2C9C" w:rsidP="0099483A">
      <w:pPr>
        <w:widowControl/>
        <w:spacing w:line="240" w:lineRule="auto"/>
        <w:ind w:firstLineChars="0" w:firstLine="0"/>
        <w:rPr>
          <w:rFonts w:eastAsia="宋体" w:cs="Times New Roman"/>
          <w:color w:val="000000" w:themeColor="text1"/>
          <w:kern w:val="24"/>
          <w:sz w:val="24"/>
          <w:szCs w:val="24"/>
        </w:rPr>
      </w:pPr>
    </w:p>
    <w:p w14:paraId="66606434" w14:textId="77777777" w:rsidR="009E2C9C" w:rsidRPr="00D202E4" w:rsidRDefault="009E2C9C" w:rsidP="0099483A">
      <w:pPr>
        <w:widowControl/>
        <w:spacing w:line="240" w:lineRule="auto"/>
        <w:ind w:firstLineChars="0" w:firstLine="0"/>
        <w:jc w:val="left"/>
        <w:rPr>
          <w:rFonts w:eastAsia="宋体" w:cs="Times New Roman"/>
          <w:color w:val="000000" w:themeColor="text1"/>
          <w:kern w:val="24"/>
          <w:sz w:val="24"/>
          <w:szCs w:val="24"/>
        </w:rPr>
      </w:pPr>
      <w:r w:rsidRPr="00D202E4">
        <w:rPr>
          <w:rFonts w:eastAsia="+mn-ea" w:cs="Times New Roman"/>
          <w:color w:val="000000" w:themeColor="text1"/>
          <w:kern w:val="24"/>
          <w:sz w:val="24"/>
          <w:szCs w:val="24"/>
        </w:rPr>
        <w:br w:type="page"/>
      </w:r>
    </w:p>
    <w:p w14:paraId="1AF0FF2D" w14:textId="77777777" w:rsidR="009E2C9C" w:rsidRPr="00D202E4" w:rsidRDefault="009E2C9C" w:rsidP="0099483A">
      <w:pPr>
        <w:widowControl/>
        <w:spacing w:line="360" w:lineRule="auto"/>
        <w:ind w:firstLineChars="0" w:firstLine="0"/>
        <w:rPr>
          <w:rFonts w:cs="Times New Roman"/>
          <w:color w:val="000000" w:themeColor="text1"/>
          <w:kern w:val="24"/>
          <w:sz w:val="24"/>
          <w:szCs w:val="24"/>
        </w:rPr>
      </w:pPr>
    </w:p>
    <w:p w14:paraId="2A7A247C" w14:textId="77777777" w:rsidR="009E2C9C" w:rsidRPr="00D202E4" w:rsidRDefault="009E2C9C" w:rsidP="0099483A">
      <w:pPr>
        <w:widowControl/>
        <w:spacing w:line="360" w:lineRule="auto"/>
        <w:ind w:firstLineChars="0" w:firstLine="0"/>
        <w:rPr>
          <w:rFonts w:cs="Times New Roman"/>
          <w:color w:val="000000" w:themeColor="text1"/>
          <w:kern w:val="24"/>
          <w:sz w:val="24"/>
          <w:szCs w:val="24"/>
        </w:rPr>
      </w:pPr>
    </w:p>
    <w:p w14:paraId="2AD6794C" w14:textId="77777777" w:rsidR="009E2C9C" w:rsidRPr="00D202E4" w:rsidRDefault="009E2C9C" w:rsidP="0099483A">
      <w:pPr>
        <w:widowControl/>
        <w:spacing w:line="360" w:lineRule="auto"/>
        <w:ind w:firstLineChars="0" w:firstLine="0"/>
        <w:rPr>
          <w:rFonts w:cs="Times New Roman"/>
          <w:color w:val="000000" w:themeColor="text1"/>
          <w:kern w:val="24"/>
          <w:sz w:val="24"/>
          <w:szCs w:val="24"/>
        </w:rPr>
      </w:pPr>
    </w:p>
    <w:p w14:paraId="00F820B2" w14:textId="77777777" w:rsidR="009E2C9C" w:rsidRPr="00D202E4" w:rsidRDefault="009E2C9C" w:rsidP="0099483A">
      <w:pPr>
        <w:widowControl/>
        <w:spacing w:line="360" w:lineRule="auto"/>
        <w:ind w:firstLineChars="0" w:firstLine="0"/>
        <w:jc w:val="center"/>
        <w:rPr>
          <w:rFonts w:cs="Times New Roman"/>
          <w:color w:val="000000" w:themeColor="text1"/>
          <w:kern w:val="24"/>
          <w:sz w:val="24"/>
          <w:szCs w:val="24"/>
        </w:rPr>
      </w:pPr>
      <w:r w:rsidRPr="00D202E4">
        <w:rPr>
          <w:rFonts w:cs="Times New Roman"/>
          <w:noProof/>
          <w:color w:val="000000" w:themeColor="text1"/>
          <w:kern w:val="24"/>
          <w:sz w:val="24"/>
          <w:szCs w:val="24"/>
        </w:rPr>
        <w:drawing>
          <wp:inline distT="0" distB="0" distL="0" distR="0" wp14:anchorId="261C7D79" wp14:editId="2E065AE8">
            <wp:extent cx="5722845" cy="2479587"/>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9" cstate="print">
                      <a:extLst>
                        <a:ext uri="{28A0092B-C50C-407E-A947-70E740481C1C}">
                          <a14:useLocalDpi xmlns:a14="http://schemas.microsoft.com/office/drawing/2010/main" val="0"/>
                        </a:ext>
                      </a:extLst>
                    </a:blip>
                    <a:srcRect l="1690" r="1690"/>
                    <a:stretch>
                      <a:fillRect/>
                    </a:stretch>
                  </pic:blipFill>
                  <pic:spPr bwMode="auto">
                    <a:xfrm>
                      <a:off x="0" y="0"/>
                      <a:ext cx="5722845" cy="2479587"/>
                    </a:xfrm>
                    <a:prstGeom prst="rect">
                      <a:avLst/>
                    </a:prstGeom>
                    <a:ln>
                      <a:noFill/>
                    </a:ln>
                    <a:extLst>
                      <a:ext uri="{53640926-AAD7-44D8-BBD7-CCE9431645EC}">
                        <a14:shadowObscured xmlns:a14="http://schemas.microsoft.com/office/drawing/2010/main"/>
                      </a:ext>
                    </a:extLst>
                  </pic:spPr>
                </pic:pic>
              </a:graphicData>
            </a:graphic>
          </wp:inline>
        </w:drawing>
      </w:r>
    </w:p>
    <w:p w14:paraId="4A0AF619" w14:textId="77777777" w:rsidR="009E2C9C" w:rsidRPr="00D202E4" w:rsidRDefault="009E2C9C" w:rsidP="0099483A">
      <w:pPr>
        <w:widowControl/>
        <w:spacing w:line="360" w:lineRule="auto"/>
        <w:ind w:firstLineChars="0" w:firstLine="0"/>
        <w:jc w:val="center"/>
        <w:rPr>
          <w:rFonts w:cs="Times New Roman"/>
          <w:color w:val="000000" w:themeColor="text1"/>
          <w:kern w:val="24"/>
          <w:sz w:val="24"/>
          <w:szCs w:val="24"/>
        </w:rPr>
      </w:pPr>
    </w:p>
    <w:p w14:paraId="21900815" w14:textId="56A16F2E" w:rsidR="009E2C9C" w:rsidRPr="00A52938" w:rsidRDefault="00093FC4" w:rsidP="0099483A">
      <w:pPr>
        <w:widowControl/>
        <w:spacing w:line="360" w:lineRule="auto"/>
        <w:ind w:firstLineChars="0" w:firstLine="0"/>
        <w:rPr>
          <w:rFonts w:eastAsia="+mn-ea"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Figure 11.</w:t>
      </w:r>
      <w:r w:rsidR="009E2C9C" w:rsidRPr="00A52938">
        <w:rPr>
          <w:rFonts w:eastAsia="+mn-ea" w:cs="Times New Roman"/>
          <w:color w:val="000000" w:themeColor="text1"/>
          <w:kern w:val="24"/>
          <w:sz w:val="24"/>
          <w:szCs w:val="24"/>
        </w:rPr>
        <w:t xml:space="preserve"> a) Stress-displacement curves of original and healed THG after healing for 30 mins under different temperature with tensile rate of 10 mm/min. b) Stress-displacement curves of original and healed THG after healing for 30 mins under 60 °C with tensile rate of 2 mm/min. The yielding and cold-drawing processes were observed during stretching at slower speed, and such insignificant toughness can be healed as well.</w:t>
      </w:r>
    </w:p>
    <w:p w14:paraId="2D92DB42" w14:textId="77777777" w:rsidR="009E2C9C" w:rsidRPr="00D202E4" w:rsidRDefault="009E2C9C" w:rsidP="0099483A">
      <w:pPr>
        <w:widowControl/>
        <w:spacing w:line="360" w:lineRule="auto"/>
        <w:ind w:firstLineChars="0" w:firstLine="0"/>
        <w:jc w:val="center"/>
        <w:rPr>
          <w:rFonts w:cs="Times New Roman"/>
          <w:color w:val="000000" w:themeColor="text1"/>
          <w:kern w:val="24"/>
          <w:sz w:val="24"/>
          <w:szCs w:val="24"/>
        </w:rPr>
      </w:pPr>
    </w:p>
    <w:p w14:paraId="75F22D58" w14:textId="77777777" w:rsidR="009E2C9C" w:rsidRPr="00D202E4" w:rsidRDefault="009E2C9C" w:rsidP="0099483A">
      <w:pPr>
        <w:widowControl/>
        <w:spacing w:line="240" w:lineRule="auto"/>
        <w:ind w:firstLineChars="0" w:firstLine="0"/>
        <w:jc w:val="left"/>
        <w:rPr>
          <w:rFonts w:eastAsia="+mn-ea" w:cs="Times New Roman"/>
          <w:color w:val="000000" w:themeColor="text1"/>
          <w:kern w:val="24"/>
          <w:sz w:val="24"/>
          <w:szCs w:val="24"/>
        </w:rPr>
      </w:pPr>
      <w:r w:rsidRPr="00D202E4">
        <w:rPr>
          <w:rFonts w:eastAsia="+mn-ea" w:cs="Times New Roman"/>
          <w:color w:val="000000" w:themeColor="text1"/>
          <w:kern w:val="24"/>
          <w:sz w:val="24"/>
          <w:szCs w:val="24"/>
        </w:rPr>
        <w:br w:type="page"/>
      </w:r>
    </w:p>
    <w:p w14:paraId="66C275E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p>
    <w:p w14:paraId="4D32700B"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p>
    <w:p w14:paraId="23012E44"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p>
    <w:p w14:paraId="7F58992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p>
    <w:p w14:paraId="04F76A33"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44DA48DA" wp14:editId="0529B37B">
            <wp:extent cx="3707747" cy="25200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07747" cy="2520000"/>
                    </a:xfrm>
                    <a:prstGeom prst="rect">
                      <a:avLst/>
                    </a:prstGeom>
                  </pic:spPr>
                </pic:pic>
              </a:graphicData>
            </a:graphic>
          </wp:inline>
        </w:drawing>
      </w:r>
    </w:p>
    <w:p w14:paraId="22B1C686"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p>
    <w:p w14:paraId="1919CBAA" w14:textId="335B1998" w:rsidR="009E2C9C" w:rsidRPr="00A52938" w:rsidRDefault="00093FC4" w:rsidP="0099483A">
      <w:pPr>
        <w:widowControl/>
        <w:spacing w:line="360" w:lineRule="auto"/>
        <w:ind w:firstLineChars="0" w:firstLine="0"/>
        <w:rPr>
          <w:rFonts w:eastAsia="宋体"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12. </w:t>
      </w:r>
      <w:r w:rsidR="009E2C9C" w:rsidRPr="00A52938">
        <w:rPr>
          <w:rFonts w:eastAsia="+mn-ea" w:cs="Times New Roman"/>
          <w:color w:val="000000" w:themeColor="text1"/>
          <w:kern w:val="24"/>
          <w:sz w:val="24"/>
          <w:szCs w:val="24"/>
        </w:rPr>
        <w:t xml:space="preserve">The healing efficiency of various mechanical properties of THG specimens by self-healing test </w:t>
      </w:r>
      <w:r w:rsidR="009E2C9C" w:rsidRPr="00A52938">
        <w:rPr>
          <w:rFonts w:eastAsia="宋体" w:cs="Times New Roman"/>
          <w:color w:val="000000" w:themeColor="text1"/>
          <w:kern w:val="24"/>
          <w:sz w:val="24"/>
          <w:szCs w:val="24"/>
        </w:rPr>
        <w:t>II</w:t>
      </w:r>
      <w:r w:rsidR="009E2C9C" w:rsidRPr="00A52938">
        <w:rPr>
          <w:rFonts w:eastAsia="+mn-ea" w:cs="Times New Roman"/>
          <w:color w:val="000000" w:themeColor="text1"/>
          <w:kern w:val="24"/>
          <w:sz w:val="24"/>
          <w:szCs w:val="24"/>
        </w:rPr>
        <w:t xml:space="preserve"> under different healing process without external force.</w:t>
      </w:r>
      <w:r w:rsidR="009E2C9C" w:rsidRPr="00A52938">
        <w:rPr>
          <w:rFonts w:cs="Times New Roman"/>
          <w:color w:val="000000" w:themeColor="text1"/>
        </w:rPr>
        <w:t xml:space="preserve"> </w:t>
      </w:r>
      <w:r w:rsidR="009E2C9C" w:rsidRPr="00A52938">
        <w:rPr>
          <w:rFonts w:eastAsia="+mn-ea" w:cs="Times New Roman"/>
          <w:color w:val="000000" w:themeColor="text1"/>
          <w:kern w:val="24"/>
          <w:sz w:val="24"/>
          <w:szCs w:val="24"/>
        </w:rPr>
        <w:t xml:space="preserve">THG exhibits excellent recovery of modulus and strength. The toughness healing efficiency promotes effectively with the increase of temperature and healing time, indicating that THG can recover its application performance after the self-healing test </w:t>
      </w:r>
      <w:r w:rsidR="009E2C9C" w:rsidRPr="00A52938">
        <w:rPr>
          <w:rFonts w:eastAsia="宋体" w:cs="Times New Roman"/>
          <w:color w:val="000000" w:themeColor="text1"/>
          <w:kern w:val="24"/>
          <w:sz w:val="24"/>
          <w:szCs w:val="24"/>
        </w:rPr>
        <w:t xml:space="preserve">II </w:t>
      </w:r>
      <w:r w:rsidR="009E2C9C" w:rsidRPr="00A52938">
        <w:rPr>
          <w:rFonts w:eastAsia="+mn-ea" w:cs="Times New Roman"/>
          <w:color w:val="000000" w:themeColor="text1"/>
          <w:kern w:val="24"/>
          <w:sz w:val="24"/>
          <w:szCs w:val="24"/>
        </w:rPr>
        <w:t>without external force.</w:t>
      </w:r>
    </w:p>
    <w:p w14:paraId="0DA6E917" w14:textId="77777777" w:rsidR="009E2C9C" w:rsidRPr="00D202E4" w:rsidRDefault="009E2C9C" w:rsidP="0099483A">
      <w:pPr>
        <w:widowControl/>
        <w:spacing w:line="240" w:lineRule="auto"/>
        <w:ind w:firstLineChars="0" w:firstLine="0"/>
        <w:rPr>
          <w:rFonts w:cs="Times New Roman"/>
          <w:color w:val="000000" w:themeColor="text1"/>
          <w:kern w:val="24"/>
          <w:sz w:val="24"/>
          <w:szCs w:val="24"/>
        </w:rPr>
      </w:pPr>
      <w:r w:rsidRPr="00D202E4">
        <w:rPr>
          <w:rFonts w:eastAsia="+mn-ea" w:cs="Times New Roman"/>
          <w:color w:val="000000" w:themeColor="text1"/>
          <w:kern w:val="24"/>
          <w:sz w:val="24"/>
          <w:szCs w:val="24"/>
        </w:rPr>
        <w:br w:type="page"/>
      </w:r>
    </w:p>
    <w:p w14:paraId="5748D0E6" w14:textId="77777777" w:rsidR="009E2C9C" w:rsidRPr="00D202E4" w:rsidRDefault="009E2C9C" w:rsidP="0099483A">
      <w:pPr>
        <w:widowControl/>
        <w:spacing w:line="240" w:lineRule="auto"/>
        <w:ind w:firstLineChars="0" w:firstLine="0"/>
        <w:jc w:val="left"/>
        <w:rPr>
          <w:rFonts w:cs="Times New Roman"/>
          <w:color w:val="000000" w:themeColor="text1"/>
          <w:kern w:val="24"/>
          <w:sz w:val="24"/>
          <w:szCs w:val="24"/>
        </w:rPr>
      </w:pPr>
    </w:p>
    <w:p w14:paraId="1F82F494"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7DED9041"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1DC3FA30"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2BD738D2" wp14:editId="7AABA089">
            <wp:extent cx="5936483" cy="2391151"/>
            <wp:effectExtent l="0" t="0" r="7620" b="952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1" cstate="print">
                      <a:extLst>
                        <a:ext uri="{28A0092B-C50C-407E-A947-70E740481C1C}">
                          <a14:useLocalDpi xmlns:a14="http://schemas.microsoft.com/office/drawing/2010/main" val="0"/>
                        </a:ext>
                      </a:extLst>
                    </a:blip>
                    <a:srcRect l="1328" r="1328"/>
                    <a:stretch>
                      <a:fillRect/>
                    </a:stretch>
                  </pic:blipFill>
                  <pic:spPr bwMode="auto">
                    <a:xfrm>
                      <a:off x="0" y="0"/>
                      <a:ext cx="5936483" cy="2391151"/>
                    </a:xfrm>
                    <a:prstGeom prst="rect">
                      <a:avLst/>
                    </a:prstGeom>
                    <a:noFill/>
                    <a:ln>
                      <a:noFill/>
                    </a:ln>
                    <a:extLst>
                      <a:ext uri="{53640926-AAD7-44D8-BBD7-CCE9431645EC}">
                        <a14:shadowObscured xmlns:a14="http://schemas.microsoft.com/office/drawing/2010/main"/>
                      </a:ext>
                    </a:extLst>
                  </pic:spPr>
                </pic:pic>
              </a:graphicData>
            </a:graphic>
          </wp:inline>
        </w:drawing>
      </w:r>
    </w:p>
    <w:p w14:paraId="0261BE8F"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7AD8337C" w14:textId="74DA5809" w:rsidR="009E2C9C" w:rsidRPr="00A52938" w:rsidRDefault="00093FC4" w:rsidP="0099483A">
      <w:pPr>
        <w:widowControl/>
        <w:spacing w:line="360" w:lineRule="auto"/>
        <w:ind w:firstLineChars="0" w:firstLine="0"/>
        <w:rPr>
          <w:rFonts w:eastAsia="+mn-ea"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Figure 13</w:t>
      </w:r>
      <w:r w:rsidR="009E2C9C" w:rsidRPr="00A52938">
        <w:rPr>
          <w:rFonts w:eastAsia="+mn-ea" w:cs="Times New Roman"/>
          <w:color w:val="000000" w:themeColor="text1"/>
          <w:kern w:val="24"/>
          <w:sz w:val="24"/>
          <w:szCs w:val="24"/>
        </w:rPr>
        <w:t>. a) Dielectric loss Eps</w:t>
      </w:r>
      <w:r w:rsidR="009E2C9C" w:rsidRPr="00A52938">
        <w:rPr>
          <w:rFonts w:eastAsia="宋体" w:cs="Times New Roman"/>
          <w:color w:val="000000" w:themeColor="text1"/>
          <w:kern w:val="24"/>
          <w:sz w:val="24"/>
          <w:szCs w:val="24"/>
        </w:rPr>
        <w:t>”</w:t>
      </w:r>
      <w:r w:rsidR="009E2C9C" w:rsidRPr="00A52938">
        <w:rPr>
          <w:rFonts w:eastAsia="+mn-ea" w:cs="Times New Roman"/>
          <w:color w:val="000000" w:themeColor="text1"/>
          <w:kern w:val="24"/>
          <w:sz w:val="24"/>
          <w:szCs w:val="24"/>
        </w:rPr>
        <w:t xml:space="preserve"> as a function of frequency for THG from -20 °C to 90 °C, exhibiting obvious dielectric polarization. Further conversion of the coordinates to dielectric modulus M” facilitates continued analysis. b)</w:t>
      </w:r>
      <w:r w:rsidR="009E2C9C" w:rsidRPr="00A52938">
        <w:rPr>
          <w:rFonts w:cs="Times New Roman"/>
          <w:color w:val="000000" w:themeColor="text1"/>
        </w:rPr>
        <w:t xml:space="preserve"> </w:t>
      </w:r>
      <w:r w:rsidR="009E2C9C" w:rsidRPr="00A52938">
        <w:rPr>
          <w:rFonts w:eastAsia="+mn-ea" w:cs="Times New Roman"/>
          <w:color w:val="000000" w:themeColor="text1"/>
          <w:kern w:val="24"/>
          <w:sz w:val="24"/>
          <w:szCs w:val="24"/>
        </w:rPr>
        <w:t>The average relaxation time (</w:t>
      </w:r>
      <w:proofErr w:type="spellStart"/>
      <w:r w:rsidR="009E2C9C" w:rsidRPr="00A52938">
        <w:rPr>
          <w:rFonts w:cs="Times New Roman"/>
          <w:color w:val="000000" w:themeColor="text1"/>
          <w:kern w:val="24"/>
          <w:sz w:val="24"/>
          <w:szCs w:val="24"/>
        </w:rPr>
        <w:t>τ</w:t>
      </w:r>
      <w:r w:rsidR="009E2C9C" w:rsidRPr="00A52938">
        <w:rPr>
          <w:rFonts w:eastAsia="+mn-ea" w:cs="Times New Roman"/>
          <w:color w:val="000000" w:themeColor="text1"/>
          <w:kern w:val="24"/>
          <w:sz w:val="24"/>
          <w:szCs w:val="24"/>
          <w:vertAlign w:val="subscript"/>
        </w:rPr>
        <w:t>max</w:t>
      </w:r>
      <w:proofErr w:type="spellEnd"/>
      <w:r w:rsidR="009E2C9C" w:rsidRPr="00A52938">
        <w:rPr>
          <w:rFonts w:eastAsia="+mn-ea" w:cs="Times New Roman"/>
          <w:color w:val="000000" w:themeColor="text1"/>
          <w:kern w:val="24"/>
          <w:sz w:val="24"/>
          <w:szCs w:val="24"/>
        </w:rPr>
        <w:t xml:space="preserve">) of the </w:t>
      </w:r>
      <w:r w:rsidR="009E2C9C" w:rsidRPr="00A52938">
        <w:rPr>
          <w:rFonts w:cs="Times New Roman"/>
          <w:color w:val="000000" w:themeColor="text1"/>
          <w:kern w:val="24"/>
          <w:sz w:val="24"/>
          <w:szCs w:val="24"/>
        </w:rPr>
        <w:t xml:space="preserve">α </w:t>
      </w:r>
      <w:r w:rsidR="009E2C9C" w:rsidRPr="00A52938">
        <w:rPr>
          <w:rFonts w:eastAsia="+mn-ea" w:cs="Times New Roman"/>
          <w:color w:val="000000" w:themeColor="text1"/>
          <w:kern w:val="24"/>
          <w:sz w:val="24"/>
          <w:szCs w:val="24"/>
        </w:rPr>
        <w:t xml:space="preserve">relaxation process </w:t>
      </w:r>
      <w:r w:rsidR="009E2C9C" w:rsidRPr="00A52938">
        <w:rPr>
          <w:rFonts w:cs="Times New Roman"/>
          <w:color w:val="000000" w:themeColor="text1"/>
          <w:kern w:val="24"/>
          <w:sz w:val="24"/>
          <w:szCs w:val="24"/>
        </w:rPr>
        <w:t>gained</w:t>
      </w:r>
      <w:r w:rsidR="009E2C9C" w:rsidRPr="00A52938">
        <w:rPr>
          <w:rFonts w:eastAsia="+mn-ea" w:cs="Times New Roman"/>
          <w:color w:val="000000" w:themeColor="text1"/>
          <w:kern w:val="24"/>
          <w:sz w:val="24"/>
          <w:szCs w:val="24"/>
        </w:rPr>
        <w:t xml:space="preserve"> by extrapolated the fitted VFT equations to the temperature from 25 to 40 °C, and marked the </w:t>
      </w:r>
      <w:proofErr w:type="spellStart"/>
      <w:r w:rsidR="009E2C9C" w:rsidRPr="00A52938">
        <w:rPr>
          <w:rFonts w:cs="Times New Roman"/>
          <w:color w:val="000000" w:themeColor="text1"/>
          <w:kern w:val="24"/>
          <w:sz w:val="24"/>
          <w:szCs w:val="24"/>
        </w:rPr>
        <w:t>τ</w:t>
      </w:r>
      <w:r w:rsidR="009E2C9C" w:rsidRPr="00A52938">
        <w:rPr>
          <w:rFonts w:eastAsia="+mn-ea" w:cs="Times New Roman"/>
          <w:color w:val="000000" w:themeColor="text1"/>
          <w:kern w:val="24"/>
          <w:sz w:val="24"/>
          <w:szCs w:val="24"/>
          <w:vertAlign w:val="subscript"/>
        </w:rPr>
        <w:t>max</w:t>
      </w:r>
      <w:proofErr w:type="spellEnd"/>
      <w:r w:rsidR="009E2C9C" w:rsidRPr="00A52938">
        <w:rPr>
          <w:rFonts w:eastAsia="+mn-ea" w:cs="Times New Roman"/>
          <w:color w:val="000000" w:themeColor="text1"/>
          <w:kern w:val="24"/>
          <w:sz w:val="24"/>
          <w:szCs w:val="24"/>
        </w:rPr>
        <w:t xml:space="preserve"> at 25 °C.</w:t>
      </w:r>
    </w:p>
    <w:p w14:paraId="533C1D73" w14:textId="77777777" w:rsidR="009E2C9C" w:rsidRPr="00D202E4" w:rsidRDefault="009E2C9C" w:rsidP="0099483A">
      <w:pPr>
        <w:widowControl/>
        <w:spacing w:line="240" w:lineRule="auto"/>
        <w:ind w:firstLineChars="0" w:firstLine="0"/>
        <w:jc w:val="left"/>
        <w:rPr>
          <w:rFonts w:eastAsia="+mn-ea" w:cs="Times New Roman"/>
          <w:color w:val="000000" w:themeColor="text1"/>
          <w:kern w:val="24"/>
          <w:sz w:val="24"/>
          <w:szCs w:val="24"/>
        </w:rPr>
      </w:pPr>
      <w:r w:rsidRPr="00D202E4">
        <w:rPr>
          <w:rFonts w:cs="Times New Roman"/>
          <w:color w:val="000000" w:themeColor="text1"/>
          <w:kern w:val="24"/>
          <w:sz w:val="24"/>
          <w:szCs w:val="24"/>
        </w:rPr>
        <w:br w:type="page"/>
      </w:r>
    </w:p>
    <w:p w14:paraId="4442A9DB"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4C7B11AC"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2861C888"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4A56C31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253A9637" wp14:editId="53A18BEE">
            <wp:extent cx="4943120" cy="2340000"/>
            <wp:effectExtent l="0" t="0" r="0" b="317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43120" cy="2340000"/>
                    </a:xfrm>
                    <a:prstGeom prst="rect">
                      <a:avLst/>
                    </a:prstGeom>
                  </pic:spPr>
                </pic:pic>
              </a:graphicData>
            </a:graphic>
          </wp:inline>
        </w:drawing>
      </w:r>
    </w:p>
    <w:p w14:paraId="7D879109"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54D4093E" w14:textId="3BB305A3" w:rsidR="009E2C9C" w:rsidRPr="00A52938" w:rsidRDefault="00093FC4" w:rsidP="0099483A">
      <w:pPr>
        <w:widowControl/>
        <w:spacing w:line="360" w:lineRule="auto"/>
        <w:ind w:firstLineChars="0" w:firstLine="0"/>
        <w:rPr>
          <w:rFonts w:eastAsia="+mn-ea"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14. </w:t>
      </w:r>
      <w:r w:rsidR="009E2C9C" w:rsidRPr="00A52938">
        <w:rPr>
          <w:rFonts w:eastAsia="+mn-ea" w:cs="Times New Roman"/>
          <w:color w:val="000000" w:themeColor="text1"/>
          <w:kern w:val="24"/>
          <w:sz w:val="24"/>
          <w:szCs w:val="24"/>
        </w:rPr>
        <w:t>Synchronous a) and asynchronous b) 2D FTIR maps of THG in the region 3600-3120 cm</w:t>
      </w:r>
      <w:r w:rsidR="009E2C9C" w:rsidRPr="00A52938">
        <w:rPr>
          <w:rFonts w:eastAsia="+mn-ea" w:cs="Times New Roman"/>
          <w:color w:val="000000" w:themeColor="text1"/>
          <w:kern w:val="24"/>
          <w:position w:val="7"/>
          <w:sz w:val="24"/>
          <w:szCs w:val="24"/>
          <w:vertAlign w:val="superscript"/>
        </w:rPr>
        <w:t>-1</w:t>
      </w:r>
      <w:r w:rsidR="009E2C9C" w:rsidRPr="00A52938">
        <w:rPr>
          <w:rFonts w:eastAsia="+mn-ea" w:cs="Times New Roman"/>
          <w:color w:val="000000" w:themeColor="text1"/>
          <w:kern w:val="24"/>
          <w:sz w:val="24"/>
          <w:szCs w:val="24"/>
        </w:rPr>
        <w:t xml:space="preserve"> during the heating process from 20 </w:t>
      </w:r>
      <w:r w:rsidR="009E2C9C" w:rsidRPr="00A52938">
        <w:rPr>
          <w:rFonts w:eastAsia="宋体" w:cs="Times New Roman"/>
          <w:color w:val="000000" w:themeColor="text1"/>
          <w:kern w:val="24"/>
          <w:sz w:val="24"/>
          <w:szCs w:val="24"/>
        </w:rPr>
        <w:t>°C</w:t>
      </w:r>
      <w:r w:rsidR="009E2C9C" w:rsidRPr="00A52938">
        <w:rPr>
          <w:rFonts w:eastAsia="+mn-ea" w:cs="Times New Roman"/>
          <w:color w:val="000000" w:themeColor="text1"/>
          <w:kern w:val="24"/>
          <w:sz w:val="24"/>
          <w:szCs w:val="24"/>
        </w:rPr>
        <w:t xml:space="preserve"> to 60 </w:t>
      </w:r>
      <w:r w:rsidR="009E2C9C" w:rsidRPr="00A52938">
        <w:rPr>
          <w:rFonts w:eastAsia="宋体" w:cs="Times New Roman"/>
          <w:color w:val="000000" w:themeColor="text1"/>
          <w:kern w:val="24"/>
          <w:sz w:val="24"/>
          <w:szCs w:val="24"/>
        </w:rPr>
        <w:t>°C</w:t>
      </w:r>
      <w:r w:rsidR="009E2C9C" w:rsidRPr="00A52938">
        <w:rPr>
          <w:rFonts w:eastAsia="+mn-ea" w:cs="Times New Roman"/>
          <w:color w:val="000000" w:themeColor="text1"/>
          <w:kern w:val="24"/>
          <w:sz w:val="24"/>
          <w:szCs w:val="24"/>
        </w:rPr>
        <w:t>. Three intersections can be clearly identified on the synchronization map. a) Among them, the [3,550, 3,550 cm</w:t>
      </w:r>
      <w:r w:rsidR="009E2C9C" w:rsidRPr="00A52938">
        <w:rPr>
          <w:rFonts w:eastAsia="+mn-ea" w:cs="Times New Roman"/>
          <w:color w:val="000000" w:themeColor="text1"/>
          <w:kern w:val="24"/>
          <w:position w:val="7"/>
          <w:sz w:val="24"/>
          <w:szCs w:val="24"/>
          <w:vertAlign w:val="superscript"/>
        </w:rPr>
        <w:t>-1</w:t>
      </w:r>
      <w:r w:rsidR="009E2C9C" w:rsidRPr="00A52938">
        <w:rPr>
          <w:rFonts w:eastAsia="+mn-ea" w:cs="Times New Roman"/>
          <w:color w:val="000000" w:themeColor="text1"/>
          <w:kern w:val="24"/>
          <w:sz w:val="24"/>
          <w:szCs w:val="24"/>
        </w:rPr>
        <w:t>] and [3,375, 3,375 cm</w:t>
      </w:r>
      <w:r w:rsidR="009E2C9C" w:rsidRPr="00A52938">
        <w:rPr>
          <w:rFonts w:eastAsia="+mn-ea" w:cs="Times New Roman"/>
          <w:color w:val="000000" w:themeColor="text1"/>
          <w:kern w:val="24"/>
          <w:position w:val="7"/>
          <w:sz w:val="24"/>
          <w:szCs w:val="24"/>
          <w:vertAlign w:val="superscript"/>
        </w:rPr>
        <w:t>-1</w:t>
      </w:r>
      <w:r w:rsidR="009E2C9C" w:rsidRPr="00A52938">
        <w:rPr>
          <w:rFonts w:eastAsia="+mn-ea" w:cs="Times New Roman"/>
          <w:color w:val="000000" w:themeColor="text1"/>
          <w:kern w:val="24"/>
          <w:sz w:val="24"/>
          <w:szCs w:val="24"/>
        </w:rPr>
        <w:t>] correspond to the stretching vibration peaks of the free and bound -OH groups. A</w:t>
      </w:r>
      <w:r w:rsidR="009E2C9C" w:rsidRPr="00A52938">
        <w:rPr>
          <w:rFonts w:eastAsia="宋体" w:cs="Times New Roman"/>
          <w:color w:val="000000" w:themeColor="text1"/>
          <w:kern w:val="24"/>
          <w:sz w:val="24"/>
          <w:szCs w:val="24"/>
        </w:rPr>
        <w:t>n</w:t>
      </w:r>
      <w:r w:rsidR="009E2C9C" w:rsidRPr="00A52938">
        <w:rPr>
          <w:rFonts w:eastAsia="+mn-ea" w:cs="Times New Roman"/>
          <w:color w:val="000000" w:themeColor="text1"/>
          <w:kern w:val="24"/>
          <w:sz w:val="24"/>
          <w:szCs w:val="24"/>
        </w:rPr>
        <w:t>other peak at [3,300, 3,300 cm</w:t>
      </w:r>
      <w:r w:rsidR="009E2C9C" w:rsidRPr="00A52938">
        <w:rPr>
          <w:rFonts w:eastAsia="+mn-ea" w:cs="Times New Roman"/>
          <w:color w:val="000000" w:themeColor="text1"/>
          <w:kern w:val="24"/>
          <w:position w:val="7"/>
          <w:sz w:val="24"/>
          <w:szCs w:val="24"/>
          <w:vertAlign w:val="superscript"/>
        </w:rPr>
        <w:t>-1</w:t>
      </w:r>
      <w:r w:rsidR="009E2C9C" w:rsidRPr="00A52938">
        <w:rPr>
          <w:rFonts w:eastAsia="+mn-ea" w:cs="Times New Roman"/>
          <w:color w:val="000000" w:themeColor="text1"/>
          <w:kern w:val="24"/>
          <w:sz w:val="24"/>
          <w:szCs w:val="24"/>
        </w:rPr>
        <w:t xml:space="preserve">] can </w:t>
      </w:r>
      <w:r w:rsidR="009E2C9C" w:rsidRPr="00A52938">
        <w:rPr>
          <w:rFonts w:eastAsia="宋体" w:cs="Times New Roman"/>
          <w:color w:val="000000" w:themeColor="text1"/>
          <w:kern w:val="24"/>
          <w:sz w:val="24"/>
          <w:szCs w:val="24"/>
        </w:rPr>
        <w:t>be</w:t>
      </w:r>
      <w:r w:rsidR="009E2C9C" w:rsidRPr="00A52938">
        <w:rPr>
          <w:rFonts w:eastAsia="+mn-ea" w:cs="Times New Roman"/>
          <w:color w:val="000000" w:themeColor="text1"/>
          <w:kern w:val="24"/>
          <w:sz w:val="24"/>
          <w:szCs w:val="24"/>
        </w:rPr>
        <w:t xml:space="preserve"> attributed to the stretching vibration peaks of the bound -NH-. From the asynchronous map b), </w:t>
      </w:r>
      <w:r w:rsidR="009E2C9C" w:rsidRPr="00A52938">
        <w:rPr>
          <w:rFonts w:eastAsia="宋体" w:cs="Times New Roman"/>
          <w:color w:val="000000" w:themeColor="text1"/>
          <w:kern w:val="24"/>
          <w:sz w:val="24"/>
          <w:szCs w:val="24"/>
        </w:rPr>
        <w:t xml:space="preserve">the </w:t>
      </w:r>
      <w:r w:rsidR="009E2C9C" w:rsidRPr="00A52938">
        <w:rPr>
          <w:rFonts w:eastAsia="+mn-ea" w:cs="Times New Roman"/>
          <w:color w:val="000000" w:themeColor="text1"/>
          <w:kern w:val="24"/>
          <w:sz w:val="24"/>
          <w:szCs w:val="24"/>
        </w:rPr>
        <w:t>negative peak at [3,550, 3,300 cm</w:t>
      </w:r>
      <w:r w:rsidR="009E2C9C" w:rsidRPr="00A52938">
        <w:rPr>
          <w:rFonts w:eastAsia="+mn-ea" w:cs="Times New Roman"/>
          <w:color w:val="000000" w:themeColor="text1"/>
          <w:kern w:val="24"/>
          <w:position w:val="7"/>
          <w:sz w:val="24"/>
          <w:szCs w:val="24"/>
          <w:vertAlign w:val="superscript"/>
        </w:rPr>
        <w:t>-1</w:t>
      </w:r>
      <w:r w:rsidR="009E2C9C" w:rsidRPr="00A52938">
        <w:rPr>
          <w:rFonts w:eastAsia="+mn-ea" w:cs="Times New Roman"/>
          <w:color w:val="000000" w:themeColor="text1"/>
          <w:kern w:val="24"/>
          <w:sz w:val="24"/>
          <w:szCs w:val="24"/>
        </w:rPr>
        <w:t>] and positive peak at [3,375, 3,300 cm</w:t>
      </w:r>
      <w:r w:rsidR="009E2C9C" w:rsidRPr="00A52938">
        <w:rPr>
          <w:rFonts w:eastAsia="+mn-ea" w:cs="Times New Roman"/>
          <w:color w:val="000000" w:themeColor="text1"/>
          <w:kern w:val="24"/>
          <w:position w:val="7"/>
          <w:sz w:val="24"/>
          <w:szCs w:val="24"/>
          <w:vertAlign w:val="superscript"/>
        </w:rPr>
        <w:t>-1</w:t>
      </w:r>
      <w:r w:rsidR="009E2C9C" w:rsidRPr="00A52938">
        <w:rPr>
          <w:rFonts w:eastAsia="+mn-ea" w:cs="Times New Roman"/>
          <w:color w:val="000000" w:themeColor="text1"/>
          <w:kern w:val="24"/>
          <w:sz w:val="24"/>
          <w:szCs w:val="24"/>
        </w:rPr>
        <w:t xml:space="preserve">] both imply that the general movement of the bound -NH- moieties occurs behind the -OH groups. </w:t>
      </w:r>
    </w:p>
    <w:p w14:paraId="65737CD8" w14:textId="77777777" w:rsidR="009E2C9C" w:rsidRPr="00D202E4" w:rsidRDefault="009E2C9C" w:rsidP="0099483A">
      <w:pPr>
        <w:widowControl/>
        <w:spacing w:line="240" w:lineRule="auto"/>
        <w:ind w:firstLineChars="0" w:firstLine="0"/>
        <w:jc w:val="left"/>
        <w:rPr>
          <w:rFonts w:cs="Times New Roman"/>
          <w:color w:val="000000" w:themeColor="text1"/>
          <w:kern w:val="24"/>
          <w:sz w:val="24"/>
          <w:szCs w:val="24"/>
        </w:rPr>
      </w:pPr>
      <w:r w:rsidRPr="00D202E4">
        <w:rPr>
          <w:rFonts w:eastAsia="+mn-ea" w:cs="Times New Roman"/>
          <w:color w:val="000000" w:themeColor="text1"/>
          <w:kern w:val="24"/>
          <w:sz w:val="24"/>
          <w:szCs w:val="24"/>
        </w:rPr>
        <w:br w:type="page"/>
      </w:r>
    </w:p>
    <w:p w14:paraId="1A8944D6"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1F227B78"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08E76724"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306C7A9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4"/>
          <w:szCs w:val="24"/>
        </w:rPr>
      </w:pPr>
      <w:r w:rsidRPr="00D202E4">
        <w:rPr>
          <w:rFonts w:eastAsia="宋体" w:cs="Times New Roman"/>
          <w:noProof/>
          <w:color w:val="000000" w:themeColor="text1"/>
          <w:kern w:val="0"/>
          <w:sz w:val="24"/>
          <w:szCs w:val="24"/>
        </w:rPr>
        <w:drawing>
          <wp:inline distT="0" distB="0" distL="0" distR="0" wp14:anchorId="7781FC07" wp14:editId="50AE9F30">
            <wp:extent cx="5838505" cy="229425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rotWithShape="1">
                    <a:blip r:embed="rId23" cstate="print">
                      <a:extLst>
                        <a:ext uri="{28A0092B-C50C-407E-A947-70E740481C1C}">
                          <a14:useLocalDpi xmlns:a14="http://schemas.microsoft.com/office/drawing/2010/main" val="0"/>
                        </a:ext>
                      </a:extLst>
                    </a:blip>
                    <a:srcRect l="1943" r="1413"/>
                    <a:stretch/>
                  </pic:blipFill>
                  <pic:spPr bwMode="auto">
                    <a:xfrm>
                      <a:off x="0" y="0"/>
                      <a:ext cx="5854934" cy="2300711"/>
                    </a:xfrm>
                    <a:prstGeom prst="rect">
                      <a:avLst/>
                    </a:prstGeom>
                    <a:ln>
                      <a:noFill/>
                    </a:ln>
                    <a:extLst>
                      <a:ext uri="{53640926-AAD7-44D8-BBD7-CCE9431645EC}">
                        <a14:shadowObscured xmlns:a14="http://schemas.microsoft.com/office/drawing/2010/main"/>
                      </a:ext>
                    </a:extLst>
                  </pic:spPr>
                </pic:pic>
              </a:graphicData>
            </a:graphic>
          </wp:inline>
        </w:drawing>
      </w:r>
    </w:p>
    <w:p w14:paraId="4CA6BFC7"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34180A7D" w14:textId="216CCCE9" w:rsidR="009E2C9C" w:rsidRPr="00A52938" w:rsidRDefault="00093FC4" w:rsidP="0099483A">
      <w:pPr>
        <w:widowControl/>
        <w:spacing w:line="360" w:lineRule="auto"/>
        <w:ind w:firstLineChars="0" w:firstLine="0"/>
        <w:rPr>
          <w:rFonts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 xml:space="preserve">Figure 15. </w:t>
      </w:r>
      <w:r w:rsidR="009E2C9C" w:rsidRPr="00A52938">
        <w:rPr>
          <w:rFonts w:eastAsia="+mn-ea" w:cs="Times New Roman"/>
          <w:color w:val="000000" w:themeColor="text1"/>
          <w:kern w:val="24"/>
          <w:sz w:val="24"/>
          <w:szCs w:val="24"/>
        </w:rPr>
        <w:t>PCMW synchronous map a) of THG shows the continuous changes of the infrared peaks of various groups in the range of 30 °C to 80 °C.</w:t>
      </w:r>
      <w:r w:rsidR="009E2C9C" w:rsidRPr="00A52938">
        <w:rPr>
          <w:color w:val="000000" w:themeColor="text1"/>
        </w:rPr>
        <w:t xml:space="preserve"> </w:t>
      </w:r>
      <w:r w:rsidR="009E2C9C" w:rsidRPr="00A52938">
        <w:rPr>
          <w:rFonts w:eastAsia="+mn-ea" w:cs="Times New Roman"/>
          <w:color w:val="000000" w:themeColor="text1"/>
          <w:kern w:val="24"/>
          <w:sz w:val="24"/>
          <w:szCs w:val="24"/>
        </w:rPr>
        <w:t xml:space="preserve">PCMW synchronous map a) and asynchronous b) of THG in wider range from 1,495 to 1,765 </w:t>
      </w:r>
      <w:proofErr w:type="gramStart"/>
      <w:r w:rsidR="009E2C9C" w:rsidRPr="00A52938">
        <w:rPr>
          <w:rFonts w:eastAsia="+mn-ea" w:cs="Times New Roman"/>
          <w:color w:val="000000" w:themeColor="text1"/>
          <w:kern w:val="24"/>
          <w:sz w:val="24"/>
          <w:szCs w:val="24"/>
        </w:rPr>
        <w:t>cm</w:t>
      </w:r>
      <w:r w:rsidR="009E2C9C" w:rsidRPr="00A52938">
        <w:rPr>
          <w:rFonts w:eastAsia="+mn-ea" w:cs="Times New Roman"/>
          <w:color w:val="000000" w:themeColor="text1"/>
          <w:kern w:val="24"/>
          <w:sz w:val="24"/>
          <w:szCs w:val="24"/>
          <w:vertAlign w:val="superscript"/>
        </w:rPr>
        <w:t>-1</w:t>
      </w:r>
      <w:proofErr w:type="gramEnd"/>
      <w:r w:rsidR="009E2C9C" w:rsidRPr="00A52938">
        <w:rPr>
          <w:rFonts w:eastAsia="+mn-ea" w:cs="Times New Roman"/>
          <w:color w:val="000000" w:themeColor="text1"/>
          <w:kern w:val="24"/>
          <w:sz w:val="24"/>
          <w:szCs w:val="24"/>
        </w:rPr>
        <w:t>.</w:t>
      </w:r>
    </w:p>
    <w:p w14:paraId="1957250B" w14:textId="77777777" w:rsidR="009E2C9C" w:rsidRPr="00D202E4" w:rsidRDefault="009E2C9C" w:rsidP="0099483A">
      <w:pPr>
        <w:widowControl/>
        <w:spacing w:line="240" w:lineRule="auto"/>
        <w:ind w:firstLineChars="0" w:firstLine="0"/>
        <w:rPr>
          <w:rFonts w:cs="Times New Roman"/>
          <w:color w:val="000000" w:themeColor="text1"/>
          <w:kern w:val="24"/>
          <w:sz w:val="24"/>
          <w:szCs w:val="24"/>
        </w:rPr>
      </w:pPr>
    </w:p>
    <w:p w14:paraId="3F34E359" w14:textId="77777777" w:rsidR="009E2C9C" w:rsidRPr="00D202E4" w:rsidRDefault="009E2C9C" w:rsidP="0099483A">
      <w:pPr>
        <w:widowControl/>
        <w:spacing w:line="240" w:lineRule="auto"/>
        <w:ind w:firstLineChars="0" w:firstLine="0"/>
        <w:jc w:val="left"/>
        <w:rPr>
          <w:rFonts w:cs="Times New Roman"/>
          <w:color w:val="000000" w:themeColor="text1"/>
          <w:kern w:val="24"/>
          <w:sz w:val="24"/>
          <w:szCs w:val="24"/>
        </w:rPr>
      </w:pPr>
      <w:r w:rsidRPr="00D202E4">
        <w:rPr>
          <w:rFonts w:cs="Times New Roman"/>
          <w:color w:val="000000" w:themeColor="text1"/>
          <w:kern w:val="24"/>
          <w:sz w:val="24"/>
          <w:szCs w:val="24"/>
        </w:rPr>
        <w:br w:type="page"/>
      </w:r>
    </w:p>
    <w:p w14:paraId="6B02AAB1"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605B2E94"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2516BB5C"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741E78DB" w14:textId="4293ADE9" w:rsidR="009E2C9C" w:rsidRPr="00A52938" w:rsidRDefault="00093FC4" w:rsidP="0099483A">
      <w:pPr>
        <w:widowControl/>
        <w:spacing w:line="360" w:lineRule="auto"/>
        <w:ind w:firstLineChars="0" w:firstLine="0"/>
        <w:jc w:val="center"/>
        <w:rPr>
          <w:rFonts w:eastAsia="+mn-ea"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T</w:t>
      </w:r>
      <w:r w:rsidR="009E2C9C" w:rsidRPr="00A52938">
        <w:rPr>
          <w:rFonts w:eastAsia="宋体" w:cs="Times New Roman"/>
          <w:b/>
          <w:bCs/>
          <w:color w:val="000000" w:themeColor="text1"/>
          <w:kern w:val="24"/>
          <w:sz w:val="24"/>
          <w:szCs w:val="24"/>
        </w:rPr>
        <w:t>able</w:t>
      </w:r>
      <w:r w:rsidR="009E2C9C" w:rsidRPr="00A52938">
        <w:rPr>
          <w:rFonts w:eastAsia="+mn-ea" w:cs="Times New Roman"/>
          <w:b/>
          <w:bCs/>
          <w:color w:val="000000" w:themeColor="text1"/>
          <w:kern w:val="24"/>
          <w:sz w:val="24"/>
          <w:szCs w:val="24"/>
        </w:rPr>
        <w:t xml:space="preserve"> 1</w:t>
      </w:r>
      <w:r w:rsidR="009E2C9C" w:rsidRPr="00A52938">
        <w:rPr>
          <w:rFonts w:eastAsia="+mn-ea" w:cs="Times New Roman"/>
          <w:color w:val="000000" w:themeColor="text1"/>
          <w:kern w:val="24"/>
          <w:sz w:val="24"/>
          <w:szCs w:val="24"/>
        </w:rPr>
        <w:t xml:space="preserve"> Monomer ratio and molecular size characterization of HBP and PBHA.</w:t>
      </w:r>
    </w:p>
    <w:p w14:paraId="500F71DA" w14:textId="77777777" w:rsidR="009E2C9C" w:rsidRPr="00D202E4" w:rsidRDefault="009E2C9C" w:rsidP="0099483A">
      <w:pPr>
        <w:widowControl/>
        <w:spacing w:line="360" w:lineRule="auto"/>
        <w:ind w:firstLineChars="0" w:firstLine="0"/>
        <w:jc w:val="center"/>
        <w:rPr>
          <w:rFonts w:eastAsia="宋体" w:cs="Times New Roman"/>
          <w:color w:val="000000" w:themeColor="text1"/>
          <w:kern w:val="0"/>
          <w:sz w:val="24"/>
          <w:szCs w:val="24"/>
        </w:rPr>
      </w:pPr>
    </w:p>
    <w:tbl>
      <w:tblPr>
        <w:tblW w:w="7840" w:type="dxa"/>
        <w:jc w:val="center"/>
        <w:tblLayout w:type="fixed"/>
        <w:tblCellMar>
          <w:left w:w="0" w:type="dxa"/>
          <w:right w:w="0" w:type="dxa"/>
        </w:tblCellMar>
        <w:tblLook w:val="0420" w:firstRow="1" w:lastRow="0" w:firstColumn="0" w:lastColumn="0" w:noHBand="0" w:noVBand="1"/>
      </w:tblPr>
      <w:tblGrid>
        <w:gridCol w:w="1701"/>
        <w:gridCol w:w="1418"/>
        <w:gridCol w:w="1559"/>
        <w:gridCol w:w="1393"/>
        <w:gridCol w:w="995"/>
        <w:gridCol w:w="774"/>
      </w:tblGrid>
      <w:tr w:rsidR="009E2C9C" w:rsidRPr="00D202E4" w14:paraId="1551C049" w14:textId="77777777" w:rsidTr="0099483A">
        <w:trPr>
          <w:trHeight w:val="495"/>
          <w:jc w:val="center"/>
        </w:trPr>
        <w:tc>
          <w:tcPr>
            <w:tcW w:w="1701" w:type="dxa"/>
            <w:tcBorders>
              <w:top w:val="single" w:sz="1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7B8FA19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Components</w:t>
            </w:r>
          </w:p>
        </w:tc>
        <w:tc>
          <w:tcPr>
            <w:tcW w:w="2977" w:type="dxa"/>
            <w:gridSpan w:val="2"/>
            <w:tcBorders>
              <w:top w:val="single" w:sz="1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0381A0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Feed ratio</w:t>
            </w:r>
          </w:p>
          <w:p w14:paraId="134BE45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MBA: ODA</w:t>
            </w:r>
          </w:p>
        </w:tc>
        <w:tc>
          <w:tcPr>
            <w:tcW w:w="3162" w:type="dxa"/>
            <w:gridSpan w:val="3"/>
            <w:tcBorders>
              <w:top w:val="single" w:sz="1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618407B1"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Z-average size</w:t>
            </w:r>
            <w:r w:rsidRPr="00D202E4">
              <w:rPr>
                <w:rFonts w:eastAsia="宋体" w:cs="Times New Roman"/>
                <w:b/>
                <w:bCs/>
                <w:color w:val="000000" w:themeColor="text1"/>
                <w:kern w:val="24"/>
                <w:position w:val="7"/>
                <w:sz w:val="22"/>
                <w:vertAlign w:val="superscript"/>
              </w:rPr>
              <w:t>a</w:t>
            </w:r>
            <w:r w:rsidRPr="00D202E4">
              <w:rPr>
                <w:rFonts w:eastAsia="宋体" w:cs="Times New Roman"/>
                <w:b/>
                <w:bCs/>
                <w:color w:val="000000" w:themeColor="text1"/>
                <w:kern w:val="24"/>
                <w:sz w:val="22"/>
              </w:rPr>
              <w:t xml:space="preserve"> </w:t>
            </w:r>
          </w:p>
          <w:p w14:paraId="2127F795"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8"/>
                <w:szCs w:val="18"/>
              </w:rPr>
              <w:t>(nm)</w:t>
            </w:r>
          </w:p>
        </w:tc>
      </w:tr>
      <w:tr w:rsidR="009E2C9C" w:rsidRPr="00D202E4" w14:paraId="48CC378B" w14:textId="77777777" w:rsidTr="0099483A">
        <w:trPr>
          <w:trHeight w:val="453"/>
          <w:jc w:val="center"/>
        </w:trPr>
        <w:tc>
          <w:tcPr>
            <w:tcW w:w="1701"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7C4A69FC"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HBP</w:t>
            </w:r>
          </w:p>
        </w:tc>
        <w:tc>
          <w:tcPr>
            <w:tcW w:w="2977" w:type="dxa"/>
            <w:gridSpan w:val="2"/>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4DD0F4F6"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1: 1</w:t>
            </w:r>
          </w:p>
        </w:tc>
        <w:tc>
          <w:tcPr>
            <w:tcW w:w="3162" w:type="dxa"/>
            <w:gridSpan w:val="3"/>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64526A7D"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56.8</w:t>
            </w:r>
          </w:p>
        </w:tc>
      </w:tr>
      <w:tr w:rsidR="009E2C9C" w:rsidRPr="00D202E4" w14:paraId="435870CB" w14:textId="77777777" w:rsidTr="0099483A">
        <w:trPr>
          <w:trHeight w:val="576"/>
          <w:jc w:val="center"/>
        </w:trPr>
        <w:tc>
          <w:tcPr>
            <w:tcW w:w="1701"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D7BAC2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Components</w:t>
            </w:r>
          </w:p>
        </w:tc>
        <w:tc>
          <w:tcPr>
            <w:tcW w:w="1418"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6C8954F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Feed ratio</w:t>
            </w:r>
          </w:p>
          <w:p w14:paraId="6B8EB73D"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BA: HEMA: AA</w:t>
            </w:r>
          </w:p>
        </w:tc>
        <w:tc>
          <w:tcPr>
            <w:tcW w:w="1559"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D18A20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Output ratio</w:t>
            </w:r>
            <w:r w:rsidRPr="00D202E4">
              <w:rPr>
                <w:rFonts w:eastAsia="宋体" w:cs="Times New Roman"/>
                <w:b/>
                <w:bCs/>
                <w:color w:val="000000" w:themeColor="text1"/>
                <w:kern w:val="24"/>
                <w:position w:val="7"/>
                <w:sz w:val="22"/>
                <w:vertAlign w:val="superscript"/>
              </w:rPr>
              <w:t>b</w:t>
            </w:r>
          </w:p>
          <w:p w14:paraId="150DFFE1"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BA: HEMA: AA</w:t>
            </w:r>
          </w:p>
        </w:tc>
        <w:tc>
          <w:tcPr>
            <w:tcW w:w="1393"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51E19D4"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Content of AA unit</w:t>
            </w:r>
            <w:r w:rsidRPr="00D202E4">
              <w:rPr>
                <w:rFonts w:eastAsia="宋体" w:cs="Times New Roman"/>
                <w:b/>
                <w:bCs/>
                <w:color w:val="000000" w:themeColor="text1"/>
                <w:kern w:val="24"/>
                <w:position w:val="7"/>
                <w:sz w:val="22"/>
                <w:vertAlign w:val="superscript"/>
              </w:rPr>
              <w:t>b</w:t>
            </w:r>
          </w:p>
        </w:tc>
        <w:tc>
          <w:tcPr>
            <w:tcW w:w="995"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7ED1B19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Mn</w:t>
            </w:r>
            <w:r w:rsidRPr="00D202E4">
              <w:rPr>
                <w:rFonts w:eastAsia="宋体" w:cs="Times New Roman"/>
                <w:b/>
                <w:bCs/>
                <w:color w:val="000000" w:themeColor="text1"/>
                <w:kern w:val="24"/>
                <w:position w:val="7"/>
                <w:sz w:val="22"/>
                <w:vertAlign w:val="superscript"/>
              </w:rPr>
              <w:t>c</w:t>
            </w:r>
            <w:r w:rsidRPr="00D202E4">
              <w:rPr>
                <w:rFonts w:eastAsia="宋体" w:cs="Times New Roman"/>
                <w:color w:val="000000" w:themeColor="text1"/>
                <w:kern w:val="24"/>
                <w:sz w:val="22"/>
              </w:rPr>
              <w:t xml:space="preserve"> </w:t>
            </w:r>
          </w:p>
          <w:p w14:paraId="4D976E1C"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8"/>
                <w:szCs w:val="18"/>
              </w:rPr>
              <w:t>(g/mol)</w:t>
            </w:r>
          </w:p>
        </w:tc>
        <w:tc>
          <w:tcPr>
            <w:tcW w:w="774"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45680A1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PDI</w:t>
            </w:r>
            <w:r w:rsidRPr="00D202E4">
              <w:rPr>
                <w:rFonts w:eastAsia="宋体" w:cs="Times New Roman"/>
                <w:b/>
                <w:bCs/>
                <w:color w:val="000000" w:themeColor="text1"/>
                <w:kern w:val="24"/>
                <w:position w:val="7"/>
                <w:sz w:val="22"/>
                <w:vertAlign w:val="superscript"/>
              </w:rPr>
              <w:t>c</w:t>
            </w:r>
            <w:r w:rsidRPr="00D202E4">
              <w:rPr>
                <w:rFonts w:eastAsia="宋体" w:cs="Times New Roman"/>
                <w:color w:val="000000" w:themeColor="text1"/>
                <w:kern w:val="24"/>
                <w:sz w:val="22"/>
              </w:rPr>
              <w:t xml:space="preserve"> </w:t>
            </w:r>
          </w:p>
        </w:tc>
      </w:tr>
      <w:tr w:rsidR="009E2C9C" w:rsidRPr="00D202E4" w14:paraId="09EF5643" w14:textId="77777777" w:rsidTr="0099483A">
        <w:trPr>
          <w:trHeight w:val="329"/>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2EC046C"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PBHA</w:t>
            </w:r>
          </w:p>
        </w:tc>
        <w:tc>
          <w:tcPr>
            <w:tcW w:w="1418" w:type="dxa"/>
            <w:tcBorders>
              <w:top w:val="nil"/>
              <w:left w:val="nil"/>
              <w:bottom w:val="nil"/>
              <w:right w:val="nil"/>
            </w:tcBorders>
            <w:shd w:val="clear" w:color="auto" w:fill="auto"/>
            <w:tcMar>
              <w:top w:w="72" w:type="dxa"/>
              <w:left w:w="144" w:type="dxa"/>
              <w:bottom w:w="72" w:type="dxa"/>
              <w:right w:w="144" w:type="dxa"/>
            </w:tcMar>
            <w:vAlign w:val="center"/>
            <w:hideMark/>
          </w:tcPr>
          <w:p w14:paraId="2372738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2.5: 1.5: 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hideMark/>
          </w:tcPr>
          <w:p w14:paraId="78C803F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3.0: 2.9: 1.0</w:t>
            </w:r>
          </w:p>
        </w:tc>
        <w:tc>
          <w:tcPr>
            <w:tcW w:w="1393" w:type="dxa"/>
            <w:tcBorders>
              <w:top w:val="nil"/>
              <w:left w:val="nil"/>
              <w:bottom w:val="nil"/>
              <w:right w:val="nil"/>
            </w:tcBorders>
            <w:shd w:val="clear" w:color="auto" w:fill="auto"/>
            <w:tcMar>
              <w:top w:w="72" w:type="dxa"/>
              <w:left w:w="144" w:type="dxa"/>
              <w:bottom w:w="72" w:type="dxa"/>
              <w:right w:w="144" w:type="dxa"/>
            </w:tcMar>
            <w:vAlign w:val="center"/>
            <w:hideMark/>
          </w:tcPr>
          <w:p w14:paraId="2C4E3FA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0.145</w:t>
            </w:r>
          </w:p>
        </w:tc>
        <w:tc>
          <w:tcPr>
            <w:tcW w:w="995" w:type="dxa"/>
            <w:tcBorders>
              <w:top w:val="nil"/>
              <w:left w:val="nil"/>
              <w:bottom w:val="nil"/>
              <w:right w:val="nil"/>
            </w:tcBorders>
            <w:shd w:val="clear" w:color="auto" w:fill="auto"/>
            <w:tcMar>
              <w:top w:w="72" w:type="dxa"/>
              <w:left w:w="144" w:type="dxa"/>
              <w:bottom w:w="72" w:type="dxa"/>
              <w:right w:w="144" w:type="dxa"/>
            </w:tcMar>
            <w:vAlign w:val="center"/>
            <w:hideMark/>
          </w:tcPr>
          <w:p w14:paraId="50EDBB5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216,900</w:t>
            </w:r>
          </w:p>
        </w:tc>
        <w:tc>
          <w:tcPr>
            <w:tcW w:w="774" w:type="dxa"/>
            <w:tcBorders>
              <w:top w:val="nil"/>
              <w:left w:val="nil"/>
              <w:bottom w:val="nil"/>
              <w:right w:val="nil"/>
            </w:tcBorders>
            <w:shd w:val="clear" w:color="auto" w:fill="auto"/>
            <w:tcMar>
              <w:top w:w="72" w:type="dxa"/>
              <w:left w:w="144" w:type="dxa"/>
              <w:bottom w:w="72" w:type="dxa"/>
              <w:right w:w="144" w:type="dxa"/>
            </w:tcMar>
            <w:vAlign w:val="center"/>
            <w:hideMark/>
          </w:tcPr>
          <w:p w14:paraId="4B39F817"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2.23</w:t>
            </w:r>
          </w:p>
        </w:tc>
      </w:tr>
    </w:tbl>
    <w:p w14:paraId="3DCCFBE4"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7BE83277" w14:textId="77777777" w:rsidR="009E2C9C" w:rsidRPr="00D202E4" w:rsidRDefault="009E2C9C" w:rsidP="0099483A">
      <w:pPr>
        <w:widowControl/>
        <w:spacing w:line="240" w:lineRule="auto"/>
        <w:ind w:firstLineChars="0" w:firstLine="400"/>
        <w:jc w:val="left"/>
        <w:rPr>
          <w:rFonts w:eastAsia="华文新魏" w:cs="Times New Roman"/>
          <w:color w:val="000000" w:themeColor="text1"/>
          <w:kern w:val="24"/>
          <w:sz w:val="24"/>
          <w:szCs w:val="24"/>
        </w:rPr>
      </w:pPr>
      <w:r w:rsidRPr="00D202E4">
        <w:rPr>
          <w:rFonts w:eastAsia="华文新魏" w:cs="Times New Roman"/>
          <w:color w:val="000000" w:themeColor="text1"/>
          <w:kern w:val="24"/>
          <w:position w:val="6"/>
          <w:sz w:val="24"/>
          <w:szCs w:val="24"/>
          <w:vertAlign w:val="superscript"/>
        </w:rPr>
        <w:t>a</w:t>
      </w:r>
      <w:r w:rsidRPr="00D202E4">
        <w:rPr>
          <w:rFonts w:eastAsia="华文新魏" w:cs="Times New Roman"/>
          <w:color w:val="000000" w:themeColor="text1"/>
          <w:kern w:val="24"/>
          <w:sz w:val="24"/>
          <w:szCs w:val="24"/>
        </w:rPr>
        <w:t xml:space="preserve">: Through </w:t>
      </w:r>
      <w:proofErr w:type="spellStart"/>
      <w:r w:rsidRPr="00D202E4">
        <w:rPr>
          <w:rFonts w:eastAsia="华文新魏" w:cs="Times New Roman"/>
          <w:color w:val="000000" w:themeColor="text1"/>
          <w:kern w:val="24"/>
          <w:sz w:val="24"/>
          <w:szCs w:val="24"/>
        </w:rPr>
        <w:t>Zetasizer</w:t>
      </w:r>
      <w:proofErr w:type="spellEnd"/>
      <w:r w:rsidRPr="00D202E4">
        <w:rPr>
          <w:rFonts w:eastAsia="华文新魏" w:cs="Times New Roman"/>
          <w:color w:val="000000" w:themeColor="text1"/>
          <w:kern w:val="24"/>
          <w:sz w:val="24"/>
          <w:szCs w:val="24"/>
        </w:rPr>
        <w:t xml:space="preserve"> Nano analyzer (EtOH solvent, 0.5 mg/mL</w:t>
      </w:r>
      <w:proofErr w:type="gramStart"/>
      <w:r w:rsidRPr="00D202E4">
        <w:rPr>
          <w:rFonts w:eastAsia="华文新魏" w:cs="Times New Roman"/>
          <w:color w:val="000000" w:themeColor="text1"/>
          <w:kern w:val="24"/>
          <w:sz w:val="24"/>
          <w:szCs w:val="24"/>
        </w:rPr>
        <w:t>);</w:t>
      </w:r>
      <w:proofErr w:type="gramEnd"/>
    </w:p>
    <w:p w14:paraId="15E4FADD" w14:textId="77777777" w:rsidR="009E2C9C" w:rsidRPr="00D202E4" w:rsidRDefault="009E2C9C" w:rsidP="0099483A">
      <w:pPr>
        <w:widowControl/>
        <w:spacing w:line="240" w:lineRule="auto"/>
        <w:ind w:firstLineChars="0" w:firstLine="400"/>
        <w:jc w:val="left"/>
        <w:rPr>
          <w:rFonts w:eastAsia="宋体" w:cs="Times New Roman"/>
          <w:color w:val="000000" w:themeColor="text1"/>
          <w:kern w:val="0"/>
          <w:sz w:val="24"/>
          <w:szCs w:val="24"/>
        </w:rPr>
      </w:pPr>
      <w:r w:rsidRPr="00D202E4">
        <w:rPr>
          <w:rFonts w:eastAsia="宋体" w:cs="Times New Roman"/>
          <w:color w:val="000000" w:themeColor="text1"/>
          <w:kern w:val="0"/>
          <w:sz w:val="24"/>
          <w:szCs w:val="24"/>
          <w:vertAlign w:val="superscript"/>
        </w:rPr>
        <w:t>b</w:t>
      </w:r>
      <w:r w:rsidRPr="00D202E4">
        <w:rPr>
          <w:rFonts w:eastAsia="宋体" w:cs="Times New Roman"/>
          <w:color w:val="000000" w:themeColor="text1"/>
          <w:kern w:val="0"/>
          <w:sz w:val="24"/>
          <w:szCs w:val="24"/>
        </w:rPr>
        <w:t xml:space="preserve">: Calculated by </w:t>
      </w:r>
      <w:r w:rsidRPr="00D202E4">
        <w:rPr>
          <w:rFonts w:eastAsia="宋体" w:cs="Times New Roman"/>
          <w:color w:val="000000" w:themeColor="text1"/>
          <w:kern w:val="0"/>
          <w:sz w:val="24"/>
          <w:szCs w:val="24"/>
          <w:vertAlign w:val="superscript"/>
        </w:rPr>
        <w:t>1</w:t>
      </w:r>
      <w:r w:rsidRPr="00D202E4">
        <w:rPr>
          <w:rFonts w:eastAsia="宋体" w:cs="Times New Roman"/>
          <w:color w:val="000000" w:themeColor="text1"/>
          <w:kern w:val="0"/>
          <w:sz w:val="24"/>
          <w:szCs w:val="24"/>
        </w:rPr>
        <w:t xml:space="preserve">H NMR </w:t>
      </w:r>
      <w:proofErr w:type="gramStart"/>
      <w:r w:rsidRPr="00D202E4">
        <w:rPr>
          <w:rFonts w:eastAsia="宋体" w:cs="Times New Roman"/>
          <w:color w:val="000000" w:themeColor="text1"/>
          <w:kern w:val="0"/>
          <w:sz w:val="24"/>
          <w:szCs w:val="24"/>
        </w:rPr>
        <w:t>spectroscopy;</w:t>
      </w:r>
      <w:proofErr w:type="gramEnd"/>
    </w:p>
    <w:p w14:paraId="0C78BF0A" w14:textId="77777777" w:rsidR="009E2C9C" w:rsidRPr="00D202E4" w:rsidRDefault="009E2C9C" w:rsidP="0099483A">
      <w:pPr>
        <w:widowControl/>
        <w:spacing w:line="240" w:lineRule="auto"/>
        <w:ind w:firstLineChars="0" w:firstLine="400"/>
        <w:jc w:val="left"/>
        <w:rPr>
          <w:rFonts w:eastAsia="宋体" w:cs="Times New Roman"/>
          <w:color w:val="000000" w:themeColor="text1"/>
          <w:kern w:val="0"/>
          <w:sz w:val="24"/>
          <w:szCs w:val="24"/>
        </w:rPr>
      </w:pPr>
      <w:r w:rsidRPr="00D202E4">
        <w:rPr>
          <w:rFonts w:eastAsia="宋体" w:cs="Times New Roman"/>
          <w:color w:val="000000" w:themeColor="text1"/>
          <w:kern w:val="0"/>
          <w:sz w:val="24"/>
          <w:szCs w:val="24"/>
          <w:vertAlign w:val="superscript"/>
        </w:rPr>
        <w:t>c</w:t>
      </w:r>
      <w:r w:rsidRPr="00D202E4">
        <w:rPr>
          <w:rFonts w:eastAsia="华文新魏" w:cs="Times New Roman"/>
          <w:color w:val="000000" w:themeColor="text1"/>
          <w:kern w:val="24"/>
          <w:sz w:val="24"/>
          <w:szCs w:val="24"/>
        </w:rPr>
        <w:t>: Through GPC test (DMF solvent, 40 °C).</w:t>
      </w:r>
    </w:p>
    <w:p w14:paraId="0F459271" w14:textId="77777777" w:rsidR="009E2C9C" w:rsidRPr="00D202E4" w:rsidRDefault="009E2C9C" w:rsidP="0099483A">
      <w:pPr>
        <w:widowControl/>
        <w:spacing w:line="240" w:lineRule="auto"/>
        <w:ind w:firstLineChars="0" w:firstLine="400"/>
        <w:jc w:val="left"/>
        <w:rPr>
          <w:rFonts w:eastAsia="宋体" w:cs="Times New Roman"/>
          <w:color w:val="000000" w:themeColor="text1"/>
          <w:kern w:val="0"/>
          <w:sz w:val="24"/>
          <w:szCs w:val="24"/>
        </w:rPr>
      </w:pPr>
    </w:p>
    <w:p w14:paraId="7B0FA82D" w14:textId="77777777" w:rsidR="009E2C9C" w:rsidRPr="00D202E4" w:rsidRDefault="009E2C9C" w:rsidP="0099483A">
      <w:pPr>
        <w:ind w:firstLineChars="0" w:firstLine="0"/>
        <w:rPr>
          <w:rFonts w:cs="Times New Roman"/>
          <w:color w:val="000000" w:themeColor="text1"/>
        </w:rPr>
      </w:pPr>
    </w:p>
    <w:p w14:paraId="22B3D038" w14:textId="77777777" w:rsidR="009E2C9C" w:rsidRPr="00D202E4" w:rsidRDefault="009E2C9C" w:rsidP="0099483A">
      <w:pPr>
        <w:widowControl/>
        <w:spacing w:line="240" w:lineRule="auto"/>
        <w:ind w:firstLineChars="0" w:firstLine="0"/>
        <w:jc w:val="left"/>
        <w:rPr>
          <w:rFonts w:cs="Times New Roman"/>
          <w:color w:val="000000" w:themeColor="text1"/>
        </w:rPr>
      </w:pPr>
      <w:r w:rsidRPr="00D202E4">
        <w:rPr>
          <w:rFonts w:cs="Times New Roman"/>
          <w:color w:val="000000" w:themeColor="text1"/>
        </w:rPr>
        <w:br w:type="page"/>
      </w:r>
    </w:p>
    <w:p w14:paraId="6747B036" w14:textId="77777777" w:rsidR="009E2C9C" w:rsidRPr="009E2C9C" w:rsidRDefault="009E2C9C" w:rsidP="009E2C9C">
      <w:pPr>
        <w:widowControl/>
        <w:spacing w:line="240" w:lineRule="auto"/>
        <w:ind w:firstLineChars="0" w:firstLine="0"/>
        <w:rPr>
          <w:rFonts w:eastAsia="宋体" w:cs="Times New Roman"/>
          <w:color w:val="000000" w:themeColor="text1"/>
          <w:kern w:val="0"/>
          <w:sz w:val="24"/>
          <w:szCs w:val="24"/>
        </w:rPr>
      </w:pPr>
    </w:p>
    <w:p w14:paraId="443FE67A" w14:textId="77777777" w:rsidR="009E2C9C" w:rsidRPr="009E2C9C" w:rsidRDefault="009E2C9C" w:rsidP="009E2C9C">
      <w:pPr>
        <w:widowControl/>
        <w:spacing w:line="240" w:lineRule="auto"/>
        <w:ind w:firstLineChars="0" w:firstLine="0"/>
        <w:rPr>
          <w:rFonts w:eastAsia="宋体" w:cs="Times New Roman"/>
          <w:color w:val="000000" w:themeColor="text1"/>
          <w:kern w:val="0"/>
          <w:sz w:val="24"/>
          <w:szCs w:val="24"/>
        </w:rPr>
      </w:pPr>
    </w:p>
    <w:p w14:paraId="6279AE82" w14:textId="77777777" w:rsidR="009E2C9C" w:rsidRPr="009E2C9C" w:rsidRDefault="009E2C9C" w:rsidP="009E2C9C">
      <w:pPr>
        <w:widowControl/>
        <w:spacing w:line="240" w:lineRule="auto"/>
        <w:ind w:firstLineChars="0" w:firstLine="0"/>
        <w:rPr>
          <w:rFonts w:eastAsia="宋体" w:cs="Times New Roman"/>
          <w:color w:val="000000" w:themeColor="text1"/>
          <w:kern w:val="0"/>
          <w:sz w:val="24"/>
          <w:szCs w:val="24"/>
        </w:rPr>
      </w:pPr>
    </w:p>
    <w:p w14:paraId="7128A969" w14:textId="3322FC28" w:rsidR="009E2C9C" w:rsidRPr="00A52938" w:rsidRDefault="00093FC4" w:rsidP="0099483A">
      <w:pPr>
        <w:widowControl/>
        <w:spacing w:line="360" w:lineRule="auto"/>
        <w:ind w:firstLineChars="0" w:firstLine="0"/>
        <w:jc w:val="center"/>
        <w:rPr>
          <w:rFonts w:eastAsia="+mn-ea"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T</w:t>
      </w:r>
      <w:r w:rsidR="009E2C9C" w:rsidRPr="00A52938">
        <w:rPr>
          <w:rFonts w:eastAsia="宋体" w:cs="Times New Roman"/>
          <w:b/>
          <w:bCs/>
          <w:color w:val="000000" w:themeColor="text1"/>
          <w:kern w:val="24"/>
          <w:sz w:val="24"/>
          <w:szCs w:val="24"/>
        </w:rPr>
        <w:t>able</w:t>
      </w:r>
      <w:r w:rsidR="009E2C9C" w:rsidRPr="00A52938">
        <w:rPr>
          <w:rFonts w:eastAsia="+mn-ea" w:cs="Times New Roman"/>
          <w:b/>
          <w:bCs/>
          <w:color w:val="000000" w:themeColor="text1"/>
          <w:kern w:val="24"/>
          <w:sz w:val="24"/>
          <w:szCs w:val="24"/>
        </w:rPr>
        <w:t xml:space="preserve"> 2</w:t>
      </w:r>
      <w:r w:rsidR="009E2C9C" w:rsidRPr="00A52938">
        <w:rPr>
          <w:rFonts w:eastAsia="+mn-ea" w:cs="Times New Roman"/>
          <w:color w:val="000000" w:themeColor="text1"/>
          <w:kern w:val="24"/>
          <w:sz w:val="24"/>
          <w:szCs w:val="24"/>
        </w:rPr>
        <w:t xml:space="preserve"> Mechanical Properties of THG and comparative samples.</w:t>
      </w:r>
    </w:p>
    <w:p w14:paraId="3FF80879" w14:textId="77777777" w:rsidR="009E2C9C" w:rsidRPr="00D202E4" w:rsidRDefault="009E2C9C" w:rsidP="0099483A">
      <w:pPr>
        <w:widowControl/>
        <w:spacing w:line="360" w:lineRule="auto"/>
        <w:ind w:firstLineChars="0" w:firstLine="0"/>
        <w:jc w:val="center"/>
        <w:rPr>
          <w:rFonts w:eastAsia="宋体" w:cs="Times New Roman"/>
          <w:color w:val="000000" w:themeColor="text1"/>
          <w:kern w:val="0"/>
          <w:sz w:val="24"/>
          <w:szCs w:val="24"/>
        </w:rPr>
      </w:pPr>
    </w:p>
    <w:tbl>
      <w:tblPr>
        <w:tblW w:w="8220" w:type="dxa"/>
        <w:jc w:val="center"/>
        <w:tblCellMar>
          <w:left w:w="0" w:type="dxa"/>
          <w:right w:w="0" w:type="dxa"/>
        </w:tblCellMar>
        <w:tblLook w:val="0420" w:firstRow="1" w:lastRow="0" w:firstColumn="0" w:lastColumn="0" w:noHBand="0" w:noVBand="1"/>
      </w:tblPr>
      <w:tblGrid>
        <w:gridCol w:w="1419"/>
        <w:gridCol w:w="1127"/>
        <w:gridCol w:w="1135"/>
        <w:gridCol w:w="1135"/>
        <w:gridCol w:w="1136"/>
        <w:gridCol w:w="1128"/>
        <w:gridCol w:w="1140"/>
      </w:tblGrid>
      <w:tr w:rsidR="009E2C9C" w:rsidRPr="00D202E4" w14:paraId="07679B3B" w14:textId="77777777" w:rsidTr="0099483A">
        <w:trPr>
          <w:trHeight w:val="540"/>
          <w:jc w:val="center"/>
        </w:trPr>
        <w:tc>
          <w:tcPr>
            <w:tcW w:w="1419" w:type="dxa"/>
            <w:tcBorders>
              <w:top w:val="single" w:sz="18" w:space="0" w:color="auto"/>
              <w:left w:val="nil"/>
              <w:bottom w:val="single" w:sz="12" w:space="0" w:color="000000"/>
              <w:right w:val="nil"/>
            </w:tcBorders>
            <w:shd w:val="clear" w:color="auto" w:fill="auto"/>
            <w:tcMar>
              <w:top w:w="72" w:type="dxa"/>
              <w:left w:w="144" w:type="dxa"/>
              <w:bottom w:w="72" w:type="dxa"/>
              <w:right w:w="144" w:type="dxa"/>
            </w:tcMar>
            <w:vAlign w:val="center"/>
            <w:hideMark/>
          </w:tcPr>
          <w:p w14:paraId="2969D004" w14:textId="77777777" w:rsidR="009E2C9C" w:rsidRPr="00D202E4" w:rsidRDefault="009E2C9C" w:rsidP="0099483A">
            <w:pPr>
              <w:widowControl/>
              <w:spacing w:line="240" w:lineRule="auto"/>
              <w:ind w:firstLineChars="0" w:firstLine="402"/>
              <w:jc w:val="center"/>
              <w:rPr>
                <w:rFonts w:eastAsia="宋体" w:cs="Times New Roman"/>
                <w:color w:val="000000" w:themeColor="text1"/>
                <w:kern w:val="0"/>
                <w:sz w:val="36"/>
                <w:szCs w:val="36"/>
              </w:rPr>
            </w:pPr>
            <w:r w:rsidRPr="00D202E4">
              <w:rPr>
                <w:rFonts w:eastAsia="宋体" w:cs="Times New Roman"/>
                <w:b/>
                <w:bCs/>
                <w:color w:val="000000" w:themeColor="text1"/>
                <w:kern w:val="24"/>
                <w:sz w:val="20"/>
                <w:szCs w:val="20"/>
              </w:rPr>
              <w:t>Samples</w:t>
            </w:r>
          </w:p>
        </w:tc>
        <w:tc>
          <w:tcPr>
            <w:tcW w:w="1127" w:type="dxa"/>
            <w:tcBorders>
              <w:top w:val="single" w:sz="18" w:space="0" w:color="auto"/>
              <w:left w:val="nil"/>
              <w:bottom w:val="single" w:sz="12" w:space="0" w:color="000000"/>
              <w:right w:val="nil"/>
            </w:tcBorders>
            <w:shd w:val="clear" w:color="auto" w:fill="auto"/>
            <w:tcMar>
              <w:top w:w="72" w:type="dxa"/>
              <w:left w:w="144" w:type="dxa"/>
              <w:bottom w:w="72" w:type="dxa"/>
              <w:right w:w="144" w:type="dxa"/>
            </w:tcMar>
            <w:vAlign w:val="center"/>
            <w:hideMark/>
          </w:tcPr>
          <w:p w14:paraId="5B5DFCEC"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Mn</w:t>
            </w:r>
            <w:r w:rsidRPr="00D202E4">
              <w:rPr>
                <w:rFonts w:eastAsia="宋体" w:cs="Times New Roman"/>
                <w:b/>
                <w:bCs/>
                <w:color w:val="000000" w:themeColor="text1"/>
                <w:kern w:val="24"/>
                <w:position w:val="7"/>
                <w:sz w:val="22"/>
                <w:vertAlign w:val="superscript"/>
              </w:rPr>
              <w:t>a</w:t>
            </w:r>
          </w:p>
          <w:p w14:paraId="3FBCD0E9"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(g/mol)</w:t>
            </w:r>
          </w:p>
        </w:tc>
        <w:tc>
          <w:tcPr>
            <w:tcW w:w="1135" w:type="dxa"/>
            <w:tcBorders>
              <w:top w:val="single" w:sz="18" w:space="0" w:color="auto"/>
              <w:left w:val="nil"/>
              <w:bottom w:val="single" w:sz="12" w:space="0" w:color="000000"/>
              <w:right w:val="nil"/>
            </w:tcBorders>
            <w:shd w:val="clear" w:color="auto" w:fill="auto"/>
            <w:tcMar>
              <w:top w:w="72" w:type="dxa"/>
              <w:left w:w="144" w:type="dxa"/>
              <w:bottom w:w="72" w:type="dxa"/>
              <w:right w:w="144" w:type="dxa"/>
            </w:tcMar>
            <w:vAlign w:val="center"/>
            <w:hideMark/>
          </w:tcPr>
          <w:p w14:paraId="49A7590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0"/>
                <w:szCs w:val="20"/>
              </w:rPr>
              <w:t>Yield strength</w:t>
            </w:r>
          </w:p>
          <w:p w14:paraId="341042D5"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(MPa)</w:t>
            </w:r>
          </w:p>
        </w:tc>
        <w:tc>
          <w:tcPr>
            <w:tcW w:w="1135" w:type="dxa"/>
            <w:tcBorders>
              <w:top w:val="single" w:sz="18" w:space="0" w:color="auto"/>
              <w:left w:val="nil"/>
              <w:bottom w:val="single" w:sz="12" w:space="0" w:color="000000"/>
              <w:right w:val="nil"/>
            </w:tcBorders>
            <w:shd w:val="clear" w:color="auto" w:fill="auto"/>
            <w:tcMar>
              <w:top w:w="72" w:type="dxa"/>
              <w:left w:w="144" w:type="dxa"/>
              <w:bottom w:w="72" w:type="dxa"/>
              <w:right w:w="144" w:type="dxa"/>
            </w:tcMar>
            <w:vAlign w:val="center"/>
            <w:hideMark/>
          </w:tcPr>
          <w:p w14:paraId="6EE0A99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0"/>
                <w:szCs w:val="20"/>
              </w:rPr>
              <w:t>Tensile strength</w:t>
            </w:r>
          </w:p>
          <w:p w14:paraId="3BD5DE64"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(MPa)</w:t>
            </w:r>
          </w:p>
        </w:tc>
        <w:tc>
          <w:tcPr>
            <w:tcW w:w="1136" w:type="dxa"/>
            <w:tcBorders>
              <w:top w:val="single" w:sz="18" w:space="0" w:color="auto"/>
              <w:left w:val="nil"/>
              <w:bottom w:val="single" w:sz="12" w:space="0" w:color="000000"/>
              <w:right w:val="nil"/>
            </w:tcBorders>
            <w:shd w:val="clear" w:color="auto" w:fill="auto"/>
            <w:tcMar>
              <w:top w:w="72" w:type="dxa"/>
              <w:left w:w="144" w:type="dxa"/>
              <w:bottom w:w="72" w:type="dxa"/>
              <w:right w:w="144" w:type="dxa"/>
            </w:tcMar>
            <w:vAlign w:val="center"/>
            <w:hideMark/>
          </w:tcPr>
          <w:p w14:paraId="16C17D85"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cs="Times New Roman"/>
                <w:b/>
                <w:bCs/>
                <w:color w:val="000000" w:themeColor="text1"/>
                <w:kern w:val="24"/>
                <w:sz w:val="20"/>
                <w:szCs w:val="20"/>
              </w:rPr>
              <w:t>Young’s</w:t>
            </w:r>
            <w:r w:rsidRPr="00D202E4">
              <w:rPr>
                <w:rFonts w:eastAsia="宋体" w:cs="Times New Roman"/>
                <w:b/>
                <w:bCs/>
                <w:color w:val="000000" w:themeColor="text1"/>
                <w:kern w:val="24"/>
                <w:position w:val="6"/>
                <w:sz w:val="20"/>
                <w:szCs w:val="20"/>
                <w:vertAlign w:val="superscript"/>
              </w:rPr>
              <w:t xml:space="preserve"> </w:t>
            </w:r>
            <w:r w:rsidRPr="00D202E4">
              <w:rPr>
                <w:rFonts w:cs="Times New Roman"/>
                <w:b/>
                <w:bCs/>
                <w:color w:val="000000" w:themeColor="text1"/>
                <w:kern w:val="24"/>
                <w:sz w:val="20"/>
                <w:szCs w:val="20"/>
              </w:rPr>
              <w:t>modulus</w:t>
            </w:r>
          </w:p>
          <w:p w14:paraId="17F90CF8"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cs="Times New Roman"/>
                <w:color w:val="000000" w:themeColor="text1"/>
                <w:kern w:val="24"/>
                <w:sz w:val="16"/>
                <w:szCs w:val="16"/>
              </w:rPr>
              <w:t>(MPa)</w:t>
            </w:r>
          </w:p>
        </w:tc>
        <w:tc>
          <w:tcPr>
            <w:tcW w:w="1128" w:type="dxa"/>
            <w:tcBorders>
              <w:top w:val="single" w:sz="18" w:space="0" w:color="auto"/>
              <w:left w:val="nil"/>
              <w:bottom w:val="single" w:sz="12" w:space="0" w:color="000000"/>
              <w:right w:val="nil"/>
            </w:tcBorders>
            <w:shd w:val="clear" w:color="auto" w:fill="auto"/>
            <w:tcMar>
              <w:top w:w="72" w:type="dxa"/>
              <w:left w:w="144" w:type="dxa"/>
              <w:bottom w:w="72" w:type="dxa"/>
              <w:right w:w="144" w:type="dxa"/>
            </w:tcMar>
            <w:vAlign w:val="center"/>
            <w:hideMark/>
          </w:tcPr>
          <w:p w14:paraId="48733BAB"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0"/>
                <w:szCs w:val="20"/>
              </w:rPr>
              <w:t>Strain at break</w:t>
            </w:r>
          </w:p>
          <w:p w14:paraId="07C4E418"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w:t>
            </w:r>
          </w:p>
        </w:tc>
        <w:tc>
          <w:tcPr>
            <w:tcW w:w="1140" w:type="dxa"/>
            <w:tcBorders>
              <w:top w:val="single" w:sz="18" w:space="0" w:color="auto"/>
              <w:left w:val="nil"/>
              <w:bottom w:val="single" w:sz="12" w:space="0" w:color="000000"/>
              <w:right w:val="nil"/>
            </w:tcBorders>
            <w:shd w:val="clear" w:color="auto" w:fill="auto"/>
            <w:tcMar>
              <w:top w:w="72" w:type="dxa"/>
              <w:left w:w="144" w:type="dxa"/>
              <w:bottom w:w="72" w:type="dxa"/>
              <w:right w:w="144" w:type="dxa"/>
            </w:tcMar>
            <w:vAlign w:val="center"/>
            <w:hideMark/>
          </w:tcPr>
          <w:p w14:paraId="276F1F72"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cs="Times New Roman"/>
                <w:b/>
                <w:bCs/>
                <w:color w:val="000000" w:themeColor="text1"/>
                <w:kern w:val="24"/>
                <w:sz w:val="20"/>
                <w:szCs w:val="20"/>
              </w:rPr>
              <w:t>Tensile</w:t>
            </w:r>
            <w:r w:rsidRPr="00D202E4">
              <w:rPr>
                <w:rFonts w:eastAsia="宋体" w:cs="Times New Roman"/>
                <w:b/>
                <w:bCs/>
                <w:color w:val="000000" w:themeColor="text1"/>
                <w:kern w:val="24"/>
                <w:sz w:val="20"/>
                <w:szCs w:val="20"/>
              </w:rPr>
              <w:t xml:space="preserve"> toughness</w:t>
            </w:r>
          </w:p>
          <w:p w14:paraId="6D16312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16"/>
                <w:szCs w:val="16"/>
              </w:rPr>
              <w:t>(MJ/m</w:t>
            </w:r>
            <w:r w:rsidRPr="00D202E4">
              <w:rPr>
                <w:rFonts w:eastAsia="宋体" w:cs="Times New Roman"/>
                <w:color w:val="000000" w:themeColor="text1"/>
                <w:kern w:val="24"/>
                <w:position w:val="5"/>
                <w:sz w:val="16"/>
                <w:szCs w:val="16"/>
                <w:vertAlign w:val="superscript"/>
              </w:rPr>
              <w:t>3</w:t>
            </w:r>
            <w:r w:rsidRPr="00D202E4">
              <w:rPr>
                <w:rFonts w:eastAsia="宋体" w:cs="Times New Roman"/>
                <w:color w:val="000000" w:themeColor="text1"/>
                <w:kern w:val="24"/>
                <w:sz w:val="16"/>
                <w:szCs w:val="16"/>
              </w:rPr>
              <w:t>)</w:t>
            </w:r>
          </w:p>
        </w:tc>
      </w:tr>
      <w:tr w:rsidR="009E2C9C" w:rsidRPr="00D202E4" w14:paraId="23852835" w14:textId="77777777" w:rsidTr="0099483A">
        <w:trPr>
          <w:trHeight w:val="283"/>
          <w:jc w:val="center"/>
        </w:trPr>
        <w:tc>
          <w:tcPr>
            <w:tcW w:w="1419" w:type="dxa"/>
            <w:tcBorders>
              <w:top w:val="nil"/>
              <w:left w:val="nil"/>
              <w:bottom w:val="nil"/>
              <w:right w:val="nil"/>
            </w:tcBorders>
            <w:shd w:val="clear" w:color="auto" w:fill="auto"/>
            <w:tcMar>
              <w:top w:w="72" w:type="dxa"/>
              <w:left w:w="144" w:type="dxa"/>
              <w:bottom w:w="72" w:type="dxa"/>
              <w:right w:w="144" w:type="dxa"/>
            </w:tcMar>
            <w:vAlign w:val="center"/>
            <w:hideMark/>
          </w:tcPr>
          <w:p w14:paraId="2CBACAA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eastAsia="宋体" w:cs="Times New Roman"/>
                <w:color w:val="000000" w:themeColor="text1"/>
                <w:kern w:val="24"/>
                <w:sz w:val="21"/>
                <w:szCs w:val="21"/>
              </w:rPr>
              <w:t>THG</w:t>
            </w:r>
          </w:p>
        </w:tc>
        <w:tc>
          <w:tcPr>
            <w:tcW w:w="1127" w:type="dxa"/>
            <w:tcBorders>
              <w:top w:val="nil"/>
              <w:left w:val="nil"/>
              <w:bottom w:val="nil"/>
              <w:right w:val="nil"/>
            </w:tcBorders>
            <w:shd w:val="clear" w:color="auto" w:fill="auto"/>
            <w:tcMar>
              <w:top w:w="72" w:type="dxa"/>
              <w:left w:w="144" w:type="dxa"/>
              <w:bottom w:w="72" w:type="dxa"/>
              <w:right w:w="144" w:type="dxa"/>
            </w:tcMar>
            <w:vAlign w:val="center"/>
            <w:hideMark/>
          </w:tcPr>
          <w:p w14:paraId="14FC2BB4"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 xml:space="preserve"> 2×10</w:t>
            </w:r>
            <w:r w:rsidRPr="00D202E4">
              <w:rPr>
                <w:rFonts w:cs="Times New Roman"/>
                <w:color w:val="000000" w:themeColor="text1"/>
                <w:kern w:val="24"/>
                <w:position w:val="6"/>
                <w:sz w:val="21"/>
                <w:szCs w:val="21"/>
                <w:vertAlign w:val="superscript"/>
              </w:rPr>
              <w:t>5</w:t>
            </w:r>
            <w:r w:rsidRPr="00D202E4">
              <w:rPr>
                <w:rFonts w:cs="Times New Roman"/>
                <w:color w:val="000000" w:themeColor="text1"/>
                <w:kern w:val="24"/>
                <w:sz w:val="21"/>
                <w:szCs w:val="21"/>
              </w:rPr>
              <w:t xml:space="preserve"> </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2925481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43.9</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164C9BC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47.5</w:t>
            </w:r>
          </w:p>
        </w:tc>
        <w:tc>
          <w:tcPr>
            <w:tcW w:w="1136" w:type="dxa"/>
            <w:tcBorders>
              <w:top w:val="nil"/>
              <w:left w:val="nil"/>
              <w:bottom w:val="nil"/>
              <w:right w:val="nil"/>
            </w:tcBorders>
            <w:shd w:val="clear" w:color="auto" w:fill="auto"/>
            <w:tcMar>
              <w:top w:w="72" w:type="dxa"/>
              <w:left w:w="144" w:type="dxa"/>
              <w:bottom w:w="72" w:type="dxa"/>
              <w:right w:w="144" w:type="dxa"/>
            </w:tcMar>
            <w:vAlign w:val="center"/>
            <w:hideMark/>
          </w:tcPr>
          <w:p w14:paraId="140155A6"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1060.8</w:t>
            </w:r>
          </w:p>
        </w:tc>
        <w:tc>
          <w:tcPr>
            <w:tcW w:w="1128" w:type="dxa"/>
            <w:tcBorders>
              <w:top w:val="nil"/>
              <w:left w:val="nil"/>
              <w:bottom w:val="nil"/>
              <w:right w:val="nil"/>
            </w:tcBorders>
            <w:shd w:val="clear" w:color="auto" w:fill="auto"/>
            <w:tcMar>
              <w:top w:w="72" w:type="dxa"/>
              <w:left w:w="144" w:type="dxa"/>
              <w:bottom w:w="72" w:type="dxa"/>
              <w:right w:w="144" w:type="dxa"/>
            </w:tcMar>
            <w:vAlign w:val="center"/>
            <w:hideMark/>
          </w:tcPr>
          <w:p w14:paraId="123F7CCD"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229.1</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28A3807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86.3</w:t>
            </w:r>
          </w:p>
        </w:tc>
      </w:tr>
      <w:tr w:rsidR="009E2C9C" w:rsidRPr="00D202E4" w14:paraId="477208E3" w14:textId="77777777" w:rsidTr="0099483A">
        <w:trPr>
          <w:trHeight w:val="283"/>
          <w:jc w:val="center"/>
        </w:trPr>
        <w:tc>
          <w:tcPr>
            <w:tcW w:w="1419" w:type="dxa"/>
            <w:tcBorders>
              <w:top w:val="nil"/>
              <w:left w:val="nil"/>
              <w:bottom w:val="nil"/>
              <w:right w:val="nil"/>
            </w:tcBorders>
            <w:shd w:val="clear" w:color="auto" w:fill="auto"/>
            <w:tcMar>
              <w:top w:w="72" w:type="dxa"/>
              <w:left w:w="144" w:type="dxa"/>
              <w:bottom w:w="72" w:type="dxa"/>
              <w:right w:w="144" w:type="dxa"/>
            </w:tcMar>
            <w:vAlign w:val="center"/>
            <w:hideMark/>
          </w:tcPr>
          <w:p w14:paraId="46644934"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eastAsia="宋体" w:cs="Times New Roman"/>
                <w:color w:val="000000" w:themeColor="text1"/>
                <w:kern w:val="24"/>
                <w:sz w:val="21"/>
                <w:szCs w:val="21"/>
              </w:rPr>
              <w:t>THG’</w:t>
            </w:r>
          </w:p>
        </w:tc>
        <w:tc>
          <w:tcPr>
            <w:tcW w:w="1127" w:type="dxa"/>
            <w:tcBorders>
              <w:top w:val="nil"/>
              <w:left w:val="nil"/>
              <w:bottom w:val="nil"/>
              <w:right w:val="nil"/>
            </w:tcBorders>
            <w:shd w:val="clear" w:color="auto" w:fill="auto"/>
            <w:tcMar>
              <w:top w:w="72" w:type="dxa"/>
              <w:left w:w="144" w:type="dxa"/>
              <w:bottom w:w="72" w:type="dxa"/>
              <w:right w:w="144" w:type="dxa"/>
            </w:tcMar>
            <w:vAlign w:val="center"/>
            <w:hideMark/>
          </w:tcPr>
          <w:p w14:paraId="10592277"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 xml:space="preserve"> 5×10</w:t>
            </w:r>
            <w:r w:rsidRPr="00D202E4">
              <w:rPr>
                <w:rFonts w:cs="Times New Roman"/>
                <w:color w:val="000000" w:themeColor="text1"/>
                <w:kern w:val="24"/>
                <w:position w:val="6"/>
                <w:sz w:val="21"/>
                <w:szCs w:val="21"/>
                <w:vertAlign w:val="superscript"/>
              </w:rPr>
              <w:t>4</w:t>
            </w:r>
            <w:r w:rsidRPr="00D202E4">
              <w:rPr>
                <w:rFonts w:cs="Times New Roman"/>
                <w:color w:val="000000" w:themeColor="text1"/>
                <w:kern w:val="24"/>
                <w:sz w:val="21"/>
                <w:szCs w:val="21"/>
              </w:rPr>
              <w:t xml:space="preserve"> </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468BE926"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39.2</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007C404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28.3</w:t>
            </w:r>
          </w:p>
        </w:tc>
        <w:tc>
          <w:tcPr>
            <w:tcW w:w="1136" w:type="dxa"/>
            <w:tcBorders>
              <w:top w:val="nil"/>
              <w:left w:val="nil"/>
              <w:bottom w:val="nil"/>
              <w:right w:val="nil"/>
            </w:tcBorders>
            <w:shd w:val="clear" w:color="auto" w:fill="auto"/>
            <w:tcMar>
              <w:top w:w="72" w:type="dxa"/>
              <w:left w:w="144" w:type="dxa"/>
              <w:bottom w:w="72" w:type="dxa"/>
              <w:right w:w="144" w:type="dxa"/>
            </w:tcMar>
            <w:vAlign w:val="center"/>
            <w:hideMark/>
          </w:tcPr>
          <w:p w14:paraId="39BBC096"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742.0</w:t>
            </w:r>
          </w:p>
        </w:tc>
        <w:tc>
          <w:tcPr>
            <w:tcW w:w="1128" w:type="dxa"/>
            <w:tcBorders>
              <w:top w:val="nil"/>
              <w:left w:val="nil"/>
              <w:bottom w:val="nil"/>
              <w:right w:val="nil"/>
            </w:tcBorders>
            <w:shd w:val="clear" w:color="auto" w:fill="auto"/>
            <w:tcMar>
              <w:top w:w="72" w:type="dxa"/>
              <w:left w:w="144" w:type="dxa"/>
              <w:bottom w:w="72" w:type="dxa"/>
              <w:right w:w="144" w:type="dxa"/>
            </w:tcMar>
            <w:vAlign w:val="center"/>
            <w:hideMark/>
          </w:tcPr>
          <w:p w14:paraId="72D80292"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108.1</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63E79CA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33.0</w:t>
            </w:r>
          </w:p>
        </w:tc>
      </w:tr>
      <w:tr w:rsidR="009E2C9C" w:rsidRPr="00D202E4" w14:paraId="04FC2D7D" w14:textId="77777777" w:rsidTr="0099483A">
        <w:trPr>
          <w:trHeight w:val="283"/>
          <w:jc w:val="center"/>
        </w:trPr>
        <w:tc>
          <w:tcPr>
            <w:tcW w:w="1419" w:type="dxa"/>
            <w:tcBorders>
              <w:top w:val="nil"/>
              <w:left w:val="nil"/>
              <w:bottom w:val="nil"/>
              <w:right w:val="nil"/>
            </w:tcBorders>
            <w:shd w:val="clear" w:color="auto" w:fill="auto"/>
            <w:tcMar>
              <w:top w:w="72" w:type="dxa"/>
              <w:left w:w="144" w:type="dxa"/>
              <w:bottom w:w="72" w:type="dxa"/>
              <w:right w:w="144" w:type="dxa"/>
            </w:tcMar>
            <w:vAlign w:val="center"/>
            <w:hideMark/>
          </w:tcPr>
          <w:p w14:paraId="7CCBD237"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eastAsia="宋体" w:cs="Times New Roman"/>
                <w:color w:val="000000" w:themeColor="text1"/>
                <w:kern w:val="24"/>
                <w:sz w:val="21"/>
                <w:szCs w:val="21"/>
              </w:rPr>
              <w:t>THG’’</w:t>
            </w:r>
          </w:p>
        </w:tc>
        <w:tc>
          <w:tcPr>
            <w:tcW w:w="1127" w:type="dxa"/>
            <w:tcBorders>
              <w:top w:val="nil"/>
              <w:left w:val="nil"/>
              <w:bottom w:val="nil"/>
              <w:right w:val="nil"/>
            </w:tcBorders>
            <w:shd w:val="clear" w:color="auto" w:fill="auto"/>
            <w:tcMar>
              <w:top w:w="72" w:type="dxa"/>
              <w:left w:w="144" w:type="dxa"/>
              <w:bottom w:w="72" w:type="dxa"/>
              <w:right w:w="144" w:type="dxa"/>
            </w:tcMar>
            <w:vAlign w:val="center"/>
            <w:hideMark/>
          </w:tcPr>
          <w:p w14:paraId="324C7B72"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2×10</w:t>
            </w:r>
            <w:r w:rsidRPr="00D202E4">
              <w:rPr>
                <w:rFonts w:cs="Times New Roman"/>
                <w:color w:val="000000" w:themeColor="text1"/>
                <w:kern w:val="24"/>
                <w:position w:val="6"/>
                <w:sz w:val="21"/>
                <w:szCs w:val="21"/>
                <w:vertAlign w:val="superscript"/>
              </w:rPr>
              <w:t>4</w:t>
            </w:r>
            <w:r w:rsidRPr="00D202E4">
              <w:rPr>
                <w:rFonts w:cs="Times New Roman"/>
                <w:color w:val="000000" w:themeColor="text1"/>
                <w:kern w:val="24"/>
                <w:sz w:val="21"/>
                <w:szCs w:val="21"/>
              </w:rPr>
              <w:t xml:space="preserve"> </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3B289AC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33.3</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1FC7BB3D"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26.2</w:t>
            </w:r>
          </w:p>
        </w:tc>
        <w:tc>
          <w:tcPr>
            <w:tcW w:w="1136" w:type="dxa"/>
            <w:tcBorders>
              <w:top w:val="nil"/>
              <w:left w:val="nil"/>
              <w:bottom w:val="nil"/>
              <w:right w:val="nil"/>
            </w:tcBorders>
            <w:shd w:val="clear" w:color="auto" w:fill="auto"/>
            <w:tcMar>
              <w:top w:w="72" w:type="dxa"/>
              <w:left w:w="144" w:type="dxa"/>
              <w:bottom w:w="72" w:type="dxa"/>
              <w:right w:w="144" w:type="dxa"/>
            </w:tcMar>
            <w:vAlign w:val="center"/>
            <w:hideMark/>
          </w:tcPr>
          <w:p w14:paraId="4C66C3F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476.5</w:t>
            </w:r>
          </w:p>
        </w:tc>
        <w:tc>
          <w:tcPr>
            <w:tcW w:w="1128" w:type="dxa"/>
            <w:tcBorders>
              <w:top w:val="nil"/>
              <w:left w:val="nil"/>
              <w:bottom w:val="nil"/>
              <w:right w:val="nil"/>
            </w:tcBorders>
            <w:shd w:val="clear" w:color="auto" w:fill="auto"/>
            <w:tcMar>
              <w:top w:w="72" w:type="dxa"/>
              <w:left w:w="144" w:type="dxa"/>
              <w:bottom w:w="72" w:type="dxa"/>
              <w:right w:w="144" w:type="dxa"/>
            </w:tcMar>
            <w:vAlign w:val="center"/>
            <w:hideMark/>
          </w:tcPr>
          <w:p w14:paraId="1D77B18B"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65.0</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13E2F5CB"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17.6</w:t>
            </w:r>
          </w:p>
        </w:tc>
      </w:tr>
      <w:tr w:rsidR="009E2C9C" w:rsidRPr="00D202E4" w14:paraId="3ED7027D" w14:textId="77777777" w:rsidTr="0099483A">
        <w:trPr>
          <w:trHeight w:val="283"/>
          <w:jc w:val="center"/>
        </w:trPr>
        <w:tc>
          <w:tcPr>
            <w:tcW w:w="1419" w:type="dxa"/>
            <w:tcBorders>
              <w:top w:val="nil"/>
              <w:left w:val="nil"/>
              <w:bottom w:val="nil"/>
              <w:right w:val="nil"/>
            </w:tcBorders>
            <w:shd w:val="clear" w:color="auto" w:fill="auto"/>
            <w:tcMar>
              <w:top w:w="72" w:type="dxa"/>
              <w:left w:w="144" w:type="dxa"/>
              <w:bottom w:w="72" w:type="dxa"/>
              <w:right w:w="144" w:type="dxa"/>
            </w:tcMar>
            <w:vAlign w:val="center"/>
            <w:hideMark/>
          </w:tcPr>
          <w:p w14:paraId="5969C57D"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eastAsia="宋体" w:cs="Times New Roman"/>
                <w:color w:val="000000" w:themeColor="text1"/>
                <w:kern w:val="24"/>
                <w:sz w:val="21"/>
                <w:szCs w:val="21"/>
              </w:rPr>
              <w:t>HBP/PBA</w:t>
            </w:r>
          </w:p>
        </w:tc>
        <w:tc>
          <w:tcPr>
            <w:tcW w:w="1127" w:type="dxa"/>
            <w:tcBorders>
              <w:top w:val="nil"/>
              <w:left w:val="nil"/>
              <w:bottom w:val="nil"/>
              <w:right w:val="nil"/>
            </w:tcBorders>
            <w:shd w:val="clear" w:color="auto" w:fill="auto"/>
            <w:tcMar>
              <w:top w:w="72" w:type="dxa"/>
              <w:left w:w="144" w:type="dxa"/>
              <w:bottom w:w="72" w:type="dxa"/>
              <w:right w:w="144" w:type="dxa"/>
            </w:tcMar>
            <w:vAlign w:val="center"/>
            <w:hideMark/>
          </w:tcPr>
          <w:p w14:paraId="49CA2546"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2×10</w:t>
            </w:r>
            <w:r w:rsidRPr="00D202E4">
              <w:rPr>
                <w:rFonts w:cs="Times New Roman"/>
                <w:color w:val="000000" w:themeColor="text1"/>
                <w:kern w:val="24"/>
                <w:position w:val="6"/>
                <w:sz w:val="21"/>
                <w:szCs w:val="21"/>
                <w:vertAlign w:val="superscript"/>
              </w:rPr>
              <w:t>5</w:t>
            </w:r>
            <w:r w:rsidRPr="00D202E4">
              <w:rPr>
                <w:rFonts w:cs="Times New Roman"/>
                <w:color w:val="000000" w:themeColor="text1"/>
                <w:kern w:val="24"/>
                <w:sz w:val="21"/>
                <w:szCs w:val="21"/>
              </w:rPr>
              <w:t xml:space="preserve"> </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6B04D89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61.0</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33F6748C"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44.2</w:t>
            </w:r>
          </w:p>
        </w:tc>
        <w:tc>
          <w:tcPr>
            <w:tcW w:w="1136" w:type="dxa"/>
            <w:tcBorders>
              <w:top w:val="nil"/>
              <w:left w:val="nil"/>
              <w:bottom w:val="nil"/>
              <w:right w:val="nil"/>
            </w:tcBorders>
            <w:shd w:val="clear" w:color="auto" w:fill="auto"/>
            <w:tcMar>
              <w:top w:w="72" w:type="dxa"/>
              <w:left w:w="144" w:type="dxa"/>
              <w:bottom w:w="72" w:type="dxa"/>
              <w:right w:w="144" w:type="dxa"/>
            </w:tcMar>
            <w:vAlign w:val="center"/>
            <w:hideMark/>
          </w:tcPr>
          <w:p w14:paraId="10E1E838"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1206.0</w:t>
            </w:r>
          </w:p>
        </w:tc>
        <w:tc>
          <w:tcPr>
            <w:tcW w:w="1128" w:type="dxa"/>
            <w:tcBorders>
              <w:top w:val="nil"/>
              <w:left w:val="nil"/>
              <w:bottom w:val="nil"/>
              <w:right w:val="nil"/>
            </w:tcBorders>
            <w:shd w:val="clear" w:color="auto" w:fill="auto"/>
            <w:tcMar>
              <w:top w:w="72" w:type="dxa"/>
              <w:left w:w="144" w:type="dxa"/>
              <w:bottom w:w="72" w:type="dxa"/>
              <w:right w:w="144" w:type="dxa"/>
            </w:tcMar>
            <w:vAlign w:val="center"/>
            <w:hideMark/>
          </w:tcPr>
          <w:p w14:paraId="45965927"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72.8</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3E6F879"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33.3</w:t>
            </w:r>
          </w:p>
        </w:tc>
      </w:tr>
      <w:tr w:rsidR="009E2C9C" w:rsidRPr="00D202E4" w14:paraId="7461664F" w14:textId="77777777" w:rsidTr="0099483A">
        <w:trPr>
          <w:trHeight w:val="283"/>
          <w:jc w:val="center"/>
        </w:trPr>
        <w:tc>
          <w:tcPr>
            <w:tcW w:w="1419" w:type="dxa"/>
            <w:tcBorders>
              <w:top w:val="nil"/>
              <w:left w:val="nil"/>
              <w:bottom w:val="nil"/>
              <w:right w:val="nil"/>
            </w:tcBorders>
            <w:shd w:val="clear" w:color="auto" w:fill="auto"/>
            <w:tcMar>
              <w:top w:w="72" w:type="dxa"/>
              <w:left w:w="144" w:type="dxa"/>
              <w:bottom w:w="72" w:type="dxa"/>
              <w:right w:w="144" w:type="dxa"/>
            </w:tcMar>
            <w:vAlign w:val="center"/>
            <w:hideMark/>
          </w:tcPr>
          <w:p w14:paraId="598748A7"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eastAsia="宋体" w:cs="Times New Roman"/>
                <w:color w:val="000000" w:themeColor="text1"/>
                <w:kern w:val="24"/>
                <w:sz w:val="21"/>
                <w:szCs w:val="21"/>
              </w:rPr>
              <w:t>HBP/PBH</w:t>
            </w:r>
          </w:p>
        </w:tc>
        <w:tc>
          <w:tcPr>
            <w:tcW w:w="1127" w:type="dxa"/>
            <w:tcBorders>
              <w:top w:val="nil"/>
              <w:left w:val="nil"/>
              <w:bottom w:val="nil"/>
              <w:right w:val="nil"/>
            </w:tcBorders>
            <w:shd w:val="clear" w:color="auto" w:fill="auto"/>
            <w:tcMar>
              <w:top w:w="72" w:type="dxa"/>
              <w:left w:w="144" w:type="dxa"/>
              <w:bottom w:w="72" w:type="dxa"/>
              <w:right w:w="144" w:type="dxa"/>
            </w:tcMar>
            <w:vAlign w:val="center"/>
            <w:hideMark/>
          </w:tcPr>
          <w:p w14:paraId="35FB274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2×10</w:t>
            </w:r>
            <w:r w:rsidRPr="00D202E4">
              <w:rPr>
                <w:rFonts w:cs="Times New Roman"/>
                <w:color w:val="000000" w:themeColor="text1"/>
                <w:kern w:val="24"/>
                <w:position w:val="6"/>
                <w:sz w:val="21"/>
                <w:szCs w:val="21"/>
                <w:vertAlign w:val="superscript"/>
              </w:rPr>
              <w:t>5</w:t>
            </w:r>
            <w:r w:rsidRPr="00D202E4">
              <w:rPr>
                <w:rFonts w:cs="Times New Roman"/>
                <w:color w:val="000000" w:themeColor="text1"/>
                <w:kern w:val="24"/>
                <w:sz w:val="21"/>
                <w:szCs w:val="21"/>
              </w:rPr>
              <w:t xml:space="preserve"> </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7F1F9FB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2.8</w:t>
            </w:r>
          </w:p>
        </w:tc>
        <w:tc>
          <w:tcPr>
            <w:tcW w:w="1135" w:type="dxa"/>
            <w:tcBorders>
              <w:top w:val="nil"/>
              <w:left w:val="nil"/>
              <w:bottom w:val="nil"/>
              <w:right w:val="nil"/>
            </w:tcBorders>
            <w:shd w:val="clear" w:color="auto" w:fill="auto"/>
            <w:tcMar>
              <w:top w:w="72" w:type="dxa"/>
              <w:left w:w="144" w:type="dxa"/>
              <w:bottom w:w="72" w:type="dxa"/>
              <w:right w:w="144" w:type="dxa"/>
            </w:tcMar>
            <w:vAlign w:val="center"/>
            <w:hideMark/>
          </w:tcPr>
          <w:p w14:paraId="7B403601"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9.8</w:t>
            </w:r>
          </w:p>
        </w:tc>
        <w:tc>
          <w:tcPr>
            <w:tcW w:w="1136" w:type="dxa"/>
            <w:tcBorders>
              <w:top w:val="nil"/>
              <w:left w:val="nil"/>
              <w:bottom w:val="nil"/>
              <w:right w:val="nil"/>
            </w:tcBorders>
            <w:shd w:val="clear" w:color="auto" w:fill="auto"/>
            <w:tcMar>
              <w:top w:w="72" w:type="dxa"/>
              <w:left w:w="144" w:type="dxa"/>
              <w:bottom w:w="72" w:type="dxa"/>
              <w:right w:w="144" w:type="dxa"/>
            </w:tcMar>
            <w:vAlign w:val="center"/>
            <w:hideMark/>
          </w:tcPr>
          <w:p w14:paraId="6964B979"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18.2</w:t>
            </w:r>
          </w:p>
        </w:tc>
        <w:tc>
          <w:tcPr>
            <w:tcW w:w="1128" w:type="dxa"/>
            <w:tcBorders>
              <w:top w:val="nil"/>
              <w:left w:val="nil"/>
              <w:bottom w:val="nil"/>
              <w:right w:val="nil"/>
            </w:tcBorders>
            <w:shd w:val="clear" w:color="auto" w:fill="auto"/>
            <w:tcMar>
              <w:top w:w="72" w:type="dxa"/>
              <w:left w:w="144" w:type="dxa"/>
              <w:bottom w:w="72" w:type="dxa"/>
              <w:right w:w="144" w:type="dxa"/>
            </w:tcMar>
            <w:vAlign w:val="center"/>
            <w:hideMark/>
          </w:tcPr>
          <w:p w14:paraId="582C539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286.6</w:t>
            </w:r>
          </w:p>
        </w:tc>
        <w:tc>
          <w:tcPr>
            <w:tcW w:w="1140" w:type="dxa"/>
            <w:tcBorders>
              <w:top w:val="nil"/>
              <w:left w:val="nil"/>
              <w:bottom w:val="nil"/>
              <w:right w:val="nil"/>
            </w:tcBorders>
            <w:shd w:val="clear" w:color="auto" w:fill="auto"/>
            <w:tcMar>
              <w:top w:w="72" w:type="dxa"/>
              <w:left w:w="144" w:type="dxa"/>
              <w:bottom w:w="72" w:type="dxa"/>
              <w:right w:w="144" w:type="dxa"/>
            </w:tcMar>
            <w:vAlign w:val="center"/>
            <w:hideMark/>
          </w:tcPr>
          <w:p w14:paraId="378E97C6"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21"/>
                <w:szCs w:val="21"/>
              </w:rPr>
            </w:pPr>
            <w:r w:rsidRPr="00D202E4">
              <w:rPr>
                <w:rFonts w:cs="Times New Roman"/>
                <w:color w:val="000000" w:themeColor="text1"/>
                <w:kern w:val="24"/>
                <w:sz w:val="21"/>
                <w:szCs w:val="21"/>
              </w:rPr>
              <w:t>17.4</w:t>
            </w:r>
          </w:p>
        </w:tc>
      </w:tr>
    </w:tbl>
    <w:p w14:paraId="579EEDAB" w14:textId="77777777" w:rsidR="009E2C9C" w:rsidRPr="00D202E4" w:rsidRDefault="009E2C9C" w:rsidP="0099483A">
      <w:pPr>
        <w:ind w:firstLineChars="0" w:firstLine="0"/>
        <w:rPr>
          <w:rFonts w:cs="Times New Roman"/>
          <w:color w:val="000000" w:themeColor="text1"/>
        </w:rPr>
      </w:pPr>
    </w:p>
    <w:p w14:paraId="07109476" w14:textId="77777777" w:rsidR="009E2C9C" w:rsidRPr="00D202E4" w:rsidRDefault="009E2C9C" w:rsidP="0099483A">
      <w:pPr>
        <w:widowControl/>
        <w:spacing w:line="240" w:lineRule="auto"/>
        <w:ind w:firstLineChars="0" w:firstLine="0"/>
        <w:jc w:val="left"/>
        <w:rPr>
          <w:rFonts w:eastAsia="宋体" w:cs="Times New Roman"/>
          <w:color w:val="000000" w:themeColor="text1"/>
          <w:kern w:val="0"/>
          <w:sz w:val="24"/>
          <w:szCs w:val="24"/>
        </w:rPr>
      </w:pPr>
      <w:r w:rsidRPr="00D202E4">
        <w:rPr>
          <w:rFonts w:eastAsia="华文新魏" w:cs="Times New Roman"/>
          <w:color w:val="000000" w:themeColor="text1"/>
          <w:kern w:val="24"/>
          <w:position w:val="6"/>
          <w:sz w:val="24"/>
          <w:szCs w:val="24"/>
          <w:vertAlign w:val="superscript"/>
        </w:rPr>
        <w:t>a</w:t>
      </w:r>
      <w:r w:rsidRPr="00D202E4">
        <w:rPr>
          <w:rFonts w:eastAsia="华文新魏" w:cs="Times New Roman"/>
          <w:color w:val="000000" w:themeColor="text1"/>
          <w:kern w:val="24"/>
          <w:sz w:val="24"/>
          <w:szCs w:val="24"/>
        </w:rPr>
        <w:t>: Mn refers to the number average molecular weight of the linear copolymers in each hybrid.</w:t>
      </w:r>
    </w:p>
    <w:p w14:paraId="221C3674" w14:textId="77777777" w:rsidR="009E2C9C" w:rsidRPr="00D202E4" w:rsidRDefault="009E2C9C" w:rsidP="0099483A">
      <w:pPr>
        <w:widowControl/>
        <w:spacing w:line="240" w:lineRule="auto"/>
        <w:ind w:firstLineChars="0" w:firstLine="400"/>
        <w:jc w:val="left"/>
        <w:rPr>
          <w:rFonts w:eastAsia="宋体" w:cs="Times New Roman"/>
          <w:color w:val="000000" w:themeColor="text1"/>
          <w:kern w:val="0"/>
          <w:sz w:val="24"/>
          <w:szCs w:val="24"/>
        </w:rPr>
      </w:pPr>
    </w:p>
    <w:p w14:paraId="2F61D3D6"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57088E76" w14:textId="77777777" w:rsidR="009E2C9C" w:rsidRPr="00D202E4" w:rsidRDefault="009E2C9C" w:rsidP="0099483A">
      <w:pPr>
        <w:widowControl/>
        <w:spacing w:line="240" w:lineRule="auto"/>
        <w:ind w:firstLineChars="0" w:firstLine="0"/>
        <w:jc w:val="left"/>
        <w:rPr>
          <w:rFonts w:cs="Times New Roman"/>
          <w:color w:val="000000" w:themeColor="text1"/>
        </w:rPr>
      </w:pPr>
      <w:r w:rsidRPr="00D202E4">
        <w:rPr>
          <w:rFonts w:cs="Times New Roman"/>
          <w:color w:val="000000" w:themeColor="text1"/>
        </w:rPr>
        <w:br w:type="page"/>
      </w:r>
    </w:p>
    <w:p w14:paraId="7E4E16E9"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14D1E4E1"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53464582"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49E567CA" w14:textId="4F39E99A" w:rsidR="009E2C9C" w:rsidRPr="00A52938" w:rsidRDefault="00093FC4" w:rsidP="0099483A">
      <w:pPr>
        <w:widowControl/>
        <w:spacing w:line="360" w:lineRule="auto"/>
        <w:ind w:firstLineChars="0" w:firstLine="0"/>
        <w:jc w:val="center"/>
        <w:rPr>
          <w:rFonts w:eastAsia="+mn-ea" w:cs="Times New Roman"/>
          <w:color w:val="000000" w:themeColor="text1"/>
          <w:kern w:val="24"/>
          <w:sz w:val="24"/>
          <w:szCs w:val="24"/>
        </w:rPr>
      </w:pPr>
      <w:r w:rsidRPr="00A52938">
        <w:rPr>
          <w:rFonts w:eastAsia="+mn-ea" w:cs="Times New Roman"/>
          <w:b/>
          <w:bCs/>
          <w:color w:val="000000" w:themeColor="text1"/>
          <w:kern w:val="24"/>
          <w:sz w:val="24"/>
          <w:szCs w:val="24"/>
        </w:rPr>
        <w:t xml:space="preserve">Supplementary </w:t>
      </w:r>
      <w:r w:rsidR="009E2C9C" w:rsidRPr="00A52938">
        <w:rPr>
          <w:rFonts w:eastAsia="+mn-ea" w:cs="Times New Roman"/>
          <w:b/>
          <w:bCs/>
          <w:color w:val="000000" w:themeColor="text1"/>
          <w:kern w:val="24"/>
          <w:sz w:val="24"/>
          <w:szCs w:val="24"/>
        </w:rPr>
        <w:t>T</w:t>
      </w:r>
      <w:r w:rsidR="009E2C9C" w:rsidRPr="00A52938">
        <w:rPr>
          <w:rFonts w:eastAsia="宋体" w:cs="Times New Roman"/>
          <w:b/>
          <w:bCs/>
          <w:color w:val="000000" w:themeColor="text1"/>
          <w:kern w:val="24"/>
          <w:sz w:val="24"/>
          <w:szCs w:val="24"/>
        </w:rPr>
        <w:t>able</w:t>
      </w:r>
      <w:r w:rsidR="009E2C9C" w:rsidRPr="00A52938">
        <w:rPr>
          <w:rFonts w:eastAsia="+mn-ea" w:cs="Times New Roman"/>
          <w:b/>
          <w:bCs/>
          <w:color w:val="000000" w:themeColor="text1"/>
          <w:kern w:val="24"/>
          <w:sz w:val="24"/>
          <w:szCs w:val="24"/>
        </w:rPr>
        <w:t xml:space="preserve"> 3</w:t>
      </w:r>
      <w:r w:rsidR="009E2C9C" w:rsidRPr="00A52938">
        <w:rPr>
          <w:rFonts w:eastAsia="+mn-ea" w:cs="Times New Roman"/>
          <w:color w:val="000000" w:themeColor="text1"/>
          <w:kern w:val="24"/>
          <w:sz w:val="24"/>
          <w:szCs w:val="24"/>
        </w:rPr>
        <w:t xml:space="preserve"> The VFT equation fitted parameters for α relaxation process of THG.</w:t>
      </w:r>
    </w:p>
    <w:tbl>
      <w:tblPr>
        <w:tblW w:w="6200" w:type="dxa"/>
        <w:jc w:val="center"/>
        <w:tblCellMar>
          <w:left w:w="0" w:type="dxa"/>
          <w:right w:w="0" w:type="dxa"/>
        </w:tblCellMar>
        <w:tblLook w:val="0420" w:firstRow="1" w:lastRow="0" w:firstColumn="0" w:lastColumn="0" w:noHBand="0" w:noVBand="1"/>
      </w:tblPr>
      <w:tblGrid>
        <w:gridCol w:w="1550"/>
        <w:gridCol w:w="1548"/>
        <w:gridCol w:w="1549"/>
        <w:gridCol w:w="1553"/>
      </w:tblGrid>
      <w:tr w:rsidR="009E2C9C" w:rsidRPr="00D202E4" w14:paraId="71272DB3" w14:textId="77777777" w:rsidTr="0099483A">
        <w:trPr>
          <w:trHeight w:val="239"/>
          <w:jc w:val="center"/>
        </w:trPr>
        <w:tc>
          <w:tcPr>
            <w:tcW w:w="1560"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00CB88E1" w14:textId="77777777" w:rsidR="009E2C9C" w:rsidRPr="00D202E4" w:rsidRDefault="009E2C9C" w:rsidP="0099483A">
            <w:pPr>
              <w:widowControl/>
              <w:spacing w:line="240" w:lineRule="auto"/>
              <w:ind w:firstLineChars="0" w:firstLine="400"/>
              <w:jc w:val="left"/>
              <w:rPr>
                <w:rFonts w:eastAsia="宋体" w:cs="Times New Roman"/>
                <w:color w:val="000000" w:themeColor="text1"/>
                <w:kern w:val="0"/>
                <w:sz w:val="20"/>
                <w:szCs w:val="24"/>
              </w:rPr>
            </w:pPr>
          </w:p>
        </w:tc>
        <w:tc>
          <w:tcPr>
            <w:tcW w:w="1560"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1B4EC0B6" w14:textId="77777777" w:rsidR="009E2C9C" w:rsidRPr="00D202E4" w:rsidRDefault="009E2C9C" w:rsidP="0099483A">
            <w:pPr>
              <w:widowControl/>
              <w:spacing w:line="240" w:lineRule="auto"/>
              <w:ind w:firstLineChars="0" w:firstLine="0"/>
              <w:jc w:val="left"/>
              <w:rPr>
                <w:rFonts w:eastAsia="Times New Roman" w:cs="Times New Roman"/>
                <w:color w:val="000000" w:themeColor="text1"/>
                <w:kern w:val="0"/>
                <w:sz w:val="20"/>
                <w:szCs w:val="20"/>
              </w:rPr>
            </w:pPr>
          </w:p>
        </w:tc>
        <w:tc>
          <w:tcPr>
            <w:tcW w:w="1560"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3743B699" w14:textId="77777777" w:rsidR="009E2C9C" w:rsidRPr="00D202E4" w:rsidRDefault="009E2C9C" w:rsidP="0099483A">
            <w:pPr>
              <w:widowControl/>
              <w:spacing w:line="240" w:lineRule="auto"/>
              <w:ind w:firstLineChars="0" w:firstLine="0"/>
              <w:jc w:val="left"/>
              <w:rPr>
                <w:rFonts w:eastAsia="Times New Roman" w:cs="Times New Roman"/>
                <w:color w:val="000000" w:themeColor="text1"/>
                <w:kern w:val="0"/>
                <w:sz w:val="20"/>
                <w:szCs w:val="20"/>
              </w:rPr>
            </w:pPr>
          </w:p>
        </w:tc>
        <w:tc>
          <w:tcPr>
            <w:tcW w:w="1560"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3BC0DE91" w14:textId="77777777" w:rsidR="009E2C9C" w:rsidRPr="00D202E4" w:rsidRDefault="009E2C9C" w:rsidP="0099483A">
            <w:pPr>
              <w:widowControl/>
              <w:spacing w:line="240" w:lineRule="auto"/>
              <w:ind w:firstLineChars="0" w:firstLine="0"/>
              <w:jc w:val="left"/>
              <w:rPr>
                <w:rFonts w:eastAsia="Times New Roman" w:cs="Times New Roman"/>
                <w:color w:val="000000" w:themeColor="text1"/>
                <w:kern w:val="0"/>
                <w:sz w:val="20"/>
                <w:szCs w:val="20"/>
              </w:rPr>
            </w:pPr>
          </w:p>
        </w:tc>
      </w:tr>
      <w:tr w:rsidR="009E2C9C" w:rsidRPr="00D202E4" w14:paraId="5E5BB068" w14:textId="77777777" w:rsidTr="0099483A">
        <w:trPr>
          <w:trHeight w:val="576"/>
          <w:jc w:val="center"/>
        </w:trPr>
        <w:tc>
          <w:tcPr>
            <w:tcW w:w="1560" w:type="dxa"/>
            <w:tcBorders>
              <w:top w:val="single" w:sz="1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071121BE"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Ln(</w:t>
            </w:r>
            <w:r w:rsidRPr="00D202E4">
              <w:rPr>
                <w:rFonts w:eastAsia="宋体" w:cs="Times New Roman"/>
                <w:b/>
                <w:bCs/>
                <w:i/>
                <w:iCs/>
                <w:color w:val="000000" w:themeColor="text1"/>
                <w:kern w:val="24"/>
                <w:sz w:val="22"/>
              </w:rPr>
              <w:t>τ</w:t>
            </w:r>
            <w:r w:rsidRPr="00D202E4">
              <w:rPr>
                <w:rFonts w:eastAsia="宋体" w:cs="Times New Roman"/>
                <w:b/>
                <w:bCs/>
                <w:i/>
                <w:iCs/>
                <w:color w:val="000000" w:themeColor="text1"/>
                <w:kern w:val="24"/>
                <w:sz w:val="22"/>
                <w:vertAlign w:val="subscript"/>
              </w:rPr>
              <w:t>0</w:t>
            </w:r>
            <w:r w:rsidRPr="00D202E4">
              <w:rPr>
                <w:rFonts w:eastAsia="宋体" w:cs="Times New Roman"/>
                <w:b/>
                <w:bCs/>
                <w:color w:val="000000" w:themeColor="text1"/>
                <w:kern w:val="24"/>
                <w:sz w:val="22"/>
              </w:rPr>
              <w:t>)</w:t>
            </w:r>
          </w:p>
        </w:tc>
        <w:tc>
          <w:tcPr>
            <w:tcW w:w="1560" w:type="dxa"/>
            <w:tcBorders>
              <w:top w:val="single" w:sz="1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37483749"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B (K)</w:t>
            </w:r>
          </w:p>
        </w:tc>
        <w:tc>
          <w:tcPr>
            <w:tcW w:w="1560" w:type="dxa"/>
            <w:tcBorders>
              <w:top w:val="single" w:sz="1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687DCD60"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b/>
                <w:bCs/>
                <w:color w:val="000000" w:themeColor="text1"/>
                <w:kern w:val="24"/>
                <w:sz w:val="22"/>
              </w:rPr>
              <w:t>T</w:t>
            </w:r>
            <w:r w:rsidRPr="00D202E4">
              <w:rPr>
                <w:rFonts w:eastAsia="宋体" w:cs="Times New Roman"/>
                <w:b/>
                <w:bCs/>
                <w:color w:val="000000" w:themeColor="text1"/>
                <w:kern w:val="24"/>
                <w:sz w:val="22"/>
                <w:vertAlign w:val="subscript"/>
              </w:rPr>
              <w:t>0</w:t>
            </w:r>
            <w:r w:rsidRPr="00D202E4">
              <w:rPr>
                <w:rFonts w:eastAsia="宋体" w:cs="Times New Roman"/>
                <w:b/>
                <w:bCs/>
                <w:color w:val="000000" w:themeColor="text1"/>
                <w:kern w:val="24"/>
                <w:sz w:val="22"/>
              </w:rPr>
              <w:t xml:space="preserve"> (K)</w:t>
            </w:r>
          </w:p>
        </w:tc>
        <w:tc>
          <w:tcPr>
            <w:tcW w:w="1560" w:type="dxa"/>
            <w:tcBorders>
              <w:top w:val="single" w:sz="1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3D3CBE42"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proofErr w:type="spellStart"/>
            <w:r w:rsidRPr="00D202E4">
              <w:rPr>
                <w:rFonts w:eastAsia="宋体" w:cs="Times New Roman"/>
                <w:b/>
                <w:bCs/>
                <w:i/>
                <w:iCs/>
                <w:color w:val="000000" w:themeColor="text1"/>
                <w:kern w:val="24"/>
                <w:sz w:val="22"/>
              </w:rPr>
              <w:t>τ</w:t>
            </w:r>
            <w:r w:rsidRPr="00D202E4">
              <w:rPr>
                <w:rFonts w:eastAsia="宋体" w:cs="Times New Roman"/>
                <w:b/>
                <w:bCs/>
                <w:i/>
                <w:iCs/>
                <w:color w:val="000000" w:themeColor="text1"/>
                <w:kern w:val="24"/>
                <w:sz w:val="22"/>
                <w:vertAlign w:val="subscript"/>
              </w:rPr>
              <w:t>max</w:t>
            </w:r>
            <w:proofErr w:type="spellEnd"/>
            <w:r w:rsidRPr="00D202E4">
              <w:rPr>
                <w:rFonts w:eastAsia="宋体" w:cs="Times New Roman"/>
                <w:b/>
                <w:bCs/>
                <w:color w:val="000000" w:themeColor="text1"/>
                <w:kern w:val="24"/>
                <w:sz w:val="22"/>
              </w:rPr>
              <w:t>(s)</w:t>
            </w:r>
            <w:r w:rsidRPr="00D202E4">
              <w:rPr>
                <w:rFonts w:eastAsia="宋体" w:cs="Times New Roman"/>
                <w:b/>
                <w:bCs/>
                <w:color w:val="000000" w:themeColor="text1"/>
                <w:kern w:val="24"/>
                <w:sz w:val="22"/>
                <w:vertAlign w:val="superscript"/>
              </w:rPr>
              <w:t>a</w:t>
            </w:r>
          </w:p>
        </w:tc>
      </w:tr>
      <w:tr w:rsidR="009E2C9C" w:rsidRPr="00D202E4" w14:paraId="6242DC81" w14:textId="77777777" w:rsidTr="0099483A">
        <w:trPr>
          <w:trHeight w:val="329"/>
          <w:jc w:val="center"/>
        </w:trPr>
        <w:tc>
          <w:tcPr>
            <w:tcW w:w="1560"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7E8B7C17"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-23.4 ± 0.1</w:t>
            </w:r>
          </w:p>
        </w:tc>
        <w:tc>
          <w:tcPr>
            <w:tcW w:w="1560"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4824774A"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1373 ± 9</w:t>
            </w:r>
          </w:p>
        </w:tc>
        <w:tc>
          <w:tcPr>
            <w:tcW w:w="1560"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3A013251"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265.7 ± 0.2</w:t>
            </w:r>
          </w:p>
        </w:tc>
        <w:tc>
          <w:tcPr>
            <w:tcW w:w="1560"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5AF41E7F" w14:textId="77777777" w:rsidR="009E2C9C" w:rsidRPr="00D202E4" w:rsidRDefault="009E2C9C" w:rsidP="0099483A">
            <w:pPr>
              <w:widowControl/>
              <w:spacing w:line="240" w:lineRule="auto"/>
              <w:ind w:firstLineChars="0" w:firstLine="0"/>
              <w:jc w:val="center"/>
              <w:rPr>
                <w:rFonts w:eastAsia="宋体" w:cs="Times New Roman"/>
                <w:color w:val="000000" w:themeColor="text1"/>
                <w:kern w:val="0"/>
                <w:sz w:val="36"/>
                <w:szCs w:val="36"/>
              </w:rPr>
            </w:pPr>
            <w:r w:rsidRPr="00D202E4">
              <w:rPr>
                <w:rFonts w:eastAsia="宋体" w:cs="Times New Roman"/>
                <w:color w:val="000000" w:themeColor="text1"/>
                <w:kern w:val="24"/>
                <w:sz w:val="21"/>
                <w:szCs w:val="21"/>
              </w:rPr>
              <w:t>1.63×10</w:t>
            </w:r>
            <w:r w:rsidRPr="00D202E4">
              <w:rPr>
                <w:rFonts w:eastAsia="宋体" w:cs="Times New Roman"/>
                <w:color w:val="000000" w:themeColor="text1"/>
                <w:kern w:val="24"/>
                <w:sz w:val="21"/>
                <w:szCs w:val="21"/>
                <w:vertAlign w:val="superscript"/>
              </w:rPr>
              <w:t>8</w:t>
            </w:r>
          </w:p>
        </w:tc>
      </w:tr>
    </w:tbl>
    <w:p w14:paraId="3A12300F" w14:textId="77777777" w:rsidR="009E2C9C" w:rsidRPr="00D202E4" w:rsidRDefault="009E2C9C" w:rsidP="0099483A">
      <w:pPr>
        <w:widowControl/>
        <w:spacing w:line="360" w:lineRule="auto"/>
        <w:ind w:firstLineChars="0" w:firstLine="0"/>
        <w:jc w:val="center"/>
        <w:rPr>
          <w:rFonts w:eastAsia="宋体" w:cs="Times New Roman"/>
          <w:color w:val="000000" w:themeColor="text1"/>
          <w:kern w:val="0"/>
          <w:sz w:val="24"/>
          <w:szCs w:val="24"/>
        </w:rPr>
      </w:pPr>
    </w:p>
    <w:p w14:paraId="66CA7834" w14:textId="77777777" w:rsidR="009E2C9C" w:rsidRPr="00D202E4" w:rsidRDefault="009E2C9C" w:rsidP="0099483A">
      <w:pPr>
        <w:widowControl/>
        <w:spacing w:line="240" w:lineRule="auto"/>
        <w:ind w:firstLineChars="0" w:firstLine="0"/>
        <w:rPr>
          <w:rFonts w:eastAsia="宋体" w:cs="Times New Roman"/>
          <w:color w:val="000000" w:themeColor="text1"/>
          <w:kern w:val="0"/>
          <w:sz w:val="24"/>
          <w:szCs w:val="24"/>
        </w:rPr>
      </w:pPr>
    </w:p>
    <w:p w14:paraId="00724B0C" w14:textId="77777777" w:rsidR="009E2C9C" w:rsidRPr="00D202E4" w:rsidRDefault="009E2C9C" w:rsidP="0099483A">
      <w:pPr>
        <w:widowControl/>
        <w:spacing w:line="240" w:lineRule="auto"/>
        <w:ind w:firstLineChars="0" w:firstLine="400"/>
        <w:jc w:val="left"/>
        <w:rPr>
          <w:rFonts w:eastAsia="华文新魏" w:cs="Times New Roman"/>
          <w:color w:val="000000" w:themeColor="text1"/>
          <w:kern w:val="24"/>
          <w:sz w:val="24"/>
          <w:szCs w:val="24"/>
        </w:rPr>
      </w:pPr>
      <w:r w:rsidRPr="00D202E4">
        <w:rPr>
          <w:rFonts w:eastAsia="华文新魏" w:cs="Times New Roman"/>
          <w:color w:val="000000" w:themeColor="text1"/>
          <w:kern w:val="24"/>
          <w:position w:val="6"/>
          <w:sz w:val="24"/>
          <w:szCs w:val="24"/>
          <w:vertAlign w:val="superscript"/>
        </w:rPr>
        <w:t>a</w:t>
      </w:r>
      <w:r w:rsidRPr="00D202E4">
        <w:rPr>
          <w:rFonts w:eastAsia="华文新魏" w:cs="Times New Roman"/>
          <w:color w:val="000000" w:themeColor="text1"/>
          <w:kern w:val="24"/>
          <w:sz w:val="24"/>
          <w:szCs w:val="24"/>
        </w:rPr>
        <w:t>: The average relaxation time of α relaxation at 25 °C.</w:t>
      </w:r>
    </w:p>
    <w:p w14:paraId="3BB5AAE8" w14:textId="77777777" w:rsidR="009E2C9C" w:rsidRPr="00D202E4" w:rsidRDefault="009E2C9C" w:rsidP="0099483A">
      <w:pPr>
        <w:widowControl/>
        <w:spacing w:line="240" w:lineRule="auto"/>
        <w:ind w:firstLineChars="0" w:firstLine="0"/>
        <w:jc w:val="left"/>
        <w:rPr>
          <w:rFonts w:cs="Times New Roman"/>
          <w:color w:val="000000" w:themeColor="text1"/>
        </w:rPr>
      </w:pPr>
    </w:p>
    <w:p w14:paraId="436A4BD1" w14:textId="1A85D348" w:rsidR="009E2C9C" w:rsidRPr="00D202E4" w:rsidRDefault="009E2C9C" w:rsidP="0099483A">
      <w:pPr>
        <w:widowControl/>
        <w:spacing w:line="240" w:lineRule="auto"/>
        <w:ind w:firstLineChars="0" w:firstLine="0"/>
        <w:jc w:val="left"/>
        <w:rPr>
          <w:rFonts w:eastAsia="黑体" w:cs="Times New Roman"/>
          <w:b/>
          <w:bCs/>
          <w:color w:val="000000" w:themeColor="text1"/>
          <w:kern w:val="44"/>
          <w:sz w:val="32"/>
          <w:szCs w:val="24"/>
        </w:rPr>
      </w:pPr>
      <w:r w:rsidRPr="00D202E4">
        <w:rPr>
          <w:rFonts w:cs="Times New Roman"/>
          <w:color w:val="000000" w:themeColor="text1"/>
        </w:rPr>
        <w:br w:type="page"/>
      </w:r>
    </w:p>
    <w:p w14:paraId="5FEB6571" w14:textId="1C09CB69" w:rsidR="009E2C9C" w:rsidRPr="00D202E4" w:rsidRDefault="00093FC4" w:rsidP="0099483A">
      <w:pPr>
        <w:pStyle w:val="ad"/>
        <w:tabs>
          <w:tab w:val="left" w:pos="6105"/>
        </w:tabs>
        <w:spacing w:before="240"/>
        <w:rPr>
          <w:color w:val="000000" w:themeColor="text1"/>
        </w:rPr>
      </w:pPr>
      <w:bookmarkStart w:id="16" w:name="_Toc111924623"/>
      <w:r w:rsidRPr="00093FC4">
        <w:rPr>
          <w:color w:val="000000" w:themeColor="text1"/>
        </w:rPr>
        <w:lastRenderedPageBreak/>
        <w:t>Supplementary</w:t>
      </w:r>
      <w:r w:rsidRPr="00093FC4">
        <w:rPr>
          <w:color w:val="000000" w:themeColor="text1"/>
        </w:rPr>
        <w:t xml:space="preserve"> </w:t>
      </w:r>
      <w:r w:rsidR="009E2C9C" w:rsidRPr="00D202E4">
        <w:rPr>
          <w:color w:val="000000" w:themeColor="text1"/>
        </w:rPr>
        <w:t>References</w:t>
      </w:r>
      <w:bookmarkEnd w:id="16"/>
      <w:r w:rsidR="009E2C9C" w:rsidRPr="00D202E4">
        <w:rPr>
          <w:color w:val="000000" w:themeColor="text1"/>
        </w:rPr>
        <w:tab/>
      </w:r>
    </w:p>
    <w:p w14:paraId="0DFCB93F" w14:textId="77777777" w:rsidR="00C360AF" w:rsidRPr="00742582" w:rsidRDefault="00C360AF" w:rsidP="00742582">
      <w:pPr>
        <w:ind w:firstLineChars="0" w:firstLine="0"/>
        <w:rPr>
          <w:rFonts w:hint="eastAsia"/>
          <w:sz w:val="24"/>
          <w:szCs w:val="24"/>
        </w:rPr>
      </w:pPr>
    </w:p>
    <w:p w14:paraId="70CC7249" w14:textId="4E6CF10D" w:rsidR="00742582" w:rsidRPr="00742582" w:rsidRDefault="00C360AF" w:rsidP="00742582">
      <w:pPr>
        <w:pStyle w:val="EndNoteBibliography"/>
        <w:spacing w:line="400" w:lineRule="exact"/>
        <w:ind w:left="480" w:hangingChars="200" w:hanging="480"/>
        <w:rPr>
          <w:rFonts w:hint="eastAsia"/>
          <w:sz w:val="24"/>
          <w:szCs w:val="24"/>
        </w:rPr>
      </w:pPr>
      <w:r w:rsidRPr="00742582">
        <w:rPr>
          <w:sz w:val="24"/>
          <w:szCs w:val="24"/>
        </w:rPr>
        <w:fldChar w:fldCharType="begin"/>
      </w:r>
      <w:r w:rsidRPr="00742582">
        <w:rPr>
          <w:sz w:val="24"/>
          <w:szCs w:val="24"/>
        </w:rPr>
        <w:instrText xml:space="preserve"> ADDIN EN.REFLIST </w:instrText>
      </w:r>
      <w:r w:rsidRPr="00742582">
        <w:rPr>
          <w:sz w:val="24"/>
          <w:szCs w:val="24"/>
        </w:rPr>
        <w:fldChar w:fldCharType="separate"/>
      </w:r>
      <w:r w:rsidR="00742582" w:rsidRPr="00742582">
        <w:rPr>
          <w:sz w:val="24"/>
          <w:szCs w:val="24"/>
        </w:rPr>
        <w:t>1.</w:t>
      </w:r>
      <w:r w:rsidR="00742582" w:rsidRPr="00742582">
        <w:rPr>
          <w:sz w:val="24"/>
          <w:szCs w:val="24"/>
        </w:rPr>
        <w:tab/>
        <w:t xml:space="preserve">Jia Z, Chen H, Zhu X, Yan D. Backbone-thermoresponsive hyperbranched polyethers. </w:t>
      </w:r>
      <w:r w:rsidR="00742582" w:rsidRPr="00742582">
        <w:rPr>
          <w:i/>
          <w:sz w:val="24"/>
          <w:szCs w:val="24"/>
        </w:rPr>
        <w:t>Journal of the American Chemical Society</w:t>
      </w:r>
      <w:r w:rsidR="00742582" w:rsidRPr="00742582">
        <w:rPr>
          <w:sz w:val="24"/>
          <w:szCs w:val="24"/>
        </w:rPr>
        <w:t xml:space="preserve"> </w:t>
      </w:r>
      <w:r w:rsidR="00742582" w:rsidRPr="00742582">
        <w:rPr>
          <w:b/>
          <w:sz w:val="24"/>
          <w:szCs w:val="24"/>
        </w:rPr>
        <w:t>128</w:t>
      </w:r>
      <w:r w:rsidR="00742582" w:rsidRPr="00742582">
        <w:rPr>
          <w:sz w:val="24"/>
          <w:szCs w:val="24"/>
        </w:rPr>
        <w:t>, 8144-8145 (2006).</w:t>
      </w:r>
    </w:p>
    <w:p w14:paraId="036473F8" w14:textId="44685823"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2.</w:t>
      </w:r>
      <w:r w:rsidRPr="00742582">
        <w:rPr>
          <w:sz w:val="24"/>
          <w:szCs w:val="24"/>
        </w:rPr>
        <w:tab/>
        <w:t xml:space="preserve">Kansy J. Microcomputer program for analysis of positron annihilation lifetime spectra. </w:t>
      </w:r>
      <w:r w:rsidRPr="00742582">
        <w:rPr>
          <w:i/>
          <w:sz w:val="24"/>
          <w:szCs w:val="24"/>
        </w:rPr>
        <w:t>Nuclear Instruments and Methods in Physics Research Section A: Accelerators, Spectrometers, Detectors and Associated Equipment</w:t>
      </w:r>
      <w:r w:rsidRPr="00742582">
        <w:rPr>
          <w:sz w:val="24"/>
          <w:szCs w:val="24"/>
        </w:rPr>
        <w:t xml:space="preserve"> </w:t>
      </w:r>
      <w:r w:rsidRPr="00742582">
        <w:rPr>
          <w:b/>
          <w:sz w:val="24"/>
          <w:szCs w:val="24"/>
        </w:rPr>
        <w:t>374</w:t>
      </w:r>
      <w:r w:rsidRPr="00742582">
        <w:rPr>
          <w:sz w:val="24"/>
          <w:szCs w:val="24"/>
        </w:rPr>
        <w:t>, 235-244 (1996).</w:t>
      </w:r>
    </w:p>
    <w:p w14:paraId="01460C3A" w14:textId="720A1D70"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3.</w:t>
      </w:r>
      <w:r w:rsidRPr="00742582">
        <w:rPr>
          <w:sz w:val="24"/>
          <w:szCs w:val="24"/>
        </w:rPr>
        <w:tab/>
        <w:t xml:space="preserve">Tao S. Positronium annihilation in molecular substances. </w:t>
      </w:r>
      <w:r w:rsidRPr="00742582">
        <w:rPr>
          <w:i/>
          <w:sz w:val="24"/>
          <w:szCs w:val="24"/>
        </w:rPr>
        <w:t>The Journal of Chemical Physics</w:t>
      </w:r>
      <w:r w:rsidRPr="00742582">
        <w:rPr>
          <w:sz w:val="24"/>
          <w:szCs w:val="24"/>
        </w:rPr>
        <w:t xml:space="preserve"> </w:t>
      </w:r>
      <w:r w:rsidRPr="00742582">
        <w:rPr>
          <w:b/>
          <w:sz w:val="24"/>
          <w:szCs w:val="24"/>
        </w:rPr>
        <w:t>56</w:t>
      </w:r>
      <w:r w:rsidRPr="00742582">
        <w:rPr>
          <w:sz w:val="24"/>
          <w:szCs w:val="24"/>
        </w:rPr>
        <w:t>, 5499-5510 (1972).</w:t>
      </w:r>
    </w:p>
    <w:p w14:paraId="3F8D11C3" w14:textId="09185304"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4.</w:t>
      </w:r>
      <w:r w:rsidRPr="00742582">
        <w:rPr>
          <w:sz w:val="24"/>
          <w:szCs w:val="24"/>
        </w:rPr>
        <w:tab/>
        <w:t xml:space="preserve">Sun B, Lin Y, Wu P, Siesler HW. A FTIR and 2D-IR spectroscopic study on the microdynamics phase separation mechanism of the poly (N-isopropylacrylamide) aqueous solution. </w:t>
      </w:r>
      <w:r w:rsidRPr="00742582">
        <w:rPr>
          <w:i/>
          <w:sz w:val="24"/>
          <w:szCs w:val="24"/>
        </w:rPr>
        <w:t>Macromolecules</w:t>
      </w:r>
      <w:r w:rsidRPr="00742582">
        <w:rPr>
          <w:sz w:val="24"/>
          <w:szCs w:val="24"/>
        </w:rPr>
        <w:t xml:space="preserve"> </w:t>
      </w:r>
      <w:r w:rsidRPr="00742582">
        <w:rPr>
          <w:b/>
          <w:sz w:val="24"/>
          <w:szCs w:val="24"/>
        </w:rPr>
        <w:t>41</w:t>
      </w:r>
      <w:r w:rsidRPr="00742582">
        <w:rPr>
          <w:sz w:val="24"/>
          <w:szCs w:val="24"/>
        </w:rPr>
        <w:t>, 1512-1520 (2008).</w:t>
      </w:r>
    </w:p>
    <w:p w14:paraId="68E913AF" w14:textId="053587B7"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5.</w:t>
      </w:r>
      <w:r w:rsidRPr="00742582">
        <w:rPr>
          <w:sz w:val="24"/>
          <w:szCs w:val="24"/>
        </w:rPr>
        <w:tab/>
        <w:t xml:space="preserve">Sun S-t, Wu P-y. Spectral insights into microdynamics of thermoresponsive polymers from the perspective of two-dimensional correlation spectroscopy. </w:t>
      </w:r>
      <w:r w:rsidRPr="00742582">
        <w:rPr>
          <w:i/>
          <w:sz w:val="24"/>
          <w:szCs w:val="24"/>
        </w:rPr>
        <w:t>Chinese Journal of Polymer Science</w:t>
      </w:r>
      <w:r w:rsidRPr="00742582">
        <w:rPr>
          <w:sz w:val="24"/>
          <w:szCs w:val="24"/>
        </w:rPr>
        <w:t xml:space="preserve"> </w:t>
      </w:r>
      <w:r w:rsidRPr="00742582">
        <w:rPr>
          <w:b/>
          <w:sz w:val="24"/>
          <w:szCs w:val="24"/>
        </w:rPr>
        <w:t>35</w:t>
      </w:r>
      <w:r w:rsidRPr="00742582">
        <w:rPr>
          <w:sz w:val="24"/>
          <w:szCs w:val="24"/>
        </w:rPr>
        <w:t>, 700-712 (2017).</w:t>
      </w:r>
    </w:p>
    <w:p w14:paraId="614A51B0" w14:textId="71A420FD"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6.</w:t>
      </w:r>
      <w:r w:rsidRPr="00742582">
        <w:rPr>
          <w:sz w:val="24"/>
          <w:szCs w:val="24"/>
        </w:rPr>
        <w:tab/>
        <w:t xml:space="preserve">Morita S, Shinzawa H, Noda I, Ozaki Y. Perturbation-correlation moving-window two-dimensional correlation spectroscopy. </w:t>
      </w:r>
      <w:r w:rsidRPr="00742582">
        <w:rPr>
          <w:i/>
          <w:sz w:val="24"/>
          <w:szCs w:val="24"/>
        </w:rPr>
        <w:t>Applied spectroscopy</w:t>
      </w:r>
      <w:r w:rsidRPr="00742582">
        <w:rPr>
          <w:sz w:val="24"/>
          <w:szCs w:val="24"/>
        </w:rPr>
        <w:t xml:space="preserve"> </w:t>
      </w:r>
      <w:r w:rsidRPr="00742582">
        <w:rPr>
          <w:b/>
          <w:sz w:val="24"/>
          <w:szCs w:val="24"/>
        </w:rPr>
        <w:t>60</w:t>
      </w:r>
      <w:r w:rsidRPr="00742582">
        <w:rPr>
          <w:sz w:val="24"/>
          <w:szCs w:val="24"/>
        </w:rPr>
        <w:t>, 398-406 (2006).</w:t>
      </w:r>
    </w:p>
    <w:p w14:paraId="50278D1F" w14:textId="40927BE0"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7.</w:t>
      </w:r>
      <w:r w:rsidRPr="00742582">
        <w:rPr>
          <w:sz w:val="24"/>
          <w:szCs w:val="24"/>
        </w:rPr>
        <w:tab/>
        <w:t xml:space="preserve">Sun M, Pejanović S, Mijović J. Dynamics of deoxyribonucleic acid solutions as studied by dielectric relaxation spectroscopy and dynamic mechanical spectroscopy. </w:t>
      </w:r>
      <w:r w:rsidRPr="00742582">
        <w:rPr>
          <w:i/>
          <w:sz w:val="24"/>
          <w:szCs w:val="24"/>
        </w:rPr>
        <w:t>Macromolecules</w:t>
      </w:r>
      <w:r w:rsidRPr="00742582">
        <w:rPr>
          <w:sz w:val="24"/>
          <w:szCs w:val="24"/>
        </w:rPr>
        <w:t xml:space="preserve"> </w:t>
      </w:r>
      <w:r w:rsidRPr="00742582">
        <w:rPr>
          <w:b/>
          <w:sz w:val="24"/>
          <w:szCs w:val="24"/>
        </w:rPr>
        <w:t>38</w:t>
      </w:r>
      <w:r w:rsidRPr="00742582">
        <w:rPr>
          <w:sz w:val="24"/>
          <w:szCs w:val="24"/>
        </w:rPr>
        <w:t>, 9854-9864 (2005).</w:t>
      </w:r>
    </w:p>
    <w:p w14:paraId="2B454E49" w14:textId="4EA724DA"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8.</w:t>
      </w:r>
      <w:r w:rsidRPr="00742582">
        <w:rPr>
          <w:sz w:val="24"/>
          <w:szCs w:val="24"/>
        </w:rPr>
        <w:tab/>
        <w:t xml:space="preserve">Diaz-Calleja R. Comment on the maximum in the loss permittivity for the Havriliak− Negami equation. </w:t>
      </w:r>
      <w:r w:rsidRPr="00742582">
        <w:rPr>
          <w:i/>
          <w:sz w:val="24"/>
          <w:szCs w:val="24"/>
        </w:rPr>
        <w:t>Macromolecules</w:t>
      </w:r>
      <w:r w:rsidRPr="00742582">
        <w:rPr>
          <w:sz w:val="24"/>
          <w:szCs w:val="24"/>
        </w:rPr>
        <w:t xml:space="preserve"> </w:t>
      </w:r>
      <w:r w:rsidRPr="00742582">
        <w:rPr>
          <w:b/>
          <w:sz w:val="24"/>
          <w:szCs w:val="24"/>
        </w:rPr>
        <w:t>33</w:t>
      </w:r>
      <w:r w:rsidRPr="00742582">
        <w:rPr>
          <w:sz w:val="24"/>
          <w:szCs w:val="24"/>
        </w:rPr>
        <w:t>, 8924-8924 (2000).</w:t>
      </w:r>
    </w:p>
    <w:p w14:paraId="46D632B9" w14:textId="7D3DAF49"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9.</w:t>
      </w:r>
      <w:r w:rsidRPr="00742582">
        <w:rPr>
          <w:sz w:val="24"/>
          <w:szCs w:val="24"/>
        </w:rPr>
        <w:tab/>
        <w:t xml:space="preserve">Boersma A, Van Turnhout J, Wübbenhorst M. Dielectric characterization of a thermotropic liquid crystalline copolyesteramide: 1. Relaxation peak assignment. </w:t>
      </w:r>
      <w:r w:rsidRPr="00742582">
        <w:rPr>
          <w:i/>
          <w:sz w:val="24"/>
          <w:szCs w:val="24"/>
        </w:rPr>
        <w:t>Macromolecules</w:t>
      </w:r>
      <w:r w:rsidRPr="00742582">
        <w:rPr>
          <w:sz w:val="24"/>
          <w:szCs w:val="24"/>
        </w:rPr>
        <w:t xml:space="preserve"> </w:t>
      </w:r>
      <w:r w:rsidRPr="00742582">
        <w:rPr>
          <w:b/>
          <w:sz w:val="24"/>
          <w:szCs w:val="24"/>
        </w:rPr>
        <w:t>31</w:t>
      </w:r>
      <w:r w:rsidRPr="00742582">
        <w:rPr>
          <w:sz w:val="24"/>
          <w:szCs w:val="24"/>
        </w:rPr>
        <w:t>, 7453-7460 (1998).</w:t>
      </w:r>
    </w:p>
    <w:p w14:paraId="4C4E18C5" w14:textId="427A7988"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10.</w:t>
      </w:r>
      <w:r w:rsidRPr="00742582">
        <w:rPr>
          <w:sz w:val="24"/>
          <w:szCs w:val="24"/>
        </w:rPr>
        <w:tab/>
        <w:t xml:space="preserve">Tang Z, Zhang L, Feng W, Guo B, Liu F, Jia D. Rational design of graphene surface chemistry for high-performance rubber/graphene composites. </w:t>
      </w:r>
      <w:r w:rsidRPr="00742582">
        <w:rPr>
          <w:i/>
          <w:sz w:val="24"/>
          <w:szCs w:val="24"/>
        </w:rPr>
        <w:t>Macromolecules</w:t>
      </w:r>
      <w:r w:rsidRPr="00742582">
        <w:rPr>
          <w:sz w:val="24"/>
          <w:szCs w:val="24"/>
        </w:rPr>
        <w:t xml:space="preserve"> </w:t>
      </w:r>
      <w:r w:rsidRPr="00742582">
        <w:rPr>
          <w:b/>
          <w:sz w:val="24"/>
          <w:szCs w:val="24"/>
        </w:rPr>
        <w:t>47</w:t>
      </w:r>
      <w:r w:rsidRPr="00742582">
        <w:rPr>
          <w:sz w:val="24"/>
          <w:szCs w:val="24"/>
        </w:rPr>
        <w:t>, 8663-8673 (2014).</w:t>
      </w:r>
    </w:p>
    <w:p w14:paraId="261DC79A" w14:textId="6F95338A"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11.</w:t>
      </w:r>
      <w:r w:rsidRPr="00742582">
        <w:rPr>
          <w:sz w:val="24"/>
          <w:szCs w:val="24"/>
        </w:rPr>
        <w:tab/>
        <w:t>Ortiz-Serna P</w:t>
      </w:r>
      <w:r w:rsidRPr="00742582">
        <w:rPr>
          <w:i/>
          <w:sz w:val="24"/>
          <w:szCs w:val="24"/>
        </w:rPr>
        <w:t>, et al.</w:t>
      </w:r>
      <w:r w:rsidRPr="00742582">
        <w:rPr>
          <w:sz w:val="24"/>
          <w:szCs w:val="24"/>
        </w:rPr>
        <w:t xml:space="preserve"> Dynamics of natural rubber as a function of frequency, temperature, and pressure. A dielectric spectroscopy investigation. </w:t>
      </w:r>
      <w:r w:rsidRPr="00742582">
        <w:rPr>
          <w:i/>
          <w:sz w:val="24"/>
          <w:szCs w:val="24"/>
        </w:rPr>
        <w:t>Macromolecules</w:t>
      </w:r>
      <w:r w:rsidRPr="00742582">
        <w:rPr>
          <w:sz w:val="24"/>
          <w:szCs w:val="24"/>
        </w:rPr>
        <w:t xml:space="preserve"> </w:t>
      </w:r>
      <w:r w:rsidRPr="00742582">
        <w:rPr>
          <w:b/>
          <w:sz w:val="24"/>
          <w:szCs w:val="24"/>
        </w:rPr>
        <w:t>43</w:t>
      </w:r>
      <w:r w:rsidRPr="00742582">
        <w:rPr>
          <w:sz w:val="24"/>
          <w:szCs w:val="24"/>
        </w:rPr>
        <w:t>, 5094-5102 (2010).</w:t>
      </w:r>
    </w:p>
    <w:p w14:paraId="7F8267E8" w14:textId="49E72CDE"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12.</w:t>
      </w:r>
      <w:r w:rsidRPr="00742582">
        <w:rPr>
          <w:sz w:val="24"/>
          <w:szCs w:val="24"/>
        </w:rPr>
        <w:tab/>
        <w:t xml:space="preserve">Menzinger M, Wolfgang R. The meaning and use of the Arrhenius activation energy. </w:t>
      </w:r>
      <w:r w:rsidRPr="00742582">
        <w:rPr>
          <w:i/>
          <w:sz w:val="24"/>
          <w:szCs w:val="24"/>
        </w:rPr>
        <w:t>Angewandte Chemie International Edition in English</w:t>
      </w:r>
      <w:r w:rsidRPr="00742582">
        <w:rPr>
          <w:sz w:val="24"/>
          <w:szCs w:val="24"/>
        </w:rPr>
        <w:t xml:space="preserve"> </w:t>
      </w:r>
      <w:r w:rsidRPr="00742582">
        <w:rPr>
          <w:b/>
          <w:sz w:val="24"/>
          <w:szCs w:val="24"/>
        </w:rPr>
        <w:t>8</w:t>
      </w:r>
      <w:r w:rsidRPr="00742582">
        <w:rPr>
          <w:sz w:val="24"/>
          <w:szCs w:val="24"/>
        </w:rPr>
        <w:t>, 438-444 (1969).</w:t>
      </w:r>
    </w:p>
    <w:p w14:paraId="59B6DFE1" w14:textId="44B124AE" w:rsidR="00742582" w:rsidRPr="00742582" w:rsidRDefault="00742582" w:rsidP="00742582">
      <w:pPr>
        <w:pStyle w:val="EndNoteBibliography"/>
        <w:spacing w:line="400" w:lineRule="exact"/>
        <w:ind w:left="480" w:hangingChars="200" w:hanging="480"/>
        <w:rPr>
          <w:rFonts w:hint="eastAsia"/>
          <w:sz w:val="24"/>
          <w:szCs w:val="24"/>
        </w:rPr>
      </w:pPr>
      <w:r w:rsidRPr="00742582">
        <w:rPr>
          <w:sz w:val="24"/>
          <w:szCs w:val="24"/>
        </w:rPr>
        <w:t>13.</w:t>
      </w:r>
      <w:r w:rsidRPr="00742582">
        <w:rPr>
          <w:sz w:val="24"/>
          <w:szCs w:val="24"/>
        </w:rPr>
        <w:tab/>
        <w:t xml:space="preserve">Pérez E, Martínez A, Teijón C, Teijón JM, Blanco MD. Bioresponsive nanohydrogels based on HEAA and NIPA for poorly soluble drugs delivery. </w:t>
      </w:r>
      <w:r w:rsidRPr="00742582">
        <w:rPr>
          <w:i/>
          <w:sz w:val="24"/>
          <w:szCs w:val="24"/>
        </w:rPr>
        <w:t>International Journal of Pharmaceutics</w:t>
      </w:r>
      <w:r w:rsidRPr="00742582">
        <w:rPr>
          <w:sz w:val="24"/>
          <w:szCs w:val="24"/>
        </w:rPr>
        <w:t xml:space="preserve"> </w:t>
      </w:r>
      <w:r w:rsidRPr="00742582">
        <w:rPr>
          <w:b/>
          <w:sz w:val="24"/>
          <w:szCs w:val="24"/>
        </w:rPr>
        <w:t>470</w:t>
      </w:r>
      <w:r w:rsidRPr="00742582">
        <w:rPr>
          <w:sz w:val="24"/>
          <w:szCs w:val="24"/>
        </w:rPr>
        <w:t>, 107-119 (2014).</w:t>
      </w:r>
    </w:p>
    <w:p w14:paraId="0D337DA8" w14:textId="77777777" w:rsidR="00742582" w:rsidRPr="00742582" w:rsidRDefault="00742582" w:rsidP="00742582">
      <w:pPr>
        <w:pStyle w:val="EndNoteBibliography"/>
        <w:spacing w:line="400" w:lineRule="exact"/>
        <w:ind w:left="480" w:hangingChars="200" w:hanging="480"/>
        <w:rPr>
          <w:sz w:val="24"/>
          <w:szCs w:val="24"/>
        </w:rPr>
      </w:pPr>
      <w:r w:rsidRPr="00742582">
        <w:rPr>
          <w:sz w:val="24"/>
          <w:szCs w:val="24"/>
        </w:rPr>
        <w:t>14.</w:t>
      </w:r>
      <w:r w:rsidRPr="00742582">
        <w:rPr>
          <w:sz w:val="24"/>
          <w:szCs w:val="24"/>
        </w:rPr>
        <w:tab/>
        <w:t xml:space="preserve">Zhang J, Liang X, Zhang Y, Shang Q. Fabrication and evaluation of a novel polymeric hydrogel of carboxymethyl chitosan-g-polyacrylic acid (CMC-g-PAA) for oral insulin delivery. </w:t>
      </w:r>
      <w:r w:rsidRPr="00742582">
        <w:rPr>
          <w:i/>
          <w:sz w:val="24"/>
          <w:szCs w:val="24"/>
        </w:rPr>
        <w:t>RSC advances</w:t>
      </w:r>
      <w:r w:rsidRPr="00742582">
        <w:rPr>
          <w:sz w:val="24"/>
          <w:szCs w:val="24"/>
        </w:rPr>
        <w:t xml:space="preserve"> </w:t>
      </w:r>
      <w:r w:rsidRPr="00742582">
        <w:rPr>
          <w:b/>
          <w:sz w:val="24"/>
          <w:szCs w:val="24"/>
        </w:rPr>
        <w:lastRenderedPageBreak/>
        <w:t>6</w:t>
      </w:r>
      <w:r w:rsidRPr="00742582">
        <w:rPr>
          <w:sz w:val="24"/>
          <w:szCs w:val="24"/>
        </w:rPr>
        <w:t>, 52858-52867 (2016).</w:t>
      </w:r>
    </w:p>
    <w:p w14:paraId="3A0CBB15" w14:textId="77777777" w:rsidR="00742582" w:rsidRPr="00742582" w:rsidRDefault="00742582" w:rsidP="00742582">
      <w:pPr>
        <w:pStyle w:val="EndNoteBibliography"/>
        <w:spacing w:line="400" w:lineRule="exact"/>
        <w:ind w:left="480" w:hangingChars="200" w:hanging="480"/>
        <w:rPr>
          <w:rFonts w:hint="eastAsia"/>
          <w:sz w:val="24"/>
          <w:szCs w:val="24"/>
        </w:rPr>
      </w:pPr>
    </w:p>
    <w:p w14:paraId="51F54D5D" w14:textId="0B684431" w:rsidR="008028CE" w:rsidRPr="00F510D9" w:rsidRDefault="00C360AF" w:rsidP="00742582">
      <w:pPr>
        <w:ind w:left="480" w:hangingChars="200" w:hanging="480"/>
      </w:pPr>
      <w:r w:rsidRPr="00742582">
        <w:rPr>
          <w:sz w:val="24"/>
          <w:szCs w:val="24"/>
        </w:rPr>
        <w:fldChar w:fldCharType="end"/>
      </w:r>
    </w:p>
    <w:sectPr w:rsidR="008028CE" w:rsidRPr="00F510D9" w:rsidSect="00294453">
      <w:headerReference w:type="even" r:id="rId24"/>
      <w:headerReference w:type="default" r:id="rId25"/>
      <w:footerReference w:type="even" r:id="rId26"/>
      <w:footerReference w:type="default" r:id="rId27"/>
      <w:headerReference w:type="first" r:id="rId28"/>
      <w:footerReference w:type="first" r:id="rId29"/>
      <w:pgSz w:w="11906" w:h="16838" w:code="9"/>
      <w:pgMar w:top="1134" w:right="936" w:bottom="1134" w:left="936" w:header="1020" w:footer="0" w:gutter="0"/>
      <w:pgNumType w:start="1"/>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E899F" w14:textId="77777777" w:rsidR="00225DE3" w:rsidRDefault="00225DE3" w:rsidP="00586D3F">
      <w:pPr>
        <w:ind w:firstLine="560"/>
      </w:pPr>
      <w:r>
        <w:separator/>
      </w:r>
    </w:p>
  </w:endnote>
  <w:endnote w:type="continuationSeparator" w:id="0">
    <w:p w14:paraId="4DA29D53" w14:textId="77777777" w:rsidR="00225DE3" w:rsidRDefault="00225DE3" w:rsidP="00586D3F">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n-ea">
    <w:altName w:val="Cambria"/>
    <w:panose1 w:val="00000000000000000000"/>
    <w:charset w:val="00"/>
    <w:family w:val="roman"/>
    <w:notTrueType/>
    <w:pitch w:val="default"/>
  </w:font>
  <w:font w:name="华文新魏">
    <w:panose1 w:val="02010800040101010101"/>
    <w:charset w:val="86"/>
    <w:family w:val="auto"/>
    <w:pitch w:val="variable"/>
    <w:sig w:usb0="00000001" w:usb1="080F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FEBC" w14:textId="77777777" w:rsidR="006075B4" w:rsidRDefault="006075B4" w:rsidP="00F54D2B">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921540"/>
      <w:docPartObj>
        <w:docPartGallery w:val="Page Numbers (Bottom of Page)"/>
        <w:docPartUnique/>
      </w:docPartObj>
    </w:sdtPr>
    <w:sdtEndPr>
      <w:rPr>
        <w:sz w:val="24"/>
        <w:szCs w:val="24"/>
      </w:rPr>
    </w:sdtEndPr>
    <w:sdtContent>
      <w:p w14:paraId="5AA91412" w14:textId="77777777" w:rsidR="006075B4" w:rsidRPr="00294453" w:rsidRDefault="006075B4" w:rsidP="00597B00">
        <w:pPr>
          <w:pStyle w:val="a4"/>
          <w:ind w:firstLine="360"/>
          <w:jc w:val="center"/>
          <w:rPr>
            <w:sz w:val="24"/>
            <w:szCs w:val="24"/>
          </w:rPr>
        </w:pPr>
        <w:r w:rsidRPr="00294453">
          <w:rPr>
            <w:sz w:val="24"/>
            <w:szCs w:val="24"/>
          </w:rPr>
          <w:fldChar w:fldCharType="begin"/>
        </w:r>
        <w:r w:rsidRPr="00294453">
          <w:rPr>
            <w:sz w:val="24"/>
            <w:szCs w:val="24"/>
          </w:rPr>
          <w:instrText>PAGE   \* MERGEFORMAT</w:instrText>
        </w:r>
        <w:r w:rsidRPr="00294453">
          <w:rPr>
            <w:sz w:val="24"/>
            <w:szCs w:val="24"/>
          </w:rPr>
          <w:fldChar w:fldCharType="separate"/>
        </w:r>
        <w:r w:rsidR="00731A8B" w:rsidRPr="00294453">
          <w:rPr>
            <w:noProof/>
            <w:sz w:val="24"/>
            <w:szCs w:val="24"/>
            <w:lang w:val="zh-CN"/>
          </w:rPr>
          <w:t>30</w:t>
        </w:r>
        <w:r w:rsidRPr="00294453">
          <w:rPr>
            <w:sz w:val="24"/>
            <w:szCs w:val="24"/>
          </w:rPr>
          <w:fldChar w:fldCharType="end"/>
        </w:r>
      </w:p>
    </w:sdtContent>
  </w:sdt>
  <w:p w14:paraId="2373EECD" w14:textId="77777777" w:rsidR="006075B4" w:rsidRDefault="006075B4" w:rsidP="002E2B45">
    <w:pPr>
      <w:pStyle w:val="a4"/>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04DB" w14:textId="77777777" w:rsidR="006075B4" w:rsidRDefault="006075B4" w:rsidP="00F54D2B">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5F634" w14:textId="77777777" w:rsidR="00225DE3" w:rsidRDefault="00225DE3" w:rsidP="00586D3F">
      <w:pPr>
        <w:ind w:firstLine="560"/>
      </w:pPr>
      <w:r>
        <w:separator/>
      </w:r>
    </w:p>
  </w:footnote>
  <w:footnote w:type="continuationSeparator" w:id="0">
    <w:p w14:paraId="47FC9DE8" w14:textId="77777777" w:rsidR="00225DE3" w:rsidRDefault="00225DE3" w:rsidP="00586D3F">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E7E9" w14:textId="77777777" w:rsidR="006075B4" w:rsidRDefault="006075B4" w:rsidP="00F54D2B">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2A67" w14:textId="1060DAC9" w:rsidR="006075B4" w:rsidRPr="00294453" w:rsidRDefault="00294453" w:rsidP="009F2CFD">
    <w:pPr>
      <w:widowControl/>
      <w:tabs>
        <w:tab w:val="center" w:pos="4703"/>
        <w:tab w:val="right" w:pos="9406"/>
      </w:tabs>
      <w:spacing w:line="240" w:lineRule="auto"/>
      <w:ind w:firstLineChars="0" w:firstLine="0"/>
      <w:jc w:val="left"/>
      <w:rPr>
        <w:rFonts w:ascii="Arial Narrow" w:eastAsia="MS Mincho" w:hAnsi="Arial Narrow" w:cs="Arial"/>
        <w:b/>
        <w:bCs/>
        <w:kern w:val="0"/>
        <w:sz w:val="32"/>
        <w:szCs w:val="36"/>
        <w:lang w:val="de-DE" w:eastAsia="ja-JP"/>
      </w:rPr>
    </w:pPr>
    <w:r w:rsidRPr="00294453">
      <w:rPr>
        <w:rFonts w:ascii="Arial Narrow" w:eastAsia="MS Mincho" w:hAnsi="Arial Narrow" w:cs="Arial"/>
        <w:b/>
        <w:bCs/>
        <w:kern w:val="0"/>
        <w:sz w:val="32"/>
        <w:szCs w:val="36"/>
        <w:lang w:val="de-DE" w:eastAsia="ja-JP"/>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B5A4" w14:textId="77777777" w:rsidR="006075B4" w:rsidRDefault="006075B4" w:rsidP="00F54D2B">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5" type="#_x0000_t75" style="width:600pt;height:356.65pt" o:bullet="t">
        <v:imagedata r:id="rId1" o:title="3320946_155923032480_2"/>
      </v:shape>
    </w:pict>
  </w:numPicBullet>
  <w:abstractNum w:abstractNumId="0" w15:restartNumberingAfterBreak="0">
    <w:nsid w:val="04532548"/>
    <w:multiLevelType w:val="hybridMultilevel"/>
    <w:tmpl w:val="3CF027D2"/>
    <w:lvl w:ilvl="0" w:tplc="FFFFFFFF">
      <w:start w:val="1"/>
      <w:numFmt w:val="decimal"/>
      <w:lvlText w:val="[%1] "/>
      <w:lvlJc w:val="left"/>
      <w:pPr>
        <w:ind w:left="680" w:hanging="680"/>
      </w:pPr>
      <w:rPr>
        <w:rFonts w:hint="eastAsia"/>
      </w:rPr>
    </w:lvl>
    <w:lvl w:ilvl="1" w:tplc="FFFFFFFF">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15:restartNumberingAfterBreak="0">
    <w:nsid w:val="377303D6"/>
    <w:multiLevelType w:val="hybridMultilevel"/>
    <w:tmpl w:val="958C9D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6B478E"/>
    <w:multiLevelType w:val="hybridMultilevel"/>
    <w:tmpl w:val="B774638E"/>
    <w:lvl w:ilvl="0" w:tplc="F8FC72F0">
      <w:start w:val="1"/>
      <w:numFmt w:val="decimal"/>
      <w:suff w:val="space"/>
      <w:lvlText w:val="[%1] "/>
      <w:lvlJc w:val="left"/>
      <w:pPr>
        <w:ind w:left="99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8CD1BB6"/>
    <w:multiLevelType w:val="hybridMultilevel"/>
    <w:tmpl w:val="B774638E"/>
    <w:lvl w:ilvl="0" w:tplc="FFFFFFFF">
      <w:start w:val="1"/>
      <w:numFmt w:val="decimal"/>
      <w:suff w:val="space"/>
      <w:lvlText w:val="[%1] "/>
      <w:lvlJc w:val="left"/>
      <w:pPr>
        <w:ind w:left="992" w:hanging="425"/>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4C0D553B"/>
    <w:multiLevelType w:val="hybridMultilevel"/>
    <w:tmpl w:val="9FB0C652"/>
    <w:lvl w:ilvl="0" w:tplc="FFFFFFFF">
      <w:start w:val="1"/>
      <w:numFmt w:val="decimal"/>
      <w:suff w:val="space"/>
      <w:lvlText w:val="[%1] "/>
      <w:lvlJc w:val="left"/>
      <w:pPr>
        <w:ind w:left="425" w:hanging="425"/>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 w15:restartNumberingAfterBreak="0">
    <w:nsid w:val="562C2A53"/>
    <w:multiLevelType w:val="hybridMultilevel"/>
    <w:tmpl w:val="3CF027D2"/>
    <w:lvl w:ilvl="0" w:tplc="DE1C6118">
      <w:start w:val="1"/>
      <w:numFmt w:val="decimal"/>
      <w:lvlText w:val="[%1] "/>
      <w:lvlJc w:val="left"/>
      <w:pPr>
        <w:ind w:left="680" w:hanging="68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BED506B"/>
    <w:multiLevelType w:val="hybridMultilevel"/>
    <w:tmpl w:val="9FB0C652"/>
    <w:lvl w:ilvl="0" w:tplc="6E1223CA">
      <w:start w:val="1"/>
      <w:numFmt w:val="decimal"/>
      <w:suff w:val="space"/>
      <w:lvlText w:val="[%1] "/>
      <w:lvlJc w:val="left"/>
      <w:pPr>
        <w:ind w:left="425"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F1E4BCB"/>
    <w:multiLevelType w:val="hybridMultilevel"/>
    <w:tmpl w:val="3CF027D2"/>
    <w:lvl w:ilvl="0" w:tplc="FFFFFFFF">
      <w:start w:val="1"/>
      <w:numFmt w:val="decimal"/>
      <w:lvlText w:val="[%1] "/>
      <w:lvlJc w:val="left"/>
      <w:pPr>
        <w:ind w:left="680" w:hanging="680"/>
      </w:pPr>
      <w:rPr>
        <w:rFonts w:hint="eastAsia"/>
      </w:rPr>
    </w:lvl>
    <w:lvl w:ilvl="1" w:tplc="FFFFFFFF">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7E415E2D"/>
    <w:multiLevelType w:val="hybridMultilevel"/>
    <w:tmpl w:val="FE92C3DE"/>
    <w:lvl w:ilvl="0" w:tplc="064CD534">
      <w:start w:val="1"/>
      <w:numFmt w:val="bullet"/>
      <w:lvlText w:val=""/>
      <w:lvlPicBulletId w:val="0"/>
      <w:lvlJc w:val="left"/>
      <w:pPr>
        <w:ind w:left="420" w:hanging="420"/>
      </w:pPr>
      <w:rPr>
        <w:rFonts w:ascii="Symbol" w:hAnsi="Symbol" w:hint="default"/>
        <w:color w:val="auto"/>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num w:numId="1" w16cid:durableId="1268661074">
    <w:abstractNumId w:val="8"/>
  </w:num>
  <w:num w:numId="2" w16cid:durableId="987974312">
    <w:abstractNumId w:val="8"/>
  </w:num>
  <w:num w:numId="3" w16cid:durableId="1732315001">
    <w:abstractNumId w:val="1"/>
  </w:num>
  <w:num w:numId="4" w16cid:durableId="1739554554">
    <w:abstractNumId w:val="5"/>
  </w:num>
  <w:num w:numId="5" w16cid:durableId="1763524728">
    <w:abstractNumId w:val="7"/>
  </w:num>
  <w:num w:numId="6" w16cid:durableId="1448739236">
    <w:abstractNumId w:val="0"/>
  </w:num>
  <w:num w:numId="7" w16cid:durableId="1691371378">
    <w:abstractNumId w:val="2"/>
  </w:num>
  <w:num w:numId="8" w16cid:durableId="1190334845">
    <w:abstractNumId w:val="3"/>
  </w:num>
  <w:num w:numId="9" w16cid:durableId="876039932">
    <w:abstractNumId w:val="6"/>
  </w:num>
  <w:num w:numId="10" w16cid:durableId="389230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wapd0sdtazr4ed0e8vwz5rtwzz9vetdxv2&quot;&gt;复合超支化&lt;record-ids&gt;&lt;item&gt;47&lt;/item&gt;&lt;item&gt;50&lt;/item&gt;&lt;item&gt;51&lt;/item&gt;&lt;item&gt;52&lt;/item&gt;&lt;item&gt;55&lt;/item&gt;&lt;item&gt;56&lt;/item&gt;&lt;item&gt;57&lt;/item&gt;&lt;item&gt;58&lt;/item&gt;&lt;item&gt;59&lt;/item&gt;&lt;item&gt;60&lt;/item&gt;&lt;item&gt;61&lt;/item&gt;&lt;item&gt;62&lt;/item&gt;&lt;item&gt;63&lt;/item&gt;&lt;item&gt;64&lt;/item&gt;&lt;/record-ids&gt;&lt;/item&gt;&lt;/Libraries&gt;"/>
  </w:docVars>
  <w:rsids>
    <w:rsidRoot w:val="004B1636"/>
    <w:rsid w:val="0000001F"/>
    <w:rsid w:val="00000381"/>
    <w:rsid w:val="00000CE5"/>
    <w:rsid w:val="00001060"/>
    <w:rsid w:val="00001B56"/>
    <w:rsid w:val="00001C9F"/>
    <w:rsid w:val="00002F1F"/>
    <w:rsid w:val="00003265"/>
    <w:rsid w:val="00003499"/>
    <w:rsid w:val="000046CB"/>
    <w:rsid w:val="000053D8"/>
    <w:rsid w:val="0000543F"/>
    <w:rsid w:val="000062CC"/>
    <w:rsid w:val="000063A7"/>
    <w:rsid w:val="000100FF"/>
    <w:rsid w:val="0001114D"/>
    <w:rsid w:val="00012EEA"/>
    <w:rsid w:val="00014330"/>
    <w:rsid w:val="00016B74"/>
    <w:rsid w:val="00017988"/>
    <w:rsid w:val="00017A00"/>
    <w:rsid w:val="00022065"/>
    <w:rsid w:val="00022193"/>
    <w:rsid w:val="00022737"/>
    <w:rsid w:val="0002356F"/>
    <w:rsid w:val="00023E21"/>
    <w:rsid w:val="00024EE5"/>
    <w:rsid w:val="0002521E"/>
    <w:rsid w:val="00025604"/>
    <w:rsid w:val="0002567D"/>
    <w:rsid w:val="00025812"/>
    <w:rsid w:val="00025860"/>
    <w:rsid w:val="00025C62"/>
    <w:rsid w:val="00026793"/>
    <w:rsid w:val="000267A5"/>
    <w:rsid w:val="0002764C"/>
    <w:rsid w:val="0002794F"/>
    <w:rsid w:val="00030900"/>
    <w:rsid w:val="00030932"/>
    <w:rsid w:val="00031571"/>
    <w:rsid w:val="00031826"/>
    <w:rsid w:val="00032226"/>
    <w:rsid w:val="00033B82"/>
    <w:rsid w:val="00033F47"/>
    <w:rsid w:val="000368C9"/>
    <w:rsid w:val="000369A5"/>
    <w:rsid w:val="00036FD6"/>
    <w:rsid w:val="0003720A"/>
    <w:rsid w:val="00037753"/>
    <w:rsid w:val="0003796C"/>
    <w:rsid w:val="00040464"/>
    <w:rsid w:val="00040917"/>
    <w:rsid w:val="00040A46"/>
    <w:rsid w:val="00040D08"/>
    <w:rsid w:val="00040F10"/>
    <w:rsid w:val="0004134B"/>
    <w:rsid w:val="000423A9"/>
    <w:rsid w:val="00042B26"/>
    <w:rsid w:val="000431F9"/>
    <w:rsid w:val="00043404"/>
    <w:rsid w:val="000437DA"/>
    <w:rsid w:val="00043CBB"/>
    <w:rsid w:val="000458CA"/>
    <w:rsid w:val="00045A1C"/>
    <w:rsid w:val="00046369"/>
    <w:rsid w:val="00046FEB"/>
    <w:rsid w:val="0005023E"/>
    <w:rsid w:val="00050464"/>
    <w:rsid w:val="0005049E"/>
    <w:rsid w:val="000504F0"/>
    <w:rsid w:val="00050641"/>
    <w:rsid w:val="000513F9"/>
    <w:rsid w:val="000518AB"/>
    <w:rsid w:val="000520E9"/>
    <w:rsid w:val="000523AB"/>
    <w:rsid w:val="00053005"/>
    <w:rsid w:val="00053304"/>
    <w:rsid w:val="00055505"/>
    <w:rsid w:val="0005550A"/>
    <w:rsid w:val="00055903"/>
    <w:rsid w:val="00055A97"/>
    <w:rsid w:val="00055AA4"/>
    <w:rsid w:val="00055F79"/>
    <w:rsid w:val="00060B9C"/>
    <w:rsid w:val="00062AEF"/>
    <w:rsid w:val="000631C8"/>
    <w:rsid w:val="00065191"/>
    <w:rsid w:val="00065CB7"/>
    <w:rsid w:val="000666F4"/>
    <w:rsid w:val="000668CC"/>
    <w:rsid w:val="0006780E"/>
    <w:rsid w:val="000678D3"/>
    <w:rsid w:val="00067CD8"/>
    <w:rsid w:val="00070087"/>
    <w:rsid w:val="00070BF7"/>
    <w:rsid w:val="00070FD0"/>
    <w:rsid w:val="000714D1"/>
    <w:rsid w:val="000717EB"/>
    <w:rsid w:val="0007185F"/>
    <w:rsid w:val="00073373"/>
    <w:rsid w:val="000735F6"/>
    <w:rsid w:val="00073700"/>
    <w:rsid w:val="00074212"/>
    <w:rsid w:val="00074268"/>
    <w:rsid w:val="00074C14"/>
    <w:rsid w:val="000759EF"/>
    <w:rsid w:val="00075BF3"/>
    <w:rsid w:val="00075DF4"/>
    <w:rsid w:val="000763E2"/>
    <w:rsid w:val="000774D1"/>
    <w:rsid w:val="00077500"/>
    <w:rsid w:val="00080419"/>
    <w:rsid w:val="0008081F"/>
    <w:rsid w:val="00080C6A"/>
    <w:rsid w:val="000820FA"/>
    <w:rsid w:val="00082834"/>
    <w:rsid w:val="00082907"/>
    <w:rsid w:val="00084123"/>
    <w:rsid w:val="00084A98"/>
    <w:rsid w:val="0008541C"/>
    <w:rsid w:val="00085588"/>
    <w:rsid w:val="00085BF7"/>
    <w:rsid w:val="000865BB"/>
    <w:rsid w:val="000865C0"/>
    <w:rsid w:val="00086729"/>
    <w:rsid w:val="00086AAF"/>
    <w:rsid w:val="00087508"/>
    <w:rsid w:val="000876AC"/>
    <w:rsid w:val="00087CD1"/>
    <w:rsid w:val="0009081B"/>
    <w:rsid w:val="00091E61"/>
    <w:rsid w:val="000931C4"/>
    <w:rsid w:val="00093D73"/>
    <w:rsid w:val="00093FC4"/>
    <w:rsid w:val="00093FEF"/>
    <w:rsid w:val="0009464D"/>
    <w:rsid w:val="0009493C"/>
    <w:rsid w:val="00094CE9"/>
    <w:rsid w:val="00094D8F"/>
    <w:rsid w:val="000966F2"/>
    <w:rsid w:val="000A0FC4"/>
    <w:rsid w:val="000A1D31"/>
    <w:rsid w:val="000A25A6"/>
    <w:rsid w:val="000A2B0D"/>
    <w:rsid w:val="000A2C35"/>
    <w:rsid w:val="000A3044"/>
    <w:rsid w:val="000A51C9"/>
    <w:rsid w:val="000A521E"/>
    <w:rsid w:val="000A5F23"/>
    <w:rsid w:val="000A60B1"/>
    <w:rsid w:val="000A6E77"/>
    <w:rsid w:val="000B0B03"/>
    <w:rsid w:val="000B0DA0"/>
    <w:rsid w:val="000B0DB2"/>
    <w:rsid w:val="000B1545"/>
    <w:rsid w:val="000B1B8F"/>
    <w:rsid w:val="000B2423"/>
    <w:rsid w:val="000B38FE"/>
    <w:rsid w:val="000B4F98"/>
    <w:rsid w:val="000B570D"/>
    <w:rsid w:val="000B58AE"/>
    <w:rsid w:val="000B5C7D"/>
    <w:rsid w:val="000B726D"/>
    <w:rsid w:val="000B77CD"/>
    <w:rsid w:val="000C0122"/>
    <w:rsid w:val="000C08D1"/>
    <w:rsid w:val="000C0AF7"/>
    <w:rsid w:val="000C10ED"/>
    <w:rsid w:val="000C1C90"/>
    <w:rsid w:val="000C26DE"/>
    <w:rsid w:val="000C2A16"/>
    <w:rsid w:val="000C38E6"/>
    <w:rsid w:val="000C43AE"/>
    <w:rsid w:val="000C53C8"/>
    <w:rsid w:val="000C61A5"/>
    <w:rsid w:val="000C690E"/>
    <w:rsid w:val="000C6EBD"/>
    <w:rsid w:val="000C7F9F"/>
    <w:rsid w:val="000D023D"/>
    <w:rsid w:val="000D0598"/>
    <w:rsid w:val="000D09A4"/>
    <w:rsid w:val="000D1F52"/>
    <w:rsid w:val="000D37FB"/>
    <w:rsid w:val="000D403F"/>
    <w:rsid w:val="000D58D4"/>
    <w:rsid w:val="000D6C0E"/>
    <w:rsid w:val="000D6CDD"/>
    <w:rsid w:val="000D6DC8"/>
    <w:rsid w:val="000D6F50"/>
    <w:rsid w:val="000D761C"/>
    <w:rsid w:val="000D79E9"/>
    <w:rsid w:val="000E02E9"/>
    <w:rsid w:val="000E2916"/>
    <w:rsid w:val="000E3C2A"/>
    <w:rsid w:val="000E4628"/>
    <w:rsid w:val="000E4A63"/>
    <w:rsid w:val="000E4B3F"/>
    <w:rsid w:val="000E4E71"/>
    <w:rsid w:val="000E6881"/>
    <w:rsid w:val="000E6B4C"/>
    <w:rsid w:val="000E76E0"/>
    <w:rsid w:val="000E76EF"/>
    <w:rsid w:val="000E7F67"/>
    <w:rsid w:val="000F024E"/>
    <w:rsid w:val="000F026A"/>
    <w:rsid w:val="000F0EC0"/>
    <w:rsid w:val="000F154E"/>
    <w:rsid w:val="000F2838"/>
    <w:rsid w:val="000F28D6"/>
    <w:rsid w:val="000F2F29"/>
    <w:rsid w:val="000F3097"/>
    <w:rsid w:val="000F3DB6"/>
    <w:rsid w:val="000F440A"/>
    <w:rsid w:val="000F4A98"/>
    <w:rsid w:val="000F79AE"/>
    <w:rsid w:val="000F7C73"/>
    <w:rsid w:val="00100A19"/>
    <w:rsid w:val="00100AA3"/>
    <w:rsid w:val="001019B3"/>
    <w:rsid w:val="00102078"/>
    <w:rsid w:val="00102228"/>
    <w:rsid w:val="00103678"/>
    <w:rsid w:val="00103757"/>
    <w:rsid w:val="00103B1C"/>
    <w:rsid w:val="0010457E"/>
    <w:rsid w:val="0010533C"/>
    <w:rsid w:val="00105419"/>
    <w:rsid w:val="00106044"/>
    <w:rsid w:val="00106547"/>
    <w:rsid w:val="00106603"/>
    <w:rsid w:val="00107948"/>
    <w:rsid w:val="001109B1"/>
    <w:rsid w:val="00110FA1"/>
    <w:rsid w:val="001110F8"/>
    <w:rsid w:val="001112E1"/>
    <w:rsid w:val="00112054"/>
    <w:rsid w:val="001128A9"/>
    <w:rsid w:val="00112B35"/>
    <w:rsid w:val="00113052"/>
    <w:rsid w:val="00113502"/>
    <w:rsid w:val="00113C37"/>
    <w:rsid w:val="00113D84"/>
    <w:rsid w:val="001141C2"/>
    <w:rsid w:val="00114B26"/>
    <w:rsid w:val="00114D0D"/>
    <w:rsid w:val="0011515C"/>
    <w:rsid w:val="00115700"/>
    <w:rsid w:val="00116439"/>
    <w:rsid w:val="00116928"/>
    <w:rsid w:val="00116AA5"/>
    <w:rsid w:val="0011769B"/>
    <w:rsid w:val="0011786E"/>
    <w:rsid w:val="0011787F"/>
    <w:rsid w:val="001202E8"/>
    <w:rsid w:val="00120A4D"/>
    <w:rsid w:val="00120FA9"/>
    <w:rsid w:val="001218B1"/>
    <w:rsid w:val="00121F9C"/>
    <w:rsid w:val="00122428"/>
    <w:rsid w:val="00122515"/>
    <w:rsid w:val="00122644"/>
    <w:rsid w:val="00122647"/>
    <w:rsid w:val="00122797"/>
    <w:rsid w:val="0012283A"/>
    <w:rsid w:val="00122D08"/>
    <w:rsid w:val="001231C2"/>
    <w:rsid w:val="001238E3"/>
    <w:rsid w:val="0012401E"/>
    <w:rsid w:val="00124AD8"/>
    <w:rsid w:val="00124F92"/>
    <w:rsid w:val="00125125"/>
    <w:rsid w:val="001255A1"/>
    <w:rsid w:val="0012585B"/>
    <w:rsid w:val="00125F99"/>
    <w:rsid w:val="00126963"/>
    <w:rsid w:val="00126BAA"/>
    <w:rsid w:val="0012732D"/>
    <w:rsid w:val="001274DD"/>
    <w:rsid w:val="00127DBD"/>
    <w:rsid w:val="0013146B"/>
    <w:rsid w:val="00131865"/>
    <w:rsid w:val="00131D50"/>
    <w:rsid w:val="00131DC5"/>
    <w:rsid w:val="00131EAD"/>
    <w:rsid w:val="00132850"/>
    <w:rsid w:val="00132B84"/>
    <w:rsid w:val="001338F7"/>
    <w:rsid w:val="0013445E"/>
    <w:rsid w:val="001344E5"/>
    <w:rsid w:val="00134ED3"/>
    <w:rsid w:val="00135BD8"/>
    <w:rsid w:val="00135FCC"/>
    <w:rsid w:val="00136D8C"/>
    <w:rsid w:val="001370D9"/>
    <w:rsid w:val="001374F4"/>
    <w:rsid w:val="0013753C"/>
    <w:rsid w:val="001376D0"/>
    <w:rsid w:val="0014095F"/>
    <w:rsid w:val="00141059"/>
    <w:rsid w:val="001414E4"/>
    <w:rsid w:val="001422AE"/>
    <w:rsid w:val="0014245F"/>
    <w:rsid w:val="00142A9E"/>
    <w:rsid w:val="00142DDE"/>
    <w:rsid w:val="00143005"/>
    <w:rsid w:val="0014484B"/>
    <w:rsid w:val="00144A93"/>
    <w:rsid w:val="00144C56"/>
    <w:rsid w:val="00144CEA"/>
    <w:rsid w:val="001453D9"/>
    <w:rsid w:val="00145BEA"/>
    <w:rsid w:val="00145ED8"/>
    <w:rsid w:val="001475AC"/>
    <w:rsid w:val="00147D3B"/>
    <w:rsid w:val="00151331"/>
    <w:rsid w:val="0015141C"/>
    <w:rsid w:val="0015243B"/>
    <w:rsid w:val="00152F15"/>
    <w:rsid w:val="00153020"/>
    <w:rsid w:val="00153667"/>
    <w:rsid w:val="00153E3F"/>
    <w:rsid w:val="00153FE6"/>
    <w:rsid w:val="001541AA"/>
    <w:rsid w:val="001542A1"/>
    <w:rsid w:val="00154986"/>
    <w:rsid w:val="00154C8F"/>
    <w:rsid w:val="00155145"/>
    <w:rsid w:val="00156E58"/>
    <w:rsid w:val="001570CC"/>
    <w:rsid w:val="00160081"/>
    <w:rsid w:val="0016062B"/>
    <w:rsid w:val="00162FBE"/>
    <w:rsid w:val="001639DF"/>
    <w:rsid w:val="00164326"/>
    <w:rsid w:val="001644D7"/>
    <w:rsid w:val="001652D9"/>
    <w:rsid w:val="00165E41"/>
    <w:rsid w:val="00165FD3"/>
    <w:rsid w:val="00166A8D"/>
    <w:rsid w:val="00166FD7"/>
    <w:rsid w:val="001676D8"/>
    <w:rsid w:val="001677AE"/>
    <w:rsid w:val="001678B5"/>
    <w:rsid w:val="00167BE8"/>
    <w:rsid w:val="001704A6"/>
    <w:rsid w:val="00171603"/>
    <w:rsid w:val="00173369"/>
    <w:rsid w:val="00173402"/>
    <w:rsid w:val="001735F0"/>
    <w:rsid w:val="00174E30"/>
    <w:rsid w:val="0017537F"/>
    <w:rsid w:val="00176046"/>
    <w:rsid w:val="00177102"/>
    <w:rsid w:val="0017767B"/>
    <w:rsid w:val="001777CE"/>
    <w:rsid w:val="0018063F"/>
    <w:rsid w:val="0018065C"/>
    <w:rsid w:val="00180AF5"/>
    <w:rsid w:val="001820E1"/>
    <w:rsid w:val="00182C14"/>
    <w:rsid w:val="00182F20"/>
    <w:rsid w:val="0018354C"/>
    <w:rsid w:val="001835A9"/>
    <w:rsid w:val="00183795"/>
    <w:rsid w:val="00184B8B"/>
    <w:rsid w:val="00185155"/>
    <w:rsid w:val="00186226"/>
    <w:rsid w:val="00186243"/>
    <w:rsid w:val="00186D38"/>
    <w:rsid w:val="00187394"/>
    <w:rsid w:val="0018749B"/>
    <w:rsid w:val="00187808"/>
    <w:rsid w:val="0018799C"/>
    <w:rsid w:val="0019019A"/>
    <w:rsid w:val="001908AE"/>
    <w:rsid w:val="00190F9D"/>
    <w:rsid w:val="001915AA"/>
    <w:rsid w:val="00191A2F"/>
    <w:rsid w:val="00192090"/>
    <w:rsid w:val="00192264"/>
    <w:rsid w:val="001928B0"/>
    <w:rsid w:val="00192BBD"/>
    <w:rsid w:val="00192D93"/>
    <w:rsid w:val="00192E29"/>
    <w:rsid w:val="00192FC7"/>
    <w:rsid w:val="00193D06"/>
    <w:rsid w:val="00193E53"/>
    <w:rsid w:val="001943FA"/>
    <w:rsid w:val="00194434"/>
    <w:rsid w:val="00194E74"/>
    <w:rsid w:val="00194F2A"/>
    <w:rsid w:val="00195040"/>
    <w:rsid w:val="00195507"/>
    <w:rsid w:val="00195A34"/>
    <w:rsid w:val="00195E87"/>
    <w:rsid w:val="00196BDE"/>
    <w:rsid w:val="0019717C"/>
    <w:rsid w:val="0019752A"/>
    <w:rsid w:val="001A04D2"/>
    <w:rsid w:val="001A0C88"/>
    <w:rsid w:val="001A113B"/>
    <w:rsid w:val="001A1290"/>
    <w:rsid w:val="001A12B1"/>
    <w:rsid w:val="001A1347"/>
    <w:rsid w:val="001A1715"/>
    <w:rsid w:val="001A1A5C"/>
    <w:rsid w:val="001A2B60"/>
    <w:rsid w:val="001A2C84"/>
    <w:rsid w:val="001A3123"/>
    <w:rsid w:val="001A3569"/>
    <w:rsid w:val="001A4082"/>
    <w:rsid w:val="001A4766"/>
    <w:rsid w:val="001A5004"/>
    <w:rsid w:val="001A5AFD"/>
    <w:rsid w:val="001A5DEB"/>
    <w:rsid w:val="001A6081"/>
    <w:rsid w:val="001A6656"/>
    <w:rsid w:val="001A7534"/>
    <w:rsid w:val="001A7C5F"/>
    <w:rsid w:val="001B0CFA"/>
    <w:rsid w:val="001B1848"/>
    <w:rsid w:val="001B2234"/>
    <w:rsid w:val="001B2592"/>
    <w:rsid w:val="001B26DB"/>
    <w:rsid w:val="001B28A7"/>
    <w:rsid w:val="001B3EC2"/>
    <w:rsid w:val="001B5365"/>
    <w:rsid w:val="001B6258"/>
    <w:rsid w:val="001B67E0"/>
    <w:rsid w:val="001B7221"/>
    <w:rsid w:val="001B7BC5"/>
    <w:rsid w:val="001C05C9"/>
    <w:rsid w:val="001C061B"/>
    <w:rsid w:val="001C0C82"/>
    <w:rsid w:val="001C0F94"/>
    <w:rsid w:val="001C1608"/>
    <w:rsid w:val="001C1741"/>
    <w:rsid w:val="001C20EE"/>
    <w:rsid w:val="001C2210"/>
    <w:rsid w:val="001C2CB6"/>
    <w:rsid w:val="001C3B3B"/>
    <w:rsid w:val="001C3C8F"/>
    <w:rsid w:val="001C45ED"/>
    <w:rsid w:val="001C4724"/>
    <w:rsid w:val="001C50F6"/>
    <w:rsid w:val="001C55C5"/>
    <w:rsid w:val="001C5CDE"/>
    <w:rsid w:val="001C60C2"/>
    <w:rsid w:val="001C6B09"/>
    <w:rsid w:val="001C6EBE"/>
    <w:rsid w:val="001C7651"/>
    <w:rsid w:val="001C7BAA"/>
    <w:rsid w:val="001D0080"/>
    <w:rsid w:val="001D0BE2"/>
    <w:rsid w:val="001D10B8"/>
    <w:rsid w:val="001D1E82"/>
    <w:rsid w:val="001D2021"/>
    <w:rsid w:val="001D257B"/>
    <w:rsid w:val="001D3558"/>
    <w:rsid w:val="001D3EF5"/>
    <w:rsid w:val="001D4363"/>
    <w:rsid w:val="001D5038"/>
    <w:rsid w:val="001D57A9"/>
    <w:rsid w:val="001D5B15"/>
    <w:rsid w:val="001D6997"/>
    <w:rsid w:val="001D6F77"/>
    <w:rsid w:val="001D7B6B"/>
    <w:rsid w:val="001E0585"/>
    <w:rsid w:val="001E05CF"/>
    <w:rsid w:val="001E075A"/>
    <w:rsid w:val="001E0D83"/>
    <w:rsid w:val="001E13F8"/>
    <w:rsid w:val="001E177E"/>
    <w:rsid w:val="001E1EAB"/>
    <w:rsid w:val="001E1F57"/>
    <w:rsid w:val="001E2441"/>
    <w:rsid w:val="001E2B63"/>
    <w:rsid w:val="001E2FCB"/>
    <w:rsid w:val="001E44EC"/>
    <w:rsid w:val="001E4DB7"/>
    <w:rsid w:val="001E5365"/>
    <w:rsid w:val="001E5AE8"/>
    <w:rsid w:val="001E6045"/>
    <w:rsid w:val="001E628B"/>
    <w:rsid w:val="001E6B45"/>
    <w:rsid w:val="001F1429"/>
    <w:rsid w:val="001F1FEF"/>
    <w:rsid w:val="001F2630"/>
    <w:rsid w:val="001F30E5"/>
    <w:rsid w:val="001F3AC2"/>
    <w:rsid w:val="001F4457"/>
    <w:rsid w:val="001F4F64"/>
    <w:rsid w:val="001F66FE"/>
    <w:rsid w:val="001F6AC7"/>
    <w:rsid w:val="001F6E12"/>
    <w:rsid w:val="001F7C4E"/>
    <w:rsid w:val="00200C82"/>
    <w:rsid w:val="00200E75"/>
    <w:rsid w:val="00201B64"/>
    <w:rsid w:val="00202069"/>
    <w:rsid w:val="0020274B"/>
    <w:rsid w:val="0020313F"/>
    <w:rsid w:val="00203941"/>
    <w:rsid w:val="00203AAE"/>
    <w:rsid w:val="00203C1A"/>
    <w:rsid w:val="00203F31"/>
    <w:rsid w:val="00205841"/>
    <w:rsid w:val="00205A5A"/>
    <w:rsid w:val="0020664C"/>
    <w:rsid w:val="002069C2"/>
    <w:rsid w:val="00206F18"/>
    <w:rsid w:val="002078B0"/>
    <w:rsid w:val="0021006C"/>
    <w:rsid w:val="00210407"/>
    <w:rsid w:val="0021049F"/>
    <w:rsid w:val="00211988"/>
    <w:rsid w:val="00212704"/>
    <w:rsid w:val="00214FFB"/>
    <w:rsid w:val="00215956"/>
    <w:rsid w:val="00215CD6"/>
    <w:rsid w:val="00216121"/>
    <w:rsid w:val="002162F5"/>
    <w:rsid w:val="00216512"/>
    <w:rsid w:val="00216ACC"/>
    <w:rsid w:val="002174A7"/>
    <w:rsid w:val="00217969"/>
    <w:rsid w:val="00220383"/>
    <w:rsid w:val="00220ED6"/>
    <w:rsid w:val="00220F8F"/>
    <w:rsid w:val="00221CBA"/>
    <w:rsid w:val="00221F26"/>
    <w:rsid w:val="002236F1"/>
    <w:rsid w:val="002246E8"/>
    <w:rsid w:val="00225820"/>
    <w:rsid w:val="00225DE3"/>
    <w:rsid w:val="0022641D"/>
    <w:rsid w:val="0022681C"/>
    <w:rsid w:val="002269F1"/>
    <w:rsid w:val="00226DBD"/>
    <w:rsid w:val="00226F33"/>
    <w:rsid w:val="002274D5"/>
    <w:rsid w:val="002304DF"/>
    <w:rsid w:val="002306EC"/>
    <w:rsid w:val="00230861"/>
    <w:rsid w:val="0023174F"/>
    <w:rsid w:val="00232A1B"/>
    <w:rsid w:val="00232F3C"/>
    <w:rsid w:val="00234825"/>
    <w:rsid w:val="0023521A"/>
    <w:rsid w:val="00235918"/>
    <w:rsid w:val="0023599F"/>
    <w:rsid w:val="00236A78"/>
    <w:rsid w:val="002373EC"/>
    <w:rsid w:val="00237554"/>
    <w:rsid w:val="00237B92"/>
    <w:rsid w:val="002401FB"/>
    <w:rsid w:val="00241001"/>
    <w:rsid w:val="0024116C"/>
    <w:rsid w:val="00241EC8"/>
    <w:rsid w:val="0024247D"/>
    <w:rsid w:val="00243147"/>
    <w:rsid w:val="00243461"/>
    <w:rsid w:val="00245B9E"/>
    <w:rsid w:val="00246168"/>
    <w:rsid w:val="00247408"/>
    <w:rsid w:val="0024768F"/>
    <w:rsid w:val="00247E16"/>
    <w:rsid w:val="00250517"/>
    <w:rsid w:val="00250923"/>
    <w:rsid w:val="00252322"/>
    <w:rsid w:val="002529C5"/>
    <w:rsid w:val="00252CAB"/>
    <w:rsid w:val="00252FBF"/>
    <w:rsid w:val="00253123"/>
    <w:rsid w:val="002533EF"/>
    <w:rsid w:val="00253ACF"/>
    <w:rsid w:val="00255962"/>
    <w:rsid w:val="00255B44"/>
    <w:rsid w:val="0025610A"/>
    <w:rsid w:val="00256D70"/>
    <w:rsid w:val="00256EA4"/>
    <w:rsid w:val="002572F0"/>
    <w:rsid w:val="00257725"/>
    <w:rsid w:val="0025772A"/>
    <w:rsid w:val="00257C40"/>
    <w:rsid w:val="0026024D"/>
    <w:rsid w:val="002610DF"/>
    <w:rsid w:val="00261A0D"/>
    <w:rsid w:val="00261F78"/>
    <w:rsid w:val="002627B9"/>
    <w:rsid w:val="00262A0A"/>
    <w:rsid w:val="00262C6E"/>
    <w:rsid w:val="00263082"/>
    <w:rsid w:val="002638E0"/>
    <w:rsid w:val="00263A94"/>
    <w:rsid w:val="00263FE3"/>
    <w:rsid w:val="00264FE8"/>
    <w:rsid w:val="002651E9"/>
    <w:rsid w:val="00265442"/>
    <w:rsid w:val="002656C8"/>
    <w:rsid w:val="00265BE5"/>
    <w:rsid w:val="00265E57"/>
    <w:rsid w:val="00266456"/>
    <w:rsid w:val="00266626"/>
    <w:rsid w:val="00267165"/>
    <w:rsid w:val="002673DC"/>
    <w:rsid w:val="00267510"/>
    <w:rsid w:val="00267BBC"/>
    <w:rsid w:val="00267BC4"/>
    <w:rsid w:val="00270255"/>
    <w:rsid w:val="00270689"/>
    <w:rsid w:val="00270CA4"/>
    <w:rsid w:val="00270D0E"/>
    <w:rsid w:val="00270F24"/>
    <w:rsid w:val="0027251C"/>
    <w:rsid w:val="00272649"/>
    <w:rsid w:val="0027293C"/>
    <w:rsid w:val="00272B4A"/>
    <w:rsid w:val="0027362B"/>
    <w:rsid w:val="00273F1C"/>
    <w:rsid w:val="00275122"/>
    <w:rsid w:val="00275969"/>
    <w:rsid w:val="00276D6B"/>
    <w:rsid w:val="002801AE"/>
    <w:rsid w:val="00280510"/>
    <w:rsid w:val="00280A3B"/>
    <w:rsid w:val="00280D09"/>
    <w:rsid w:val="00280F7C"/>
    <w:rsid w:val="00281496"/>
    <w:rsid w:val="00284656"/>
    <w:rsid w:val="0028585F"/>
    <w:rsid w:val="00285A20"/>
    <w:rsid w:val="00285D6A"/>
    <w:rsid w:val="00285E7D"/>
    <w:rsid w:val="00286011"/>
    <w:rsid w:val="00286432"/>
    <w:rsid w:val="002872E7"/>
    <w:rsid w:val="0029149E"/>
    <w:rsid w:val="002918FD"/>
    <w:rsid w:val="00291F44"/>
    <w:rsid w:val="00292789"/>
    <w:rsid w:val="00292B8F"/>
    <w:rsid w:val="002941B4"/>
    <w:rsid w:val="002941D5"/>
    <w:rsid w:val="00294453"/>
    <w:rsid w:val="002946A4"/>
    <w:rsid w:val="0029598C"/>
    <w:rsid w:val="00295E9B"/>
    <w:rsid w:val="00296901"/>
    <w:rsid w:val="002971BB"/>
    <w:rsid w:val="00297436"/>
    <w:rsid w:val="002975EA"/>
    <w:rsid w:val="002A0158"/>
    <w:rsid w:val="002A03C6"/>
    <w:rsid w:val="002A086E"/>
    <w:rsid w:val="002A0C7E"/>
    <w:rsid w:val="002A14BC"/>
    <w:rsid w:val="002A1655"/>
    <w:rsid w:val="002A2F2A"/>
    <w:rsid w:val="002A2F9A"/>
    <w:rsid w:val="002A3BCD"/>
    <w:rsid w:val="002A4C5A"/>
    <w:rsid w:val="002A56CF"/>
    <w:rsid w:val="002A6C90"/>
    <w:rsid w:val="002A7576"/>
    <w:rsid w:val="002A7A3C"/>
    <w:rsid w:val="002A7E3C"/>
    <w:rsid w:val="002B36D5"/>
    <w:rsid w:val="002B39C3"/>
    <w:rsid w:val="002B3B20"/>
    <w:rsid w:val="002B3FA4"/>
    <w:rsid w:val="002B4877"/>
    <w:rsid w:val="002B516D"/>
    <w:rsid w:val="002B5695"/>
    <w:rsid w:val="002B62B1"/>
    <w:rsid w:val="002B6471"/>
    <w:rsid w:val="002B711C"/>
    <w:rsid w:val="002B72B8"/>
    <w:rsid w:val="002B7D00"/>
    <w:rsid w:val="002C0F7E"/>
    <w:rsid w:val="002C1CBC"/>
    <w:rsid w:val="002C1E41"/>
    <w:rsid w:val="002C1F9D"/>
    <w:rsid w:val="002C2F41"/>
    <w:rsid w:val="002C4ADF"/>
    <w:rsid w:val="002C5F87"/>
    <w:rsid w:val="002C5F8B"/>
    <w:rsid w:val="002C6091"/>
    <w:rsid w:val="002C6610"/>
    <w:rsid w:val="002C667A"/>
    <w:rsid w:val="002C6C89"/>
    <w:rsid w:val="002C6D61"/>
    <w:rsid w:val="002C6D67"/>
    <w:rsid w:val="002C756D"/>
    <w:rsid w:val="002D162E"/>
    <w:rsid w:val="002D2B9A"/>
    <w:rsid w:val="002D386D"/>
    <w:rsid w:val="002D3BB7"/>
    <w:rsid w:val="002D3C40"/>
    <w:rsid w:val="002D435A"/>
    <w:rsid w:val="002D4887"/>
    <w:rsid w:val="002D4F02"/>
    <w:rsid w:val="002D5C41"/>
    <w:rsid w:val="002D66D3"/>
    <w:rsid w:val="002D7464"/>
    <w:rsid w:val="002E06E4"/>
    <w:rsid w:val="002E091C"/>
    <w:rsid w:val="002E2218"/>
    <w:rsid w:val="002E27DF"/>
    <w:rsid w:val="002E297A"/>
    <w:rsid w:val="002E2B45"/>
    <w:rsid w:val="002E3B8C"/>
    <w:rsid w:val="002E3D97"/>
    <w:rsid w:val="002E4C43"/>
    <w:rsid w:val="002E4F4A"/>
    <w:rsid w:val="002E5576"/>
    <w:rsid w:val="002E5746"/>
    <w:rsid w:val="002E5A7D"/>
    <w:rsid w:val="002E7078"/>
    <w:rsid w:val="002E7285"/>
    <w:rsid w:val="002E7A7F"/>
    <w:rsid w:val="002E7F45"/>
    <w:rsid w:val="002F046D"/>
    <w:rsid w:val="002F0D32"/>
    <w:rsid w:val="002F0E87"/>
    <w:rsid w:val="002F2731"/>
    <w:rsid w:val="002F3017"/>
    <w:rsid w:val="002F37A4"/>
    <w:rsid w:val="002F3E65"/>
    <w:rsid w:val="002F3F8A"/>
    <w:rsid w:val="002F41C3"/>
    <w:rsid w:val="002F46BA"/>
    <w:rsid w:val="002F7C70"/>
    <w:rsid w:val="003004CC"/>
    <w:rsid w:val="00300F94"/>
    <w:rsid w:val="00301274"/>
    <w:rsid w:val="003012BF"/>
    <w:rsid w:val="00301677"/>
    <w:rsid w:val="0030202D"/>
    <w:rsid w:val="003023F9"/>
    <w:rsid w:val="00302D9B"/>
    <w:rsid w:val="00303A58"/>
    <w:rsid w:val="00304DFB"/>
    <w:rsid w:val="003058F1"/>
    <w:rsid w:val="0030653A"/>
    <w:rsid w:val="00307288"/>
    <w:rsid w:val="0030779E"/>
    <w:rsid w:val="00310579"/>
    <w:rsid w:val="0031104C"/>
    <w:rsid w:val="0031127A"/>
    <w:rsid w:val="003113DE"/>
    <w:rsid w:val="003118A5"/>
    <w:rsid w:val="00311FD7"/>
    <w:rsid w:val="003120D5"/>
    <w:rsid w:val="00312134"/>
    <w:rsid w:val="00312FAB"/>
    <w:rsid w:val="003134CC"/>
    <w:rsid w:val="00313A45"/>
    <w:rsid w:val="00314F1B"/>
    <w:rsid w:val="00315CAC"/>
    <w:rsid w:val="00316B04"/>
    <w:rsid w:val="00316BA4"/>
    <w:rsid w:val="00317C84"/>
    <w:rsid w:val="00320412"/>
    <w:rsid w:val="00320589"/>
    <w:rsid w:val="00321536"/>
    <w:rsid w:val="003219E5"/>
    <w:rsid w:val="00321AD3"/>
    <w:rsid w:val="00321B0F"/>
    <w:rsid w:val="0032206F"/>
    <w:rsid w:val="00323964"/>
    <w:rsid w:val="003239D4"/>
    <w:rsid w:val="00323B32"/>
    <w:rsid w:val="00324FC4"/>
    <w:rsid w:val="00325296"/>
    <w:rsid w:val="003255F5"/>
    <w:rsid w:val="0032603F"/>
    <w:rsid w:val="003267FB"/>
    <w:rsid w:val="0033043A"/>
    <w:rsid w:val="00330936"/>
    <w:rsid w:val="00330ED3"/>
    <w:rsid w:val="0033146C"/>
    <w:rsid w:val="00331D74"/>
    <w:rsid w:val="00332490"/>
    <w:rsid w:val="003328D0"/>
    <w:rsid w:val="00332C26"/>
    <w:rsid w:val="00332F64"/>
    <w:rsid w:val="00333626"/>
    <w:rsid w:val="0033365B"/>
    <w:rsid w:val="0033423A"/>
    <w:rsid w:val="003344C6"/>
    <w:rsid w:val="00334C10"/>
    <w:rsid w:val="00335AC5"/>
    <w:rsid w:val="0033641A"/>
    <w:rsid w:val="00337443"/>
    <w:rsid w:val="003409BF"/>
    <w:rsid w:val="003409F9"/>
    <w:rsid w:val="003413D3"/>
    <w:rsid w:val="003413FA"/>
    <w:rsid w:val="003422EE"/>
    <w:rsid w:val="00342699"/>
    <w:rsid w:val="00342721"/>
    <w:rsid w:val="003428B0"/>
    <w:rsid w:val="00342B7C"/>
    <w:rsid w:val="0034386D"/>
    <w:rsid w:val="00343B38"/>
    <w:rsid w:val="003440E8"/>
    <w:rsid w:val="003441EA"/>
    <w:rsid w:val="00344447"/>
    <w:rsid w:val="0034475B"/>
    <w:rsid w:val="00344969"/>
    <w:rsid w:val="003462AB"/>
    <w:rsid w:val="00347312"/>
    <w:rsid w:val="00347A90"/>
    <w:rsid w:val="00347D4C"/>
    <w:rsid w:val="00350774"/>
    <w:rsid w:val="00350E46"/>
    <w:rsid w:val="00351882"/>
    <w:rsid w:val="003519FC"/>
    <w:rsid w:val="00351B63"/>
    <w:rsid w:val="00351C9A"/>
    <w:rsid w:val="00352547"/>
    <w:rsid w:val="003535FC"/>
    <w:rsid w:val="003547AA"/>
    <w:rsid w:val="00355934"/>
    <w:rsid w:val="00355FC0"/>
    <w:rsid w:val="0035641B"/>
    <w:rsid w:val="00356503"/>
    <w:rsid w:val="00356607"/>
    <w:rsid w:val="00356647"/>
    <w:rsid w:val="003569D1"/>
    <w:rsid w:val="00357597"/>
    <w:rsid w:val="003600C4"/>
    <w:rsid w:val="00360125"/>
    <w:rsid w:val="00361B51"/>
    <w:rsid w:val="0036236D"/>
    <w:rsid w:val="00362C16"/>
    <w:rsid w:val="003643E6"/>
    <w:rsid w:val="00364858"/>
    <w:rsid w:val="00364F33"/>
    <w:rsid w:val="0036511A"/>
    <w:rsid w:val="00365CD4"/>
    <w:rsid w:val="00367100"/>
    <w:rsid w:val="0036793C"/>
    <w:rsid w:val="00367D94"/>
    <w:rsid w:val="00367F5D"/>
    <w:rsid w:val="0037054E"/>
    <w:rsid w:val="0037086E"/>
    <w:rsid w:val="00370BB9"/>
    <w:rsid w:val="00370E46"/>
    <w:rsid w:val="00372081"/>
    <w:rsid w:val="0037258A"/>
    <w:rsid w:val="00372E04"/>
    <w:rsid w:val="003739E4"/>
    <w:rsid w:val="003746C6"/>
    <w:rsid w:val="003759E0"/>
    <w:rsid w:val="0037625C"/>
    <w:rsid w:val="0037694B"/>
    <w:rsid w:val="00376A68"/>
    <w:rsid w:val="00377668"/>
    <w:rsid w:val="00377924"/>
    <w:rsid w:val="003804A7"/>
    <w:rsid w:val="003808B1"/>
    <w:rsid w:val="00380E18"/>
    <w:rsid w:val="00381B68"/>
    <w:rsid w:val="00382794"/>
    <w:rsid w:val="00383142"/>
    <w:rsid w:val="0038345B"/>
    <w:rsid w:val="00383691"/>
    <w:rsid w:val="00383C8B"/>
    <w:rsid w:val="00384067"/>
    <w:rsid w:val="00384D64"/>
    <w:rsid w:val="003851B0"/>
    <w:rsid w:val="00385C42"/>
    <w:rsid w:val="00386C1D"/>
    <w:rsid w:val="003877C3"/>
    <w:rsid w:val="00390127"/>
    <w:rsid w:val="003909A4"/>
    <w:rsid w:val="00391D51"/>
    <w:rsid w:val="0039227D"/>
    <w:rsid w:val="0039253A"/>
    <w:rsid w:val="00392ABC"/>
    <w:rsid w:val="00392E57"/>
    <w:rsid w:val="00393583"/>
    <w:rsid w:val="00393E29"/>
    <w:rsid w:val="00394059"/>
    <w:rsid w:val="0039500C"/>
    <w:rsid w:val="003960D0"/>
    <w:rsid w:val="003966A4"/>
    <w:rsid w:val="00396C70"/>
    <w:rsid w:val="00397EB0"/>
    <w:rsid w:val="003A0613"/>
    <w:rsid w:val="003A061D"/>
    <w:rsid w:val="003A104D"/>
    <w:rsid w:val="003A1C58"/>
    <w:rsid w:val="003A21C0"/>
    <w:rsid w:val="003A33AC"/>
    <w:rsid w:val="003A4025"/>
    <w:rsid w:val="003A5541"/>
    <w:rsid w:val="003A584D"/>
    <w:rsid w:val="003A5A1C"/>
    <w:rsid w:val="003A6307"/>
    <w:rsid w:val="003A6532"/>
    <w:rsid w:val="003A694C"/>
    <w:rsid w:val="003A6B49"/>
    <w:rsid w:val="003A6DBD"/>
    <w:rsid w:val="003A72C2"/>
    <w:rsid w:val="003A75D0"/>
    <w:rsid w:val="003B031D"/>
    <w:rsid w:val="003B05D6"/>
    <w:rsid w:val="003B09EB"/>
    <w:rsid w:val="003B0F17"/>
    <w:rsid w:val="003B220F"/>
    <w:rsid w:val="003B230B"/>
    <w:rsid w:val="003B4314"/>
    <w:rsid w:val="003B4602"/>
    <w:rsid w:val="003B4987"/>
    <w:rsid w:val="003B4EDD"/>
    <w:rsid w:val="003B51C6"/>
    <w:rsid w:val="003B545F"/>
    <w:rsid w:val="003B5483"/>
    <w:rsid w:val="003B6EC4"/>
    <w:rsid w:val="003B70F0"/>
    <w:rsid w:val="003B7104"/>
    <w:rsid w:val="003B7327"/>
    <w:rsid w:val="003C0FE3"/>
    <w:rsid w:val="003C114E"/>
    <w:rsid w:val="003C2A8A"/>
    <w:rsid w:val="003C2BC5"/>
    <w:rsid w:val="003C2F75"/>
    <w:rsid w:val="003C30FE"/>
    <w:rsid w:val="003C3DEF"/>
    <w:rsid w:val="003C481F"/>
    <w:rsid w:val="003C57D0"/>
    <w:rsid w:val="003C61E7"/>
    <w:rsid w:val="003C6B81"/>
    <w:rsid w:val="003C701E"/>
    <w:rsid w:val="003D0129"/>
    <w:rsid w:val="003D0DEC"/>
    <w:rsid w:val="003D170B"/>
    <w:rsid w:val="003D17E1"/>
    <w:rsid w:val="003D1887"/>
    <w:rsid w:val="003D1D04"/>
    <w:rsid w:val="003D1E9A"/>
    <w:rsid w:val="003D224A"/>
    <w:rsid w:val="003D2426"/>
    <w:rsid w:val="003D2AE4"/>
    <w:rsid w:val="003D2BA9"/>
    <w:rsid w:val="003D2CB6"/>
    <w:rsid w:val="003D2F0F"/>
    <w:rsid w:val="003D37E9"/>
    <w:rsid w:val="003D3BCA"/>
    <w:rsid w:val="003D4799"/>
    <w:rsid w:val="003D4977"/>
    <w:rsid w:val="003D50A3"/>
    <w:rsid w:val="003D593F"/>
    <w:rsid w:val="003D6790"/>
    <w:rsid w:val="003E0AF0"/>
    <w:rsid w:val="003E13D1"/>
    <w:rsid w:val="003E1D6A"/>
    <w:rsid w:val="003E2A6B"/>
    <w:rsid w:val="003E2F91"/>
    <w:rsid w:val="003E3253"/>
    <w:rsid w:val="003E393B"/>
    <w:rsid w:val="003E3A06"/>
    <w:rsid w:val="003E3CE8"/>
    <w:rsid w:val="003E4C93"/>
    <w:rsid w:val="003E5271"/>
    <w:rsid w:val="003E5B82"/>
    <w:rsid w:val="003E683D"/>
    <w:rsid w:val="003E75AE"/>
    <w:rsid w:val="003E7629"/>
    <w:rsid w:val="003E7A58"/>
    <w:rsid w:val="003F013D"/>
    <w:rsid w:val="003F0395"/>
    <w:rsid w:val="003F048A"/>
    <w:rsid w:val="003F0728"/>
    <w:rsid w:val="003F1862"/>
    <w:rsid w:val="003F198A"/>
    <w:rsid w:val="003F1CF4"/>
    <w:rsid w:val="003F22FC"/>
    <w:rsid w:val="003F2BCD"/>
    <w:rsid w:val="003F4B1A"/>
    <w:rsid w:val="003F529F"/>
    <w:rsid w:val="003F57D5"/>
    <w:rsid w:val="003F5931"/>
    <w:rsid w:val="003F61C0"/>
    <w:rsid w:val="003F6EE9"/>
    <w:rsid w:val="003F7050"/>
    <w:rsid w:val="003F741B"/>
    <w:rsid w:val="00400A2A"/>
    <w:rsid w:val="00400B0C"/>
    <w:rsid w:val="00401000"/>
    <w:rsid w:val="0040102A"/>
    <w:rsid w:val="004017E5"/>
    <w:rsid w:val="00401980"/>
    <w:rsid w:val="00401F92"/>
    <w:rsid w:val="00404E26"/>
    <w:rsid w:val="004058FE"/>
    <w:rsid w:val="00405D45"/>
    <w:rsid w:val="00406266"/>
    <w:rsid w:val="004065DA"/>
    <w:rsid w:val="00406CFC"/>
    <w:rsid w:val="0041021C"/>
    <w:rsid w:val="004107E9"/>
    <w:rsid w:val="00410AC7"/>
    <w:rsid w:val="00411284"/>
    <w:rsid w:val="0041155D"/>
    <w:rsid w:val="004117C0"/>
    <w:rsid w:val="004118D5"/>
    <w:rsid w:val="00412BA1"/>
    <w:rsid w:val="00412BAC"/>
    <w:rsid w:val="00412EF4"/>
    <w:rsid w:val="0041366C"/>
    <w:rsid w:val="00413FAD"/>
    <w:rsid w:val="004143C7"/>
    <w:rsid w:val="0041572C"/>
    <w:rsid w:val="004157EC"/>
    <w:rsid w:val="004159C4"/>
    <w:rsid w:val="00415ABA"/>
    <w:rsid w:val="00415C12"/>
    <w:rsid w:val="00415D57"/>
    <w:rsid w:val="00416B5D"/>
    <w:rsid w:val="00417047"/>
    <w:rsid w:val="00417970"/>
    <w:rsid w:val="00417FCC"/>
    <w:rsid w:val="00417FDB"/>
    <w:rsid w:val="00420EE7"/>
    <w:rsid w:val="004214E7"/>
    <w:rsid w:val="004231F9"/>
    <w:rsid w:val="004233D2"/>
    <w:rsid w:val="0042375B"/>
    <w:rsid w:val="004238EA"/>
    <w:rsid w:val="0042459E"/>
    <w:rsid w:val="00426349"/>
    <w:rsid w:val="004269CA"/>
    <w:rsid w:val="004303A4"/>
    <w:rsid w:val="00430CD2"/>
    <w:rsid w:val="004317CA"/>
    <w:rsid w:val="004332E1"/>
    <w:rsid w:val="00433496"/>
    <w:rsid w:val="004334FF"/>
    <w:rsid w:val="00433720"/>
    <w:rsid w:val="004337FC"/>
    <w:rsid w:val="00437EB2"/>
    <w:rsid w:val="004404DF"/>
    <w:rsid w:val="00440EFB"/>
    <w:rsid w:val="004422DF"/>
    <w:rsid w:val="00442392"/>
    <w:rsid w:val="00442F94"/>
    <w:rsid w:val="00444BB4"/>
    <w:rsid w:val="00444EF1"/>
    <w:rsid w:val="0044567D"/>
    <w:rsid w:val="0044601F"/>
    <w:rsid w:val="00446237"/>
    <w:rsid w:val="00451442"/>
    <w:rsid w:val="004521D8"/>
    <w:rsid w:val="00452B00"/>
    <w:rsid w:val="004531A0"/>
    <w:rsid w:val="00453619"/>
    <w:rsid w:val="00453845"/>
    <w:rsid w:val="004541C9"/>
    <w:rsid w:val="0045488F"/>
    <w:rsid w:val="00454956"/>
    <w:rsid w:val="00454E8E"/>
    <w:rsid w:val="00454FCA"/>
    <w:rsid w:val="004562A4"/>
    <w:rsid w:val="00456B4E"/>
    <w:rsid w:val="00457956"/>
    <w:rsid w:val="00460596"/>
    <w:rsid w:val="004609DA"/>
    <w:rsid w:val="00461339"/>
    <w:rsid w:val="00461440"/>
    <w:rsid w:val="00462AC4"/>
    <w:rsid w:val="00462B35"/>
    <w:rsid w:val="00463071"/>
    <w:rsid w:val="00463540"/>
    <w:rsid w:val="004640D5"/>
    <w:rsid w:val="004657F2"/>
    <w:rsid w:val="00467061"/>
    <w:rsid w:val="0046763E"/>
    <w:rsid w:val="0046781D"/>
    <w:rsid w:val="00471CC1"/>
    <w:rsid w:val="00471D08"/>
    <w:rsid w:val="004721BE"/>
    <w:rsid w:val="0047237E"/>
    <w:rsid w:val="0047307E"/>
    <w:rsid w:val="004732CD"/>
    <w:rsid w:val="00473451"/>
    <w:rsid w:val="00473619"/>
    <w:rsid w:val="00473E10"/>
    <w:rsid w:val="004740DC"/>
    <w:rsid w:val="004744FF"/>
    <w:rsid w:val="00474521"/>
    <w:rsid w:val="00474772"/>
    <w:rsid w:val="0047505C"/>
    <w:rsid w:val="00475172"/>
    <w:rsid w:val="00475199"/>
    <w:rsid w:val="004754B3"/>
    <w:rsid w:val="004757ED"/>
    <w:rsid w:val="00476A6A"/>
    <w:rsid w:val="00476DF0"/>
    <w:rsid w:val="004778C7"/>
    <w:rsid w:val="0048094C"/>
    <w:rsid w:val="0048172E"/>
    <w:rsid w:val="00481761"/>
    <w:rsid w:val="00481D8B"/>
    <w:rsid w:val="00482358"/>
    <w:rsid w:val="004834E4"/>
    <w:rsid w:val="00483918"/>
    <w:rsid w:val="00483971"/>
    <w:rsid w:val="00484584"/>
    <w:rsid w:val="0048493A"/>
    <w:rsid w:val="00484CB5"/>
    <w:rsid w:val="004858CA"/>
    <w:rsid w:val="00485AF0"/>
    <w:rsid w:val="00486AD7"/>
    <w:rsid w:val="00486E53"/>
    <w:rsid w:val="0048772B"/>
    <w:rsid w:val="00487B8A"/>
    <w:rsid w:val="00487DE1"/>
    <w:rsid w:val="00487FEF"/>
    <w:rsid w:val="0049121F"/>
    <w:rsid w:val="0049242B"/>
    <w:rsid w:val="004925EA"/>
    <w:rsid w:val="00492874"/>
    <w:rsid w:val="004928FE"/>
    <w:rsid w:val="00492DDF"/>
    <w:rsid w:val="00492F8C"/>
    <w:rsid w:val="004931D5"/>
    <w:rsid w:val="00493838"/>
    <w:rsid w:val="00493B62"/>
    <w:rsid w:val="00494CAC"/>
    <w:rsid w:val="00494FB7"/>
    <w:rsid w:val="0049521C"/>
    <w:rsid w:val="00495872"/>
    <w:rsid w:val="00495A6A"/>
    <w:rsid w:val="00495DD4"/>
    <w:rsid w:val="00497CFE"/>
    <w:rsid w:val="004A0ADB"/>
    <w:rsid w:val="004A0CC9"/>
    <w:rsid w:val="004A102D"/>
    <w:rsid w:val="004A13D2"/>
    <w:rsid w:val="004A14E3"/>
    <w:rsid w:val="004A2B43"/>
    <w:rsid w:val="004A4329"/>
    <w:rsid w:val="004A4529"/>
    <w:rsid w:val="004A458F"/>
    <w:rsid w:val="004A4CE9"/>
    <w:rsid w:val="004A5013"/>
    <w:rsid w:val="004A530F"/>
    <w:rsid w:val="004A5882"/>
    <w:rsid w:val="004A5FB3"/>
    <w:rsid w:val="004A6304"/>
    <w:rsid w:val="004A7723"/>
    <w:rsid w:val="004A7974"/>
    <w:rsid w:val="004A79D1"/>
    <w:rsid w:val="004B04A0"/>
    <w:rsid w:val="004B0A6A"/>
    <w:rsid w:val="004B1159"/>
    <w:rsid w:val="004B1636"/>
    <w:rsid w:val="004B1A7D"/>
    <w:rsid w:val="004B2580"/>
    <w:rsid w:val="004B2BBB"/>
    <w:rsid w:val="004B2DD3"/>
    <w:rsid w:val="004B32BD"/>
    <w:rsid w:val="004B6310"/>
    <w:rsid w:val="004B63D0"/>
    <w:rsid w:val="004B696F"/>
    <w:rsid w:val="004B6B72"/>
    <w:rsid w:val="004B6B8C"/>
    <w:rsid w:val="004B6BBC"/>
    <w:rsid w:val="004B6F58"/>
    <w:rsid w:val="004B7622"/>
    <w:rsid w:val="004B7BB4"/>
    <w:rsid w:val="004B7DC3"/>
    <w:rsid w:val="004C0942"/>
    <w:rsid w:val="004C244B"/>
    <w:rsid w:val="004C413A"/>
    <w:rsid w:val="004C4654"/>
    <w:rsid w:val="004C49DF"/>
    <w:rsid w:val="004C67D6"/>
    <w:rsid w:val="004C6957"/>
    <w:rsid w:val="004C7C7A"/>
    <w:rsid w:val="004C7CB6"/>
    <w:rsid w:val="004C7D01"/>
    <w:rsid w:val="004D0EDC"/>
    <w:rsid w:val="004D0F22"/>
    <w:rsid w:val="004D1EB0"/>
    <w:rsid w:val="004D2F53"/>
    <w:rsid w:val="004D418C"/>
    <w:rsid w:val="004D41C8"/>
    <w:rsid w:val="004D48A5"/>
    <w:rsid w:val="004D53FC"/>
    <w:rsid w:val="004D54C2"/>
    <w:rsid w:val="004D57ED"/>
    <w:rsid w:val="004D58B1"/>
    <w:rsid w:val="004D5B8B"/>
    <w:rsid w:val="004D6411"/>
    <w:rsid w:val="004D694F"/>
    <w:rsid w:val="004D77E1"/>
    <w:rsid w:val="004D7B80"/>
    <w:rsid w:val="004E0A68"/>
    <w:rsid w:val="004E0FC0"/>
    <w:rsid w:val="004E118A"/>
    <w:rsid w:val="004E172C"/>
    <w:rsid w:val="004E1921"/>
    <w:rsid w:val="004E1DAB"/>
    <w:rsid w:val="004E1EC4"/>
    <w:rsid w:val="004E3F5D"/>
    <w:rsid w:val="004E489D"/>
    <w:rsid w:val="004E5445"/>
    <w:rsid w:val="004E59C7"/>
    <w:rsid w:val="004E5EF7"/>
    <w:rsid w:val="004E70EC"/>
    <w:rsid w:val="004E7E4B"/>
    <w:rsid w:val="004F07C5"/>
    <w:rsid w:val="004F1798"/>
    <w:rsid w:val="004F1A36"/>
    <w:rsid w:val="004F20D0"/>
    <w:rsid w:val="004F3A33"/>
    <w:rsid w:val="004F5EEC"/>
    <w:rsid w:val="004F655F"/>
    <w:rsid w:val="004F69EC"/>
    <w:rsid w:val="005018BE"/>
    <w:rsid w:val="005029BF"/>
    <w:rsid w:val="00503554"/>
    <w:rsid w:val="00503B6A"/>
    <w:rsid w:val="00503F15"/>
    <w:rsid w:val="00506494"/>
    <w:rsid w:val="00507151"/>
    <w:rsid w:val="005076C4"/>
    <w:rsid w:val="00507E1B"/>
    <w:rsid w:val="00510D11"/>
    <w:rsid w:val="00510E47"/>
    <w:rsid w:val="0051100D"/>
    <w:rsid w:val="00512083"/>
    <w:rsid w:val="005121A5"/>
    <w:rsid w:val="005122AF"/>
    <w:rsid w:val="00512780"/>
    <w:rsid w:val="00512B42"/>
    <w:rsid w:val="00514735"/>
    <w:rsid w:val="00515247"/>
    <w:rsid w:val="00515387"/>
    <w:rsid w:val="00515D45"/>
    <w:rsid w:val="0051686C"/>
    <w:rsid w:val="0051699D"/>
    <w:rsid w:val="00517F80"/>
    <w:rsid w:val="005200A8"/>
    <w:rsid w:val="00521B5B"/>
    <w:rsid w:val="0052223D"/>
    <w:rsid w:val="005224DC"/>
    <w:rsid w:val="00522552"/>
    <w:rsid w:val="0052304D"/>
    <w:rsid w:val="005233B7"/>
    <w:rsid w:val="005268C4"/>
    <w:rsid w:val="00526FDC"/>
    <w:rsid w:val="00527CD6"/>
    <w:rsid w:val="0053077E"/>
    <w:rsid w:val="00531877"/>
    <w:rsid w:val="00531D35"/>
    <w:rsid w:val="00531D9D"/>
    <w:rsid w:val="005333F8"/>
    <w:rsid w:val="0053384E"/>
    <w:rsid w:val="00534787"/>
    <w:rsid w:val="005349DB"/>
    <w:rsid w:val="00535027"/>
    <w:rsid w:val="00535AE9"/>
    <w:rsid w:val="00535BC0"/>
    <w:rsid w:val="005363F6"/>
    <w:rsid w:val="005365ED"/>
    <w:rsid w:val="00536C4F"/>
    <w:rsid w:val="00536CB9"/>
    <w:rsid w:val="005406AD"/>
    <w:rsid w:val="00540BAC"/>
    <w:rsid w:val="00541267"/>
    <w:rsid w:val="005419F8"/>
    <w:rsid w:val="0054226D"/>
    <w:rsid w:val="00542627"/>
    <w:rsid w:val="0054272A"/>
    <w:rsid w:val="00543257"/>
    <w:rsid w:val="0054450D"/>
    <w:rsid w:val="005448F4"/>
    <w:rsid w:val="0054536B"/>
    <w:rsid w:val="005462A4"/>
    <w:rsid w:val="0054657A"/>
    <w:rsid w:val="00546E5F"/>
    <w:rsid w:val="005474F3"/>
    <w:rsid w:val="005477BA"/>
    <w:rsid w:val="00550DC3"/>
    <w:rsid w:val="00551128"/>
    <w:rsid w:val="005522B5"/>
    <w:rsid w:val="0055246B"/>
    <w:rsid w:val="00552907"/>
    <w:rsid w:val="0055331B"/>
    <w:rsid w:val="00553493"/>
    <w:rsid w:val="00553928"/>
    <w:rsid w:val="00554364"/>
    <w:rsid w:val="005543A5"/>
    <w:rsid w:val="005546FB"/>
    <w:rsid w:val="00555B67"/>
    <w:rsid w:val="00555D7C"/>
    <w:rsid w:val="005572F1"/>
    <w:rsid w:val="0055734A"/>
    <w:rsid w:val="00557C7C"/>
    <w:rsid w:val="00561F60"/>
    <w:rsid w:val="00563554"/>
    <w:rsid w:val="00563A5C"/>
    <w:rsid w:val="00563E1F"/>
    <w:rsid w:val="00564932"/>
    <w:rsid w:val="00564D17"/>
    <w:rsid w:val="00564FB0"/>
    <w:rsid w:val="00565F9A"/>
    <w:rsid w:val="005663C9"/>
    <w:rsid w:val="005667AA"/>
    <w:rsid w:val="00567108"/>
    <w:rsid w:val="005671D3"/>
    <w:rsid w:val="00567A54"/>
    <w:rsid w:val="00567F17"/>
    <w:rsid w:val="00567F63"/>
    <w:rsid w:val="0057087D"/>
    <w:rsid w:val="00572354"/>
    <w:rsid w:val="0057296B"/>
    <w:rsid w:val="00572C13"/>
    <w:rsid w:val="00572E57"/>
    <w:rsid w:val="00573043"/>
    <w:rsid w:val="00573163"/>
    <w:rsid w:val="00573371"/>
    <w:rsid w:val="00574142"/>
    <w:rsid w:val="00574DC3"/>
    <w:rsid w:val="005751C1"/>
    <w:rsid w:val="00575B25"/>
    <w:rsid w:val="00575F47"/>
    <w:rsid w:val="00575FE7"/>
    <w:rsid w:val="00576D06"/>
    <w:rsid w:val="00576D90"/>
    <w:rsid w:val="0057751D"/>
    <w:rsid w:val="00577C4A"/>
    <w:rsid w:val="005802FD"/>
    <w:rsid w:val="005808EA"/>
    <w:rsid w:val="00581408"/>
    <w:rsid w:val="005816A0"/>
    <w:rsid w:val="005817C1"/>
    <w:rsid w:val="00581DDE"/>
    <w:rsid w:val="0058322B"/>
    <w:rsid w:val="005837E0"/>
    <w:rsid w:val="00583A07"/>
    <w:rsid w:val="00583BEE"/>
    <w:rsid w:val="00584819"/>
    <w:rsid w:val="005858E8"/>
    <w:rsid w:val="00585B8F"/>
    <w:rsid w:val="00586995"/>
    <w:rsid w:val="00586CBA"/>
    <w:rsid w:val="00586D3F"/>
    <w:rsid w:val="0058711A"/>
    <w:rsid w:val="00587489"/>
    <w:rsid w:val="00587F9C"/>
    <w:rsid w:val="005902A4"/>
    <w:rsid w:val="00590B5A"/>
    <w:rsid w:val="00590EB5"/>
    <w:rsid w:val="0059115C"/>
    <w:rsid w:val="00591532"/>
    <w:rsid w:val="00591696"/>
    <w:rsid w:val="005918D5"/>
    <w:rsid w:val="00591928"/>
    <w:rsid w:val="00591B59"/>
    <w:rsid w:val="005926C9"/>
    <w:rsid w:val="00592AAB"/>
    <w:rsid w:val="005935E0"/>
    <w:rsid w:val="0059368C"/>
    <w:rsid w:val="00594B36"/>
    <w:rsid w:val="005952AB"/>
    <w:rsid w:val="005962FB"/>
    <w:rsid w:val="005977E9"/>
    <w:rsid w:val="00597B00"/>
    <w:rsid w:val="00597FDE"/>
    <w:rsid w:val="005A0D50"/>
    <w:rsid w:val="005A0DD0"/>
    <w:rsid w:val="005A1060"/>
    <w:rsid w:val="005A1741"/>
    <w:rsid w:val="005A1BB9"/>
    <w:rsid w:val="005A28D2"/>
    <w:rsid w:val="005A29C7"/>
    <w:rsid w:val="005A3076"/>
    <w:rsid w:val="005A36D6"/>
    <w:rsid w:val="005A37F6"/>
    <w:rsid w:val="005A3B0E"/>
    <w:rsid w:val="005A3B8A"/>
    <w:rsid w:val="005A488C"/>
    <w:rsid w:val="005A4AE6"/>
    <w:rsid w:val="005A4BC1"/>
    <w:rsid w:val="005A5AA5"/>
    <w:rsid w:val="005B05C5"/>
    <w:rsid w:val="005B13F9"/>
    <w:rsid w:val="005B196B"/>
    <w:rsid w:val="005B1DBC"/>
    <w:rsid w:val="005B341C"/>
    <w:rsid w:val="005B4326"/>
    <w:rsid w:val="005B492F"/>
    <w:rsid w:val="005B4BEC"/>
    <w:rsid w:val="005B5EB7"/>
    <w:rsid w:val="005B67C1"/>
    <w:rsid w:val="005B705C"/>
    <w:rsid w:val="005B740B"/>
    <w:rsid w:val="005B784B"/>
    <w:rsid w:val="005B79CE"/>
    <w:rsid w:val="005C015B"/>
    <w:rsid w:val="005C0A0B"/>
    <w:rsid w:val="005C1E6F"/>
    <w:rsid w:val="005C2542"/>
    <w:rsid w:val="005C4415"/>
    <w:rsid w:val="005C4EEF"/>
    <w:rsid w:val="005C5054"/>
    <w:rsid w:val="005C572E"/>
    <w:rsid w:val="005C5A78"/>
    <w:rsid w:val="005C5BD3"/>
    <w:rsid w:val="005C68A6"/>
    <w:rsid w:val="005C78A6"/>
    <w:rsid w:val="005D11F7"/>
    <w:rsid w:val="005D13DA"/>
    <w:rsid w:val="005D15E2"/>
    <w:rsid w:val="005D2282"/>
    <w:rsid w:val="005D22D0"/>
    <w:rsid w:val="005D2342"/>
    <w:rsid w:val="005D2B8F"/>
    <w:rsid w:val="005D4408"/>
    <w:rsid w:val="005D5385"/>
    <w:rsid w:val="005D5A2B"/>
    <w:rsid w:val="005D7285"/>
    <w:rsid w:val="005D7A59"/>
    <w:rsid w:val="005D7E32"/>
    <w:rsid w:val="005E093D"/>
    <w:rsid w:val="005E1FE0"/>
    <w:rsid w:val="005E2664"/>
    <w:rsid w:val="005E31FA"/>
    <w:rsid w:val="005E3271"/>
    <w:rsid w:val="005E3A95"/>
    <w:rsid w:val="005E3D7F"/>
    <w:rsid w:val="005E3FED"/>
    <w:rsid w:val="005E56B7"/>
    <w:rsid w:val="005E5848"/>
    <w:rsid w:val="005E702E"/>
    <w:rsid w:val="005E77CB"/>
    <w:rsid w:val="005E7E60"/>
    <w:rsid w:val="005F0B19"/>
    <w:rsid w:val="005F1005"/>
    <w:rsid w:val="005F1D3C"/>
    <w:rsid w:val="005F28BD"/>
    <w:rsid w:val="005F2C50"/>
    <w:rsid w:val="005F2F62"/>
    <w:rsid w:val="005F3C08"/>
    <w:rsid w:val="005F50D3"/>
    <w:rsid w:val="005F5EB2"/>
    <w:rsid w:val="005F7092"/>
    <w:rsid w:val="005F7E1D"/>
    <w:rsid w:val="00601D53"/>
    <w:rsid w:val="00601D92"/>
    <w:rsid w:val="006020D5"/>
    <w:rsid w:val="006022B9"/>
    <w:rsid w:val="0060250A"/>
    <w:rsid w:val="00602A00"/>
    <w:rsid w:val="00602D0C"/>
    <w:rsid w:val="00602F4B"/>
    <w:rsid w:val="00603C50"/>
    <w:rsid w:val="006046D5"/>
    <w:rsid w:val="0060533C"/>
    <w:rsid w:val="00605F88"/>
    <w:rsid w:val="006063D1"/>
    <w:rsid w:val="006075B4"/>
    <w:rsid w:val="0060785B"/>
    <w:rsid w:val="006079B9"/>
    <w:rsid w:val="0061170A"/>
    <w:rsid w:val="00611E8E"/>
    <w:rsid w:val="006127AB"/>
    <w:rsid w:val="00612AA4"/>
    <w:rsid w:val="006135E8"/>
    <w:rsid w:val="0061380C"/>
    <w:rsid w:val="006140A1"/>
    <w:rsid w:val="00614303"/>
    <w:rsid w:val="00615F4D"/>
    <w:rsid w:val="00615F80"/>
    <w:rsid w:val="006167BD"/>
    <w:rsid w:val="00617511"/>
    <w:rsid w:val="00617A53"/>
    <w:rsid w:val="00620098"/>
    <w:rsid w:val="00622377"/>
    <w:rsid w:val="00623343"/>
    <w:rsid w:val="00623565"/>
    <w:rsid w:val="00623B55"/>
    <w:rsid w:val="00623F8D"/>
    <w:rsid w:val="006240C0"/>
    <w:rsid w:val="00624E9B"/>
    <w:rsid w:val="0062515B"/>
    <w:rsid w:val="006255BE"/>
    <w:rsid w:val="006258F1"/>
    <w:rsid w:val="00626130"/>
    <w:rsid w:val="00626685"/>
    <w:rsid w:val="006279D4"/>
    <w:rsid w:val="00627CF2"/>
    <w:rsid w:val="006305EA"/>
    <w:rsid w:val="00630FF5"/>
    <w:rsid w:val="006318E9"/>
    <w:rsid w:val="00631D39"/>
    <w:rsid w:val="00632ABA"/>
    <w:rsid w:val="006330D9"/>
    <w:rsid w:val="00633A41"/>
    <w:rsid w:val="00633DDB"/>
    <w:rsid w:val="00634037"/>
    <w:rsid w:val="0063420B"/>
    <w:rsid w:val="00634824"/>
    <w:rsid w:val="00634E16"/>
    <w:rsid w:val="00635716"/>
    <w:rsid w:val="006357E4"/>
    <w:rsid w:val="00635AFF"/>
    <w:rsid w:val="0063715B"/>
    <w:rsid w:val="006378E6"/>
    <w:rsid w:val="00637988"/>
    <w:rsid w:val="00640443"/>
    <w:rsid w:val="00640993"/>
    <w:rsid w:val="00640F45"/>
    <w:rsid w:val="00641473"/>
    <w:rsid w:val="0064188F"/>
    <w:rsid w:val="006418EE"/>
    <w:rsid w:val="0064247F"/>
    <w:rsid w:val="006428F7"/>
    <w:rsid w:val="00642CCE"/>
    <w:rsid w:val="006439DF"/>
    <w:rsid w:val="00644245"/>
    <w:rsid w:val="00644635"/>
    <w:rsid w:val="006458E4"/>
    <w:rsid w:val="006459EE"/>
    <w:rsid w:val="006474E4"/>
    <w:rsid w:val="00650587"/>
    <w:rsid w:val="00650CD0"/>
    <w:rsid w:val="0065252E"/>
    <w:rsid w:val="006527BB"/>
    <w:rsid w:val="00653756"/>
    <w:rsid w:val="00653993"/>
    <w:rsid w:val="00653C5E"/>
    <w:rsid w:val="00654062"/>
    <w:rsid w:val="00654239"/>
    <w:rsid w:val="00655CC0"/>
    <w:rsid w:val="00656BAD"/>
    <w:rsid w:val="00656C9C"/>
    <w:rsid w:val="00657346"/>
    <w:rsid w:val="006577BC"/>
    <w:rsid w:val="00661075"/>
    <w:rsid w:val="006615C3"/>
    <w:rsid w:val="006615F6"/>
    <w:rsid w:val="00661F34"/>
    <w:rsid w:val="00661F9D"/>
    <w:rsid w:val="0066210A"/>
    <w:rsid w:val="00662AD3"/>
    <w:rsid w:val="00662D2E"/>
    <w:rsid w:val="00662FA2"/>
    <w:rsid w:val="00662FB3"/>
    <w:rsid w:val="00664CC3"/>
    <w:rsid w:val="00665607"/>
    <w:rsid w:val="0066632A"/>
    <w:rsid w:val="0066681B"/>
    <w:rsid w:val="00667A78"/>
    <w:rsid w:val="00667A7A"/>
    <w:rsid w:val="00667D05"/>
    <w:rsid w:val="0067031E"/>
    <w:rsid w:val="006708F0"/>
    <w:rsid w:val="00670DE7"/>
    <w:rsid w:val="00671D13"/>
    <w:rsid w:val="00671EA6"/>
    <w:rsid w:val="00672440"/>
    <w:rsid w:val="006729F0"/>
    <w:rsid w:val="00673090"/>
    <w:rsid w:val="0067598A"/>
    <w:rsid w:val="00676072"/>
    <w:rsid w:val="00676723"/>
    <w:rsid w:val="006768D2"/>
    <w:rsid w:val="00677257"/>
    <w:rsid w:val="00677433"/>
    <w:rsid w:val="00677738"/>
    <w:rsid w:val="00677790"/>
    <w:rsid w:val="00677D07"/>
    <w:rsid w:val="00677F61"/>
    <w:rsid w:val="00680E46"/>
    <w:rsid w:val="00681AFA"/>
    <w:rsid w:val="00681EE1"/>
    <w:rsid w:val="00682D28"/>
    <w:rsid w:val="00683841"/>
    <w:rsid w:val="00684129"/>
    <w:rsid w:val="00684393"/>
    <w:rsid w:val="0068555D"/>
    <w:rsid w:val="00685B9C"/>
    <w:rsid w:val="006865E3"/>
    <w:rsid w:val="00686F94"/>
    <w:rsid w:val="006872C4"/>
    <w:rsid w:val="00687389"/>
    <w:rsid w:val="006874B2"/>
    <w:rsid w:val="00690783"/>
    <w:rsid w:val="0069099B"/>
    <w:rsid w:val="006909FC"/>
    <w:rsid w:val="00691351"/>
    <w:rsid w:val="00691720"/>
    <w:rsid w:val="006923B5"/>
    <w:rsid w:val="00692789"/>
    <w:rsid w:val="00692D80"/>
    <w:rsid w:val="006938A9"/>
    <w:rsid w:val="006942C3"/>
    <w:rsid w:val="00694367"/>
    <w:rsid w:val="00694516"/>
    <w:rsid w:val="006947BA"/>
    <w:rsid w:val="00695524"/>
    <w:rsid w:val="00697713"/>
    <w:rsid w:val="006A1591"/>
    <w:rsid w:val="006A20CB"/>
    <w:rsid w:val="006A2C26"/>
    <w:rsid w:val="006A30A6"/>
    <w:rsid w:val="006A361A"/>
    <w:rsid w:val="006A4412"/>
    <w:rsid w:val="006A45C4"/>
    <w:rsid w:val="006A46C1"/>
    <w:rsid w:val="006A4974"/>
    <w:rsid w:val="006A5C09"/>
    <w:rsid w:val="006A5CEF"/>
    <w:rsid w:val="006A5FC7"/>
    <w:rsid w:val="006A6CDA"/>
    <w:rsid w:val="006A7007"/>
    <w:rsid w:val="006A7572"/>
    <w:rsid w:val="006B02FE"/>
    <w:rsid w:val="006B07A3"/>
    <w:rsid w:val="006B180E"/>
    <w:rsid w:val="006B1BA3"/>
    <w:rsid w:val="006B26D2"/>
    <w:rsid w:val="006B31E5"/>
    <w:rsid w:val="006B3689"/>
    <w:rsid w:val="006B3DBF"/>
    <w:rsid w:val="006B3F8D"/>
    <w:rsid w:val="006B4E59"/>
    <w:rsid w:val="006B5486"/>
    <w:rsid w:val="006B5536"/>
    <w:rsid w:val="006B598D"/>
    <w:rsid w:val="006B7388"/>
    <w:rsid w:val="006B7751"/>
    <w:rsid w:val="006B7979"/>
    <w:rsid w:val="006B7D60"/>
    <w:rsid w:val="006C041D"/>
    <w:rsid w:val="006C0B8D"/>
    <w:rsid w:val="006C0D88"/>
    <w:rsid w:val="006C1A2D"/>
    <w:rsid w:val="006C2E4F"/>
    <w:rsid w:val="006C372C"/>
    <w:rsid w:val="006C3EEA"/>
    <w:rsid w:val="006C47BA"/>
    <w:rsid w:val="006C4BA1"/>
    <w:rsid w:val="006C4D04"/>
    <w:rsid w:val="006C53E7"/>
    <w:rsid w:val="006C5856"/>
    <w:rsid w:val="006C5A6C"/>
    <w:rsid w:val="006C706C"/>
    <w:rsid w:val="006C7BE9"/>
    <w:rsid w:val="006D0EE1"/>
    <w:rsid w:val="006D1057"/>
    <w:rsid w:val="006D1180"/>
    <w:rsid w:val="006D1B8D"/>
    <w:rsid w:val="006D2335"/>
    <w:rsid w:val="006D2F98"/>
    <w:rsid w:val="006D3DA0"/>
    <w:rsid w:val="006D43A5"/>
    <w:rsid w:val="006D4889"/>
    <w:rsid w:val="006D5845"/>
    <w:rsid w:val="006D5BA2"/>
    <w:rsid w:val="006D6574"/>
    <w:rsid w:val="006D67D9"/>
    <w:rsid w:val="006D6A89"/>
    <w:rsid w:val="006D723E"/>
    <w:rsid w:val="006D73B9"/>
    <w:rsid w:val="006E0BDD"/>
    <w:rsid w:val="006E161C"/>
    <w:rsid w:val="006E1862"/>
    <w:rsid w:val="006E188B"/>
    <w:rsid w:val="006E1B69"/>
    <w:rsid w:val="006E221F"/>
    <w:rsid w:val="006E292A"/>
    <w:rsid w:val="006E2B3B"/>
    <w:rsid w:val="006E33C2"/>
    <w:rsid w:val="006E4BC9"/>
    <w:rsid w:val="006E5460"/>
    <w:rsid w:val="006E5F1E"/>
    <w:rsid w:val="006E6F0A"/>
    <w:rsid w:val="006E74A9"/>
    <w:rsid w:val="006F0CC6"/>
    <w:rsid w:val="006F1B08"/>
    <w:rsid w:val="006F1B2C"/>
    <w:rsid w:val="006F1DC4"/>
    <w:rsid w:val="006F306D"/>
    <w:rsid w:val="006F386D"/>
    <w:rsid w:val="006F3E4D"/>
    <w:rsid w:val="006F432B"/>
    <w:rsid w:val="006F57A6"/>
    <w:rsid w:val="006F60A7"/>
    <w:rsid w:val="006F6E38"/>
    <w:rsid w:val="006F70D0"/>
    <w:rsid w:val="007002B1"/>
    <w:rsid w:val="0070032A"/>
    <w:rsid w:val="007008EE"/>
    <w:rsid w:val="00700FB6"/>
    <w:rsid w:val="007029DC"/>
    <w:rsid w:val="00703493"/>
    <w:rsid w:val="007041E4"/>
    <w:rsid w:val="00704383"/>
    <w:rsid w:val="0070558F"/>
    <w:rsid w:val="007063E0"/>
    <w:rsid w:val="0070773D"/>
    <w:rsid w:val="00707766"/>
    <w:rsid w:val="007077AC"/>
    <w:rsid w:val="00710439"/>
    <w:rsid w:val="007108B3"/>
    <w:rsid w:val="00710C9B"/>
    <w:rsid w:val="00710DA8"/>
    <w:rsid w:val="00710F13"/>
    <w:rsid w:val="00711204"/>
    <w:rsid w:val="007113B9"/>
    <w:rsid w:val="00712019"/>
    <w:rsid w:val="00712616"/>
    <w:rsid w:val="0071300A"/>
    <w:rsid w:val="0071332E"/>
    <w:rsid w:val="007141AA"/>
    <w:rsid w:val="007149F7"/>
    <w:rsid w:val="00714CEE"/>
    <w:rsid w:val="00715721"/>
    <w:rsid w:val="00716BAC"/>
    <w:rsid w:val="00716F85"/>
    <w:rsid w:val="0072050A"/>
    <w:rsid w:val="007207BF"/>
    <w:rsid w:val="007209C3"/>
    <w:rsid w:val="00721082"/>
    <w:rsid w:val="00722080"/>
    <w:rsid w:val="007224D8"/>
    <w:rsid w:val="007228FB"/>
    <w:rsid w:val="00723673"/>
    <w:rsid w:val="00725355"/>
    <w:rsid w:val="0072658D"/>
    <w:rsid w:val="007272FA"/>
    <w:rsid w:val="00727498"/>
    <w:rsid w:val="00730198"/>
    <w:rsid w:val="00730670"/>
    <w:rsid w:val="00730833"/>
    <w:rsid w:val="00731A8B"/>
    <w:rsid w:val="00731C03"/>
    <w:rsid w:val="00731E8F"/>
    <w:rsid w:val="007323D4"/>
    <w:rsid w:val="007324A9"/>
    <w:rsid w:val="00732D9F"/>
    <w:rsid w:val="00732F08"/>
    <w:rsid w:val="007332DD"/>
    <w:rsid w:val="00734AEC"/>
    <w:rsid w:val="00735091"/>
    <w:rsid w:val="00735688"/>
    <w:rsid w:val="00735823"/>
    <w:rsid w:val="00735C64"/>
    <w:rsid w:val="007369DB"/>
    <w:rsid w:val="00737643"/>
    <w:rsid w:val="007400C8"/>
    <w:rsid w:val="007404BD"/>
    <w:rsid w:val="00740731"/>
    <w:rsid w:val="0074085C"/>
    <w:rsid w:val="00741D5C"/>
    <w:rsid w:val="00742582"/>
    <w:rsid w:val="00744646"/>
    <w:rsid w:val="007448BC"/>
    <w:rsid w:val="0074541C"/>
    <w:rsid w:val="00745828"/>
    <w:rsid w:val="00745F5C"/>
    <w:rsid w:val="007462FD"/>
    <w:rsid w:val="0074676E"/>
    <w:rsid w:val="00746D24"/>
    <w:rsid w:val="00747085"/>
    <w:rsid w:val="00747142"/>
    <w:rsid w:val="007503B7"/>
    <w:rsid w:val="00750656"/>
    <w:rsid w:val="00751747"/>
    <w:rsid w:val="00751C58"/>
    <w:rsid w:val="00751CD7"/>
    <w:rsid w:val="0075218A"/>
    <w:rsid w:val="00754458"/>
    <w:rsid w:val="007548AD"/>
    <w:rsid w:val="00754DA5"/>
    <w:rsid w:val="00755655"/>
    <w:rsid w:val="007566AE"/>
    <w:rsid w:val="00757109"/>
    <w:rsid w:val="00757FDE"/>
    <w:rsid w:val="00760BB2"/>
    <w:rsid w:val="00760DF9"/>
    <w:rsid w:val="00761E20"/>
    <w:rsid w:val="007623ED"/>
    <w:rsid w:val="00762FD2"/>
    <w:rsid w:val="00763885"/>
    <w:rsid w:val="00763C4D"/>
    <w:rsid w:val="007643EB"/>
    <w:rsid w:val="00766178"/>
    <w:rsid w:val="00766AA3"/>
    <w:rsid w:val="00767B00"/>
    <w:rsid w:val="0077018E"/>
    <w:rsid w:val="00770955"/>
    <w:rsid w:val="0077106A"/>
    <w:rsid w:val="00771609"/>
    <w:rsid w:val="00771A26"/>
    <w:rsid w:val="00771C99"/>
    <w:rsid w:val="00771F1D"/>
    <w:rsid w:val="0077342C"/>
    <w:rsid w:val="00777232"/>
    <w:rsid w:val="00777B7B"/>
    <w:rsid w:val="00777D8E"/>
    <w:rsid w:val="00780F4C"/>
    <w:rsid w:val="007816BF"/>
    <w:rsid w:val="007822B4"/>
    <w:rsid w:val="00782F1C"/>
    <w:rsid w:val="00783B26"/>
    <w:rsid w:val="007848F4"/>
    <w:rsid w:val="00784F92"/>
    <w:rsid w:val="007852AE"/>
    <w:rsid w:val="007856DA"/>
    <w:rsid w:val="00786AD9"/>
    <w:rsid w:val="00786FA2"/>
    <w:rsid w:val="007870A7"/>
    <w:rsid w:val="0078759E"/>
    <w:rsid w:val="00791394"/>
    <w:rsid w:val="007920AE"/>
    <w:rsid w:val="00792114"/>
    <w:rsid w:val="007921AC"/>
    <w:rsid w:val="00792D08"/>
    <w:rsid w:val="00792D0D"/>
    <w:rsid w:val="00792D47"/>
    <w:rsid w:val="00793290"/>
    <w:rsid w:val="00794115"/>
    <w:rsid w:val="00794566"/>
    <w:rsid w:val="00794D14"/>
    <w:rsid w:val="00794FC3"/>
    <w:rsid w:val="0079610E"/>
    <w:rsid w:val="00796CEA"/>
    <w:rsid w:val="00796F66"/>
    <w:rsid w:val="00797B1E"/>
    <w:rsid w:val="007A012D"/>
    <w:rsid w:val="007A0F86"/>
    <w:rsid w:val="007A1473"/>
    <w:rsid w:val="007A2322"/>
    <w:rsid w:val="007A3303"/>
    <w:rsid w:val="007A35AE"/>
    <w:rsid w:val="007A3923"/>
    <w:rsid w:val="007A3B25"/>
    <w:rsid w:val="007A44E9"/>
    <w:rsid w:val="007A5B5E"/>
    <w:rsid w:val="007A66F2"/>
    <w:rsid w:val="007A7C0D"/>
    <w:rsid w:val="007B01E0"/>
    <w:rsid w:val="007B0C4C"/>
    <w:rsid w:val="007B16B8"/>
    <w:rsid w:val="007B2893"/>
    <w:rsid w:val="007B2B65"/>
    <w:rsid w:val="007B3E70"/>
    <w:rsid w:val="007B3F5D"/>
    <w:rsid w:val="007B5E97"/>
    <w:rsid w:val="007B63EC"/>
    <w:rsid w:val="007B69F6"/>
    <w:rsid w:val="007B6AFC"/>
    <w:rsid w:val="007B7067"/>
    <w:rsid w:val="007C0025"/>
    <w:rsid w:val="007C0060"/>
    <w:rsid w:val="007C0180"/>
    <w:rsid w:val="007C0E5A"/>
    <w:rsid w:val="007C1C09"/>
    <w:rsid w:val="007C204F"/>
    <w:rsid w:val="007C2ECF"/>
    <w:rsid w:val="007C3C69"/>
    <w:rsid w:val="007C3DE4"/>
    <w:rsid w:val="007C3DE6"/>
    <w:rsid w:val="007C49A9"/>
    <w:rsid w:val="007C66DF"/>
    <w:rsid w:val="007C6804"/>
    <w:rsid w:val="007C6B02"/>
    <w:rsid w:val="007C6D63"/>
    <w:rsid w:val="007C6F45"/>
    <w:rsid w:val="007C79D7"/>
    <w:rsid w:val="007C7E68"/>
    <w:rsid w:val="007D0198"/>
    <w:rsid w:val="007D065A"/>
    <w:rsid w:val="007D0935"/>
    <w:rsid w:val="007D190A"/>
    <w:rsid w:val="007D19A0"/>
    <w:rsid w:val="007D25C5"/>
    <w:rsid w:val="007D2B7B"/>
    <w:rsid w:val="007D2DE8"/>
    <w:rsid w:val="007D316A"/>
    <w:rsid w:val="007D34A1"/>
    <w:rsid w:val="007D37D8"/>
    <w:rsid w:val="007D3BFF"/>
    <w:rsid w:val="007D3CEB"/>
    <w:rsid w:val="007D45AE"/>
    <w:rsid w:val="007D4722"/>
    <w:rsid w:val="007D54BC"/>
    <w:rsid w:val="007D5961"/>
    <w:rsid w:val="007D6CF0"/>
    <w:rsid w:val="007D6D55"/>
    <w:rsid w:val="007E0029"/>
    <w:rsid w:val="007E1A4B"/>
    <w:rsid w:val="007E1DC3"/>
    <w:rsid w:val="007E2079"/>
    <w:rsid w:val="007E2AA6"/>
    <w:rsid w:val="007E2E06"/>
    <w:rsid w:val="007E2E5C"/>
    <w:rsid w:val="007E3448"/>
    <w:rsid w:val="007E34D4"/>
    <w:rsid w:val="007E40DE"/>
    <w:rsid w:val="007E60ED"/>
    <w:rsid w:val="007E670E"/>
    <w:rsid w:val="007E6F84"/>
    <w:rsid w:val="007E7276"/>
    <w:rsid w:val="007E73DC"/>
    <w:rsid w:val="007E77F5"/>
    <w:rsid w:val="007F048C"/>
    <w:rsid w:val="007F1F27"/>
    <w:rsid w:val="007F2F82"/>
    <w:rsid w:val="007F313D"/>
    <w:rsid w:val="007F349F"/>
    <w:rsid w:val="007F3AB0"/>
    <w:rsid w:val="007F4387"/>
    <w:rsid w:val="007F4837"/>
    <w:rsid w:val="007F4DBA"/>
    <w:rsid w:val="007F4E86"/>
    <w:rsid w:val="007F514C"/>
    <w:rsid w:val="007F58CA"/>
    <w:rsid w:val="007F66CC"/>
    <w:rsid w:val="007F6702"/>
    <w:rsid w:val="007F743A"/>
    <w:rsid w:val="007F75FD"/>
    <w:rsid w:val="00800913"/>
    <w:rsid w:val="00800BCA"/>
    <w:rsid w:val="00800FC2"/>
    <w:rsid w:val="008013C2"/>
    <w:rsid w:val="0080267A"/>
    <w:rsid w:val="008026C5"/>
    <w:rsid w:val="008028CE"/>
    <w:rsid w:val="00802B21"/>
    <w:rsid w:val="00802D50"/>
    <w:rsid w:val="00803756"/>
    <w:rsid w:val="00803CA7"/>
    <w:rsid w:val="0080416C"/>
    <w:rsid w:val="00804552"/>
    <w:rsid w:val="008056EE"/>
    <w:rsid w:val="008059C9"/>
    <w:rsid w:val="0080612F"/>
    <w:rsid w:val="008063DA"/>
    <w:rsid w:val="00806B35"/>
    <w:rsid w:val="008102B3"/>
    <w:rsid w:val="008113BD"/>
    <w:rsid w:val="0081194F"/>
    <w:rsid w:val="008122B9"/>
    <w:rsid w:val="0081256A"/>
    <w:rsid w:val="008128C9"/>
    <w:rsid w:val="00812D06"/>
    <w:rsid w:val="008130D0"/>
    <w:rsid w:val="00813DF8"/>
    <w:rsid w:val="00813FB4"/>
    <w:rsid w:val="008143DC"/>
    <w:rsid w:val="00814A80"/>
    <w:rsid w:val="00816690"/>
    <w:rsid w:val="008166F4"/>
    <w:rsid w:val="00816762"/>
    <w:rsid w:val="0081718D"/>
    <w:rsid w:val="008172FF"/>
    <w:rsid w:val="00817521"/>
    <w:rsid w:val="0081774D"/>
    <w:rsid w:val="00817D11"/>
    <w:rsid w:val="0082084F"/>
    <w:rsid w:val="00821881"/>
    <w:rsid w:val="00821AE7"/>
    <w:rsid w:val="00821D38"/>
    <w:rsid w:val="00821D9D"/>
    <w:rsid w:val="00822176"/>
    <w:rsid w:val="008221B8"/>
    <w:rsid w:val="008223B8"/>
    <w:rsid w:val="008224F1"/>
    <w:rsid w:val="008230FA"/>
    <w:rsid w:val="008232AA"/>
    <w:rsid w:val="00823CD3"/>
    <w:rsid w:val="008240B9"/>
    <w:rsid w:val="0082429D"/>
    <w:rsid w:val="008242AC"/>
    <w:rsid w:val="00824445"/>
    <w:rsid w:val="00824681"/>
    <w:rsid w:val="00824911"/>
    <w:rsid w:val="008252BE"/>
    <w:rsid w:val="0082567E"/>
    <w:rsid w:val="008277A9"/>
    <w:rsid w:val="008279FB"/>
    <w:rsid w:val="008302A3"/>
    <w:rsid w:val="008305C8"/>
    <w:rsid w:val="008311EF"/>
    <w:rsid w:val="00831AD5"/>
    <w:rsid w:val="00832B4B"/>
    <w:rsid w:val="00834A51"/>
    <w:rsid w:val="00834A78"/>
    <w:rsid w:val="00834DA7"/>
    <w:rsid w:val="00835303"/>
    <w:rsid w:val="00835BE5"/>
    <w:rsid w:val="00835F31"/>
    <w:rsid w:val="00836BE7"/>
    <w:rsid w:val="00837258"/>
    <w:rsid w:val="00837891"/>
    <w:rsid w:val="008404ED"/>
    <w:rsid w:val="00840A9E"/>
    <w:rsid w:val="00840FF6"/>
    <w:rsid w:val="00841970"/>
    <w:rsid w:val="008423A8"/>
    <w:rsid w:val="008426B3"/>
    <w:rsid w:val="00843549"/>
    <w:rsid w:val="008435CF"/>
    <w:rsid w:val="0084420E"/>
    <w:rsid w:val="00844E0C"/>
    <w:rsid w:val="00845CD3"/>
    <w:rsid w:val="0084601C"/>
    <w:rsid w:val="0084663E"/>
    <w:rsid w:val="00847535"/>
    <w:rsid w:val="00850515"/>
    <w:rsid w:val="00851022"/>
    <w:rsid w:val="008511F1"/>
    <w:rsid w:val="00851622"/>
    <w:rsid w:val="00851AAB"/>
    <w:rsid w:val="008525F9"/>
    <w:rsid w:val="00852C7D"/>
    <w:rsid w:val="00853186"/>
    <w:rsid w:val="00853860"/>
    <w:rsid w:val="00854188"/>
    <w:rsid w:val="0085465A"/>
    <w:rsid w:val="008551A0"/>
    <w:rsid w:val="00855CE9"/>
    <w:rsid w:val="008564CB"/>
    <w:rsid w:val="00856574"/>
    <w:rsid w:val="008572B0"/>
    <w:rsid w:val="00862DDA"/>
    <w:rsid w:val="008632B9"/>
    <w:rsid w:val="00864003"/>
    <w:rsid w:val="00864264"/>
    <w:rsid w:val="0086430D"/>
    <w:rsid w:val="0086470D"/>
    <w:rsid w:val="00864BE0"/>
    <w:rsid w:val="0086511B"/>
    <w:rsid w:val="0086543D"/>
    <w:rsid w:val="00865628"/>
    <w:rsid w:val="00866C87"/>
    <w:rsid w:val="008676C0"/>
    <w:rsid w:val="00867D8F"/>
    <w:rsid w:val="00870788"/>
    <w:rsid w:val="00870CDF"/>
    <w:rsid w:val="00870D52"/>
    <w:rsid w:val="00871205"/>
    <w:rsid w:val="00871B96"/>
    <w:rsid w:val="0087284A"/>
    <w:rsid w:val="00872931"/>
    <w:rsid w:val="00872A5D"/>
    <w:rsid w:val="0087399C"/>
    <w:rsid w:val="00873B4C"/>
    <w:rsid w:val="00873F3C"/>
    <w:rsid w:val="00874934"/>
    <w:rsid w:val="00875123"/>
    <w:rsid w:val="00875853"/>
    <w:rsid w:val="00875CA8"/>
    <w:rsid w:val="00875F53"/>
    <w:rsid w:val="0087679A"/>
    <w:rsid w:val="00876C62"/>
    <w:rsid w:val="008808AF"/>
    <w:rsid w:val="0088254A"/>
    <w:rsid w:val="008842E9"/>
    <w:rsid w:val="00884357"/>
    <w:rsid w:val="00884888"/>
    <w:rsid w:val="00884BD4"/>
    <w:rsid w:val="00885191"/>
    <w:rsid w:val="0088618E"/>
    <w:rsid w:val="00887D1F"/>
    <w:rsid w:val="0089042B"/>
    <w:rsid w:val="008926D4"/>
    <w:rsid w:val="00893ECC"/>
    <w:rsid w:val="00894239"/>
    <w:rsid w:val="00894827"/>
    <w:rsid w:val="008953D6"/>
    <w:rsid w:val="008954CE"/>
    <w:rsid w:val="00896A3C"/>
    <w:rsid w:val="00896F5C"/>
    <w:rsid w:val="008A035F"/>
    <w:rsid w:val="008A0C49"/>
    <w:rsid w:val="008A0D6E"/>
    <w:rsid w:val="008A1499"/>
    <w:rsid w:val="008A1A4B"/>
    <w:rsid w:val="008A25F6"/>
    <w:rsid w:val="008A28FE"/>
    <w:rsid w:val="008A309B"/>
    <w:rsid w:val="008A347B"/>
    <w:rsid w:val="008A3699"/>
    <w:rsid w:val="008A469D"/>
    <w:rsid w:val="008A4FD1"/>
    <w:rsid w:val="008A6591"/>
    <w:rsid w:val="008A6EE4"/>
    <w:rsid w:val="008A6F76"/>
    <w:rsid w:val="008A7A53"/>
    <w:rsid w:val="008A7BCA"/>
    <w:rsid w:val="008B0178"/>
    <w:rsid w:val="008B12E9"/>
    <w:rsid w:val="008B151D"/>
    <w:rsid w:val="008B170D"/>
    <w:rsid w:val="008B1993"/>
    <w:rsid w:val="008B26E0"/>
    <w:rsid w:val="008B3038"/>
    <w:rsid w:val="008B314E"/>
    <w:rsid w:val="008B34F9"/>
    <w:rsid w:val="008B4177"/>
    <w:rsid w:val="008B4667"/>
    <w:rsid w:val="008B57C6"/>
    <w:rsid w:val="008B5B6A"/>
    <w:rsid w:val="008B5E96"/>
    <w:rsid w:val="008B6605"/>
    <w:rsid w:val="008B6BF0"/>
    <w:rsid w:val="008B6DD0"/>
    <w:rsid w:val="008B76B3"/>
    <w:rsid w:val="008C00D8"/>
    <w:rsid w:val="008C0903"/>
    <w:rsid w:val="008C10CE"/>
    <w:rsid w:val="008C11DD"/>
    <w:rsid w:val="008C20FA"/>
    <w:rsid w:val="008C3213"/>
    <w:rsid w:val="008C3F31"/>
    <w:rsid w:val="008C4064"/>
    <w:rsid w:val="008C40B3"/>
    <w:rsid w:val="008C5639"/>
    <w:rsid w:val="008C5C71"/>
    <w:rsid w:val="008C63B8"/>
    <w:rsid w:val="008C6F2B"/>
    <w:rsid w:val="008D0768"/>
    <w:rsid w:val="008D0D7F"/>
    <w:rsid w:val="008D1566"/>
    <w:rsid w:val="008D1B1F"/>
    <w:rsid w:val="008D2F18"/>
    <w:rsid w:val="008D3CA8"/>
    <w:rsid w:val="008D3E06"/>
    <w:rsid w:val="008D4B5E"/>
    <w:rsid w:val="008D5013"/>
    <w:rsid w:val="008D59CB"/>
    <w:rsid w:val="008D5F04"/>
    <w:rsid w:val="008D681A"/>
    <w:rsid w:val="008D6A9E"/>
    <w:rsid w:val="008D7EF8"/>
    <w:rsid w:val="008D7FBE"/>
    <w:rsid w:val="008E0A2C"/>
    <w:rsid w:val="008E3805"/>
    <w:rsid w:val="008E3C31"/>
    <w:rsid w:val="008E3CED"/>
    <w:rsid w:val="008E3D2F"/>
    <w:rsid w:val="008E41C6"/>
    <w:rsid w:val="008E4E42"/>
    <w:rsid w:val="008E5092"/>
    <w:rsid w:val="008E5B01"/>
    <w:rsid w:val="008E5ECC"/>
    <w:rsid w:val="008E67DF"/>
    <w:rsid w:val="008E6A02"/>
    <w:rsid w:val="008E6B18"/>
    <w:rsid w:val="008F043B"/>
    <w:rsid w:val="008F0D0F"/>
    <w:rsid w:val="008F0FA1"/>
    <w:rsid w:val="008F17FD"/>
    <w:rsid w:val="008F1FE5"/>
    <w:rsid w:val="008F2DA3"/>
    <w:rsid w:val="008F31A7"/>
    <w:rsid w:val="008F3404"/>
    <w:rsid w:val="008F3430"/>
    <w:rsid w:val="008F4163"/>
    <w:rsid w:val="008F4230"/>
    <w:rsid w:val="008F4381"/>
    <w:rsid w:val="008F4EAE"/>
    <w:rsid w:val="008F4F4B"/>
    <w:rsid w:val="008F4F96"/>
    <w:rsid w:val="008F609B"/>
    <w:rsid w:val="008F612F"/>
    <w:rsid w:val="008F6555"/>
    <w:rsid w:val="008F6D6E"/>
    <w:rsid w:val="009008CA"/>
    <w:rsid w:val="0090150E"/>
    <w:rsid w:val="0090307E"/>
    <w:rsid w:val="0090399F"/>
    <w:rsid w:val="00903F62"/>
    <w:rsid w:val="00904150"/>
    <w:rsid w:val="009046D4"/>
    <w:rsid w:val="0090572F"/>
    <w:rsid w:val="00905C11"/>
    <w:rsid w:val="009064C1"/>
    <w:rsid w:val="00906FB8"/>
    <w:rsid w:val="00907A03"/>
    <w:rsid w:val="00907B2B"/>
    <w:rsid w:val="00911544"/>
    <w:rsid w:val="00911AD4"/>
    <w:rsid w:val="0091206E"/>
    <w:rsid w:val="009122D4"/>
    <w:rsid w:val="00914EBC"/>
    <w:rsid w:val="00915221"/>
    <w:rsid w:val="00917DDB"/>
    <w:rsid w:val="009200D4"/>
    <w:rsid w:val="00920369"/>
    <w:rsid w:val="0092084D"/>
    <w:rsid w:val="00921907"/>
    <w:rsid w:val="0092339D"/>
    <w:rsid w:val="00923930"/>
    <w:rsid w:val="00923A83"/>
    <w:rsid w:val="00924104"/>
    <w:rsid w:val="0092466A"/>
    <w:rsid w:val="0092491C"/>
    <w:rsid w:val="00924C59"/>
    <w:rsid w:val="0092524E"/>
    <w:rsid w:val="009252BF"/>
    <w:rsid w:val="009259E7"/>
    <w:rsid w:val="009266A0"/>
    <w:rsid w:val="009269C0"/>
    <w:rsid w:val="00927044"/>
    <w:rsid w:val="009271C4"/>
    <w:rsid w:val="00927F6E"/>
    <w:rsid w:val="009301BF"/>
    <w:rsid w:val="009304A2"/>
    <w:rsid w:val="00930885"/>
    <w:rsid w:val="00930C14"/>
    <w:rsid w:val="00930CCE"/>
    <w:rsid w:val="00931A56"/>
    <w:rsid w:val="00931F86"/>
    <w:rsid w:val="00932CE8"/>
    <w:rsid w:val="00933A0E"/>
    <w:rsid w:val="00933CB6"/>
    <w:rsid w:val="00934166"/>
    <w:rsid w:val="0093477F"/>
    <w:rsid w:val="0093581A"/>
    <w:rsid w:val="009359C8"/>
    <w:rsid w:val="00940491"/>
    <w:rsid w:val="0094195C"/>
    <w:rsid w:val="009426BA"/>
    <w:rsid w:val="00942749"/>
    <w:rsid w:val="00942867"/>
    <w:rsid w:val="00943300"/>
    <w:rsid w:val="00943C7F"/>
    <w:rsid w:val="0094413E"/>
    <w:rsid w:val="0094463C"/>
    <w:rsid w:val="00946085"/>
    <w:rsid w:val="009464B6"/>
    <w:rsid w:val="00946C5B"/>
    <w:rsid w:val="00946F4F"/>
    <w:rsid w:val="009473B4"/>
    <w:rsid w:val="00947DC7"/>
    <w:rsid w:val="009502C8"/>
    <w:rsid w:val="00950434"/>
    <w:rsid w:val="00950623"/>
    <w:rsid w:val="00950735"/>
    <w:rsid w:val="00950AF8"/>
    <w:rsid w:val="00951C02"/>
    <w:rsid w:val="00952197"/>
    <w:rsid w:val="0095294D"/>
    <w:rsid w:val="00952FB7"/>
    <w:rsid w:val="00953D70"/>
    <w:rsid w:val="00953E85"/>
    <w:rsid w:val="00956D90"/>
    <w:rsid w:val="009577CC"/>
    <w:rsid w:val="00957934"/>
    <w:rsid w:val="00957983"/>
    <w:rsid w:val="009604A9"/>
    <w:rsid w:val="009622EE"/>
    <w:rsid w:val="00962880"/>
    <w:rsid w:val="00962AA0"/>
    <w:rsid w:val="00964286"/>
    <w:rsid w:val="00964596"/>
    <w:rsid w:val="00964644"/>
    <w:rsid w:val="00964AD5"/>
    <w:rsid w:val="00964D56"/>
    <w:rsid w:val="0096542A"/>
    <w:rsid w:val="00965789"/>
    <w:rsid w:val="00965D4B"/>
    <w:rsid w:val="00967DC9"/>
    <w:rsid w:val="00970A8A"/>
    <w:rsid w:val="00971B3D"/>
    <w:rsid w:val="00971F86"/>
    <w:rsid w:val="0097223C"/>
    <w:rsid w:val="00972844"/>
    <w:rsid w:val="0097336B"/>
    <w:rsid w:val="00973424"/>
    <w:rsid w:val="009737A4"/>
    <w:rsid w:val="00973874"/>
    <w:rsid w:val="0097435C"/>
    <w:rsid w:val="00974693"/>
    <w:rsid w:val="00974B4F"/>
    <w:rsid w:val="00975078"/>
    <w:rsid w:val="00975100"/>
    <w:rsid w:val="00975399"/>
    <w:rsid w:val="009755B3"/>
    <w:rsid w:val="009759E8"/>
    <w:rsid w:val="00975BE9"/>
    <w:rsid w:val="00975E5B"/>
    <w:rsid w:val="00976B97"/>
    <w:rsid w:val="00977084"/>
    <w:rsid w:val="0098025E"/>
    <w:rsid w:val="00980BA8"/>
    <w:rsid w:val="00980CE5"/>
    <w:rsid w:val="0098100C"/>
    <w:rsid w:val="009817DA"/>
    <w:rsid w:val="00981BF0"/>
    <w:rsid w:val="00981D56"/>
    <w:rsid w:val="00982623"/>
    <w:rsid w:val="00982775"/>
    <w:rsid w:val="00982D9C"/>
    <w:rsid w:val="00983AD4"/>
    <w:rsid w:val="00984062"/>
    <w:rsid w:val="00984326"/>
    <w:rsid w:val="0098481C"/>
    <w:rsid w:val="00984AFA"/>
    <w:rsid w:val="00985A12"/>
    <w:rsid w:val="00986452"/>
    <w:rsid w:val="00986FAF"/>
    <w:rsid w:val="00987CC7"/>
    <w:rsid w:val="00990A5E"/>
    <w:rsid w:val="00991825"/>
    <w:rsid w:val="00991E78"/>
    <w:rsid w:val="0099205E"/>
    <w:rsid w:val="009920C5"/>
    <w:rsid w:val="0099333A"/>
    <w:rsid w:val="00993803"/>
    <w:rsid w:val="00995C58"/>
    <w:rsid w:val="00997A8B"/>
    <w:rsid w:val="009A0487"/>
    <w:rsid w:val="009A0D33"/>
    <w:rsid w:val="009A1072"/>
    <w:rsid w:val="009A17E1"/>
    <w:rsid w:val="009A1F8E"/>
    <w:rsid w:val="009A243F"/>
    <w:rsid w:val="009A24C2"/>
    <w:rsid w:val="009A3F71"/>
    <w:rsid w:val="009A4C12"/>
    <w:rsid w:val="009A4DB5"/>
    <w:rsid w:val="009A5165"/>
    <w:rsid w:val="009A5905"/>
    <w:rsid w:val="009A5A5B"/>
    <w:rsid w:val="009A71D6"/>
    <w:rsid w:val="009B00C6"/>
    <w:rsid w:val="009B0F65"/>
    <w:rsid w:val="009B19C0"/>
    <w:rsid w:val="009B1D85"/>
    <w:rsid w:val="009B3331"/>
    <w:rsid w:val="009B38D5"/>
    <w:rsid w:val="009B3FE2"/>
    <w:rsid w:val="009B495D"/>
    <w:rsid w:val="009B4A61"/>
    <w:rsid w:val="009B4FB3"/>
    <w:rsid w:val="009B5FE5"/>
    <w:rsid w:val="009B625D"/>
    <w:rsid w:val="009B67B5"/>
    <w:rsid w:val="009B6A20"/>
    <w:rsid w:val="009B7283"/>
    <w:rsid w:val="009C1236"/>
    <w:rsid w:val="009C1520"/>
    <w:rsid w:val="009C2053"/>
    <w:rsid w:val="009C23F4"/>
    <w:rsid w:val="009C24F3"/>
    <w:rsid w:val="009C2A23"/>
    <w:rsid w:val="009C2BA9"/>
    <w:rsid w:val="009C2BAF"/>
    <w:rsid w:val="009C37C6"/>
    <w:rsid w:val="009C3965"/>
    <w:rsid w:val="009C6082"/>
    <w:rsid w:val="009C6340"/>
    <w:rsid w:val="009C65D6"/>
    <w:rsid w:val="009C65F8"/>
    <w:rsid w:val="009C6AF3"/>
    <w:rsid w:val="009C75C9"/>
    <w:rsid w:val="009C7C69"/>
    <w:rsid w:val="009D0505"/>
    <w:rsid w:val="009D086B"/>
    <w:rsid w:val="009D0BA9"/>
    <w:rsid w:val="009D1073"/>
    <w:rsid w:val="009D1078"/>
    <w:rsid w:val="009D2BAD"/>
    <w:rsid w:val="009D35D3"/>
    <w:rsid w:val="009D42B5"/>
    <w:rsid w:val="009D4DF6"/>
    <w:rsid w:val="009D60AE"/>
    <w:rsid w:val="009D6472"/>
    <w:rsid w:val="009D7D49"/>
    <w:rsid w:val="009E0360"/>
    <w:rsid w:val="009E08BB"/>
    <w:rsid w:val="009E0B18"/>
    <w:rsid w:val="009E118D"/>
    <w:rsid w:val="009E147C"/>
    <w:rsid w:val="009E2C9C"/>
    <w:rsid w:val="009E30E6"/>
    <w:rsid w:val="009E3261"/>
    <w:rsid w:val="009E3B06"/>
    <w:rsid w:val="009E4CDF"/>
    <w:rsid w:val="009E5190"/>
    <w:rsid w:val="009E617E"/>
    <w:rsid w:val="009E6711"/>
    <w:rsid w:val="009E7749"/>
    <w:rsid w:val="009E77E8"/>
    <w:rsid w:val="009E795A"/>
    <w:rsid w:val="009E7F55"/>
    <w:rsid w:val="009F02DD"/>
    <w:rsid w:val="009F060B"/>
    <w:rsid w:val="009F061B"/>
    <w:rsid w:val="009F20FD"/>
    <w:rsid w:val="009F229D"/>
    <w:rsid w:val="009F2A02"/>
    <w:rsid w:val="009F2CFD"/>
    <w:rsid w:val="009F35DA"/>
    <w:rsid w:val="009F37E5"/>
    <w:rsid w:val="009F3E7F"/>
    <w:rsid w:val="009F4C46"/>
    <w:rsid w:val="009F4FD3"/>
    <w:rsid w:val="009F548B"/>
    <w:rsid w:val="009F55D4"/>
    <w:rsid w:val="009F59ED"/>
    <w:rsid w:val="009F6F9A"/>
    <w:rsid w:val="009F7CFA"/>
    <w:rsid w:val="00A00A77"/>
    <w:rsid w:val="00A00D0B"/>
    <w:rsid w:val="00A0108D"/>
    <w:rsid w:val="00A017C1"/>
    <w:rsid w:val="00A019A5"/>
    <w:rsid w:val="00A01B26"/>
    <w:rsid w:val="00A0216F"/>
    <w:rsid w:val="00A027ED"/>
    <w:rsid w:val="00A03785"/>
    <w:rsid w:val="00A039E3"/>
    <w:rsid w:val="00A03FC7"/>
    <w:rsid w:val="00A04532"/>
    <w:rsid w:val="00A05409"/>
    <w:rsid w:val="00A05640"/>
    <w:rsid w:val="00A05700"/>
    <w:rsid w:val="00A05CF4"/>
    <w:rsid w:val="00A06253"/>
    <w:rsid w:val="00A06BDD"/>
    <w:rsid w:val="00A101B3"/>
    <w:rsid w:val="00A10378"/>
    <w:rsid w:val="00A10F45"/>
    <w:rsid w:val="00A111D5"/>
    <w:rsid w:val="00A114DD"/>
    <w:rsid w:val="00A11E91"/>
    <w:rsid w:val="00A122E2"/>
    <w:rsid w:val="00A124E8"/>
    <w:rsid w:val="00A1328F"/>
    <w:rsid w:val="00A13ADD"/>
    <w:rsid w:val="00A14CD0"/>
    <w:rsid w:val="00A14D6C"/>
    <w:rsid w:val="00A156F5"/>
    <w:rsid w:val="00A15756"/>
    <w:rsid w:val="00A16F24"/>
    <w:rsid w:val="00A17077"/>
    <w:rsid w:val="00A17559"/>
    <w:rsid w:val="00A206A1"/>
    <w:rsid w:val="00A209E9"/>
    <w:rsid w:val="00A20B01"/>
    <w:rsid w:val="00A21C07"/>
    <w:rsid w:val="00A2225F"/>
    <w:rsid w:val="00A23036"/>
    <w:rsid w:val="00A23068"/>
    <w:rsid w:val="00A23175"/>
    <w:rsid w:val="00A23207"/>
    <w:rsid w:val="00A23316"/>
    <w:rsid w:val="00A241D0"/>
    <w:rsid w:val="00A2431D"/>
    <w:rsid w:val="00A24326"/>
    <w:rsid w:val="00A24818"/>
    <w:rsid w:val="00A260B9"/>
    <w:rsid w:val="00A267A5"/>
    <w:rsid w:val="00A26F1E"/>
    <w:rsid w:val="00A27DC8"/>
    <w:rsid w:val="00A30CFD"/>
    <w:rsid w:val="00A3112B"/>
    <w:rsid w:val="00A31285"/>
    <w:rsid w:val="00A320CE"/>
    <w:rsid w:val="00A3245B"/>
    <w:rsid w:val="00A32A91"/>
    <w:rsid w:val="00A331A8"/>
    <w:rsid w:val="00A333EF"/>
    <w:rsid w:val="00A3349C"/>
    <w:rsid w:val="00A338B8"/>
    <w:rsid w:val="00A3413A"/>
    <w:rsid w:val="00A3445F"/>
    <w:rsid w:val="00A3447D"/>
    <w:rsid w:val="00A34899"/>
    <w:rsid w:val="00A34C0E"/>
    <w:rsid w:val="00A34D29"/>
    <w:rsid w:val="00A35521"/>
    <w:rsid w:val="00A35AC9"/>
    <w:rsid w:val="00A35EF2"/>
    <w:rsid w:val="00A360B1"/>
    <w:rsid w:val="00A36558"/>
    <w:rsid w:val="00A36B7C"/>
    <w:rsid w:val="00A37333"/>
    <w:rsid w:val="00A40405"/>
    <w:rsid w:val="00A4095C"/>
    <w:rsid w:val="00A41691"/>
    <w:rsid w:val="00A41CD0"/>
    <w:rsid w:val="00A421F0"/>
    <w:rsid w:val="00A42460"/>
    <w:rsid w:val="00A42B0C"/>
    <w:rsid w:val="00A43266"/>
    <w:rsid w:val="00A434AA"/>
    <w:rsid w:val="00A437E9"/>
    <w:rsid w:val="00A43F4C"/>
    <w:rsid w:val="00A44651"/>
    <w:rsid w:val="00A44833"/>
    <w:rsid w:val="00A45F6A"/>
    <w:rsid w:val="00A4665A"/>
    <w:rsid w:val="00A471CC"/>
    <w:rsid w:val="00A47984"/>
    <w:rsid w:val="00A508AF"/>
    <w:rsid w:val="00A50BCA"/>
    <w:rsid w:val="00A51134"/>
    <w:rsid w:val="00A52938"/>
    <w:rsid w:val="00A534F7"/>
    <w:rsid w:val="00A53747"/>
    <w:rsid w:val="00A53D4E"/>
    <w:rsid w:val="00A5451B"/>
    <w:rsid w:val="00A56C11"/>
    <w:rsid w:val="00A5712B"/>
    <w:rsid w:val="00A57985"/>
    <w:rsid w:val="00A57F93"/>
    <w:rsid w:val="00A601D9"/>
    <w:rsid w:val="00A60B15"/>
    <w:rsid w:val="00A60FE2"/>
    <w:rsid w:val="00A610CE"/>
    <w:rsid w:val="00A620F0"/>
    <w:rsid w:val="00A62759"/>
    <w:rsid w:val="00A62D4B"/>
    <w:rsid w:val="00A62F1A"/>
    <w:rsid w:val="00A634D6"/>
    <w:rsid w:val="00A6363E"/>
    <w:rsid w:val="00A63E9F"/>
    <w:rsid w:val="00A63EA7"/>
    <w:rsid w:val="00A64401"/>
    <w:rsid w:val="00A65045"/>
    <w:rsid w:val="00A65AE7"/>
    <w:rsid w:val="00A65CC4"/>
    <w:rsid w:val="00A663B9"/>
    <w:rsid w:val="00A670F9"/>
    <w:rsid w:val="00A676B4"/>
    <w:rsid w:val="00A715CA"/>
    <w:rsid w:val="00A71D03"/>
    <w:rsid w:val="00A7322E"/>
    <w:rsid w:val="00A73267"/>
    <w:rsid w:val="00A7326D"/>
    <w:rsid w:val="00A73A71"/>
    <w:rsid w:val="00A73CDE"/>
    <w:rsid w:val="00A744F8"/>
    <w:rsid w:val="00A74913"/>
    <w:rsid w:val="00A74B76"/>
    <w:rsid w:val="00A7505F"/>
    <w:rsid w:val="00A75403"/>
    <w:rsid w:val="00A7569A"/>
    <w:rsid w:val="00A75BF0"/>
    <w:rsid w:val="00A75D1A"/>
    <w:rsid w:val="00A77522"/>
    <w:rsid w:val="00A777F9"/>
    <w:rsid w:val="00A80690"/>
    <w:rsid w:val="00A81A73"/>
    <w:rsid w:val="00A81C49"/>
    <w:rsid w:val="00A844F2"/>
    <w:rsid w:val="00A84D24"/>
    <w:rsid w:val="00A855E4"/>
    <w:rsid w:val="00A85D8C"/>
    <w:rsid w:val="00A867C4"/>
    <w:rsid w:val="00A8684D"/>
    <w:rsid w:val="00A86A32"/>
    <w:rsid w:val="00A86D42"/>
    <w:rsid w:val="00A86D54"/>
    <w:rsid w:val="00A87481"/>
    <w:rsid w:val="00A87F69"/>
    <w:rsid w:val="00A90307"/>
    <w:rsid w:val="00A9034A"/>
    <w:rsid w:val="00A90730"/>
    <w:rsid w:val="00A910BA"/>
    <w:rsid w:val="00A918FE"/>
    <w:rsid w:val="00A93662"/>
    <w:rsid w:val="00A93DA4"/>
    <w:rsid w:val="00A943C7"/>
    <w:rsid w:val="00A94FB7"/>
    <w:rsid w:val="00A96F19"/>
    <w:rsid w:val="00AA0093"/>
    <w:rsid w:val="00AA03EA"/>
    <w:rsid w:val="00AA0911"/>
    <w:rsid w:val="00AA121C"/>
    <w:rsid w:val="00AA162E"/>
    <w:rsid w:val="00AA1C12"/>
    <w:rsid w:val="00AA26F1"/>
    <w:rsid w:val="00AA4212"/>
    <w:rsid w:val="00AA42F6"/>
    <w:rsid w:val="00AA4C8C"/>
    <w:rsid w:val="00AA4D40"/>
    <w:rsid w:val="00AA50AD"/>
    <w:rsid w:val="00AA5997"/>
    <w:rsid w:val="00AA59B5"/>
    <w:rsid w:val="00AA5EA7"/>
    <w:rsid w:val="00AA70BC"/>
    <w:rsid w:val="00AA7349"/>
    <w:rsid w:val="00AA7C7F"/>
    <w:rsid w:val="00AA7FD3"/>
    <w:rsid w:val="00AB0575"/>
    <w:rsid w:val="00AB0B19"/>
    <w:rsid w:val="00AB0B7C"/>
    <w:rsid w:val="00AB0BB4"/>
    <w:rsid w:val="00AB2046"/>
    <w:rsid w:val="00AB2C71"/>
    <w:rsid w:val="00AB31E4"/>
    <w:rsid w:val="00AB3834"/>
    <w:rsid w:val="00AB3FF5"/>
    <w:rsid w:val="00AB42E9"/>
    <w:rsid w:val="00AB7664"/>
    <w:rsid w:val="00AB778A"/>
    <w:rsid w:val="00AB7AEE"/>
    <w:rsid w:val="00AC0950"/>
    <w:rsid w:val="00AC0D11"/>
    <w:rsid w:val="00AC19CE"/>
    <w:rsid w:val="00AC2B4C"/>
    <w:rsid w:val="00AC38D9"/>
    <w:rsid w:val="00AC39DB"/>
    <w:rsid w:val="00AC3B17"/>
    <w:rsid w:val="00AC3F2C"/>
    <w:rsid w:val="00AC468C"/>
    <w:rsid w:val="00AC4EB0"/>
    <w:rsid w:val="00AC5661"/>
    <w:rsid w:val="00AC567B"/>
    <w:rsid w:val="00AC7106"/>
    <w:rsid w:val="00AC72C3"/>
    <w:rsid w:val="00AC767D"/>
    <w:rsid w:val="00AD14E5"/>
    <w:rsid w:val="00AD165A"/>
    <w:rsid w:val="00AD1683"/>
    <w:rsid w:val="00AD2532"/>
    <w:rsid w:val="00AD28D8"/>
    <w:rsid w:val="00AD351F"/>
    <w:rsid w:val="00AD3B67"/>
    <w:rsid w:val="00AD410F"/>
    <w:rsid w:val="00AD4197"/>
    <w:rsid w:val="00AD41F1"/>
    <w:rsid w:val="00AD4912"/>
    <w:rsid w:val="00AD50BC"/>
    <w:rsid w:val="00AD51BA"/>
    <w:rsid w:val="00AD56B7"/>
    <w:rsid w:val="00AD5CC6"/>
    <w:rsid w:val="00AD62BC"/>
    <w:rsid w:val="00AD6BC1"/>
    <w:rsid w:val="00AD7006"/>
    <w:rsid w:val="00AE0ADC"/>
    <w:rsid w:val="00AE0C42"/>
    <w:rsid w:val="00AE1081"/>
    <w:rsid w:val="00AE13E7"/>
    <w:rsid w:val="00AE14BA"/>
    <w:rsid w:val="00AE1702"/>
    <w:rsid w:val="00AE1988"/>
    <w:rsid w:val="00AE2128"/>
    <w:rsid w:val="00AE2A82"/>
    <w:rsid w:val="00AE2D35"/>
    <w:rsid w:val="00AE32CB"/>
    <w:rsid w:val="00AE339C"/>
    <w:rsid w:val="00AE34D1"/>
    <w:rsid w:val="00AE3595"/>
    <w:rsid w:val="00AE3F15"/>
    <w:rsid w:val="00AE4BF3"/>
    <w:rsid w:val="00AE4C15"/>
    <w:rsid w:val="00AE601A"/>
    <w:rsid w:val="00AE6120"/>
    <w:rsid w:val="00AE6CA7"/>
    <w:rsid w:val="00AE7854"/>
    <w:rsid w:val="00AE7A07"/>
    <w:rsid w:val="00AF0283"/>
    <w:rsid w:val="00AF0E23"/>
    <w:rsid w:val="00AF1E1B"/>
    <w:rsid w:val="00AF1E46"/>
    <w:rsid w:val="00AF1F69"/>
    <w:rsid w:val="00AF215D"/>
    <w:rsid w:val="00AF3CF2"/>
    <w:rsid w:val="00AF40B2"/>
    <w:rsid w:val="00AF4A04"/>
    <w:rsid w:val="00AF4F88"/>
    <w:rsid w:val="00AF559A"/>
    <w:rsid w:val="00AF64E4"/>
    <w:rsid w:val="00AF68C4"/>
    <w:rsid w:val="00AF6AF7"/>
    <w:rsid w:val="00AF6E43"/>
    <w:rsid w:val="00AF71C2"/>
    <w:rsid w:val="00AF7AE1"/>
    <w:rsid w:val="00B00A6F"/>
    <w:rsid w:val="00B013A9"/>
    <w:rsid w:val="00B02489"/>
    <w:rsid w:val="00B027FE"/>
    <w:rsid w:val="00B02AA2"/>
    <w:rsid w:val="00B034A8"/>
    <w:rsid w:val="00B037CE"/>
    <w:rsid w:val="00B03F04"/>
    <w:rsid w:val="00B043FE"/>
    <w:rsid w:val="00B05BFC"/>
    <w:rsid w:val="00B06179"/>
    <w:rsid w:val="00B0618C"/>
    <w:rsid w:val="00B06656"/>
    <w:rsid w:val="00B069D2"/>
    <w:rsid w:val="00B06B6D"/>
    <w:rsid w:val="00B06CD6"/>
    <w:rsid w:val="00B06E69"/>
    <w:rsid w:val="00B078AF"/>
    <w:rsid w:val="00B07950"/>
    <w:rsid w:val="00B07D79"/>
    <w:rsid w:val="00B10662"/>
    <w:rsid w:val="00B10B4C"/>
    <w:rsid w:val="00B10D66"/>
    <w:rsid w:val="00B11504"/>
    <w:rsid w:val="00B1255B"/>
    <w:rsid w:val="00B1330B"/>
    <w:rsid w:val="00B1332F"/>
    <w:rsid w:val="00B14027"/>
    <w:rsid w:val="00B1424D"/>
    <w:rsid w:val="00B14AE8"/>
    <w:rsid w:val="00B14DB0"/>
    <w:rsid w:val="00B16C24"/>
    <w:rsid w:val="00B17DA9"/>
    <w:rsid w:val="00B202B4"/>
    <w:rsid w:val="00B20919"/>
    <w:rsid w:val="00B20C03"/>
    <w:rsid w:val="00B2305C"/>
    <w:rsid w:val="00B25219"/>
    <w:rsid w:val="00B254E9"/>
    <w:rsid w:val="00B25D1C"/>
    <w:rsid w:val="00B26118"/>
    <w:rsid w:val="00B2653F"/>
    <w:rsid w:val="00B26743"/>
    <w:rsid w:val="00B26A34"/>
    <w:rsid w:val="00B26EFD"/>
    <w:rsid w:val="00B3165E"/>
    <w:rsid w:val="00B326C3"/>
    <w:rsid w:val="00B32D06"/>
    <w:rsid w:val="00B33036"/>
    <w:rsid w:val="00B33A25"/>
    <w:rsid w:val="00B33D52"/>
    <w:rsid w:val="00B35B43"/>
    <w:rsid w:val="00B36987"/>
    <w:rsid w:val="00B36B1F"/>
    <w:rsid w:val="00B36DCF"/>
    <w:rsid w:val="00B376E1"/>
    <w:rsid w:val="00B377CA"/>
    <w:rsid w:val="00B37A30"/>
    <w:rsid w:val="00B37A53"/>
    <w:rsid w:val="00B4147E"/>
    <w:rsid w:val="00B4302B"/>
    <w:rsid w:val="00B4326F"/>
    <w:rsid w:val="00B43695"/>
    <w:rsid w:val="00B44680"/>
    <w:rsid w:val="00B44EAE"/>
    <w:rsid w:val="00B44FBE"/>
    <w:rsid w:val="00B4509D"/>
    <w:rsid w:val="00B4596C"/>
    <w:rsid w:val="00B45A7A"/>
    <w:rsid w:val="00B46CD3"/>
    <w:rsid w:val="00B46CFD"/>
    <w:rsid w:val="00B46FCE"/>
    <w:rsid w:val="00B47935"/>
    <w:rsid w:val="00B50CA4"/>
    <w:rsid w:val="00B50E58"/>
    <w:rsid w:val="00B51A3E"/>
    <w:rsid w:val="00B51B04"/>
    <w:rsid w:val="00B51E4F"/>
    <w:rsid w:val="00B52724"/>
    <w:rsid w:val="00B52EFD"/>
    <w:rsid w:val="00B53898"/>
    <w:rsid w:val="00B54132"/>
    <w:rsid w:val="00B54A29"/>
    <w:rsid w:val="00B54AF9"/>
    <w:rsid w:val="00B54DFE"/>
    <w:rsid w:val="00B5541F"/>
    <w:rsid w:val="00B56075"/>
    <w:rsid w:val="00B567B0"/>
    <w:rsid w:val="00B5713C"/>
    <w:rsid w:val="00B5722C"/>
    <w:rsid w:val="00B57B95"/>
    <w:rsid w:val="00B57F89"/>
    <w:rsid w:val="00B6033F"/>
    <w:rsid w:val="00B60BCD"/>
    <w:rsid w:val="00B61084"/>
    <w:rsid w:val="00B61269"/>
    <w:rsid w:val="00B626AC"/>
    <w:rsid w:val="00B631A2"/>
    <w:rsid w:val="00B633E9"/>
    <w:rsid w:val="00B63BD1"/>
    <w:rsid w:val="00B63CC3"/>
    <w:rsid w:val="00B63F81"/>
    <w:rsid w:val="00B64CA1"/>
    <w:rsid w:val="00B64E7C"/>
    <w:rsid w:val="00B65A41"/>
    <w:rsid w:val="00B6672E"/>
    <w:rsid w:val="00B66DCD"/>
    <w:rsid w:val="00B66E3F"/>
    <w:rsid w:val="00B67960"/>
    <w:rsid w:val="00B679E3"/>
    <w:rsid w:val="00B67EC4"/>
    <w:rsid w:val="00B70389"/>
    <w:rsid w:val="00B71943"/>
    <w:rsid w:val="00B72508"/>
    <w:rsid w:val="00B72A5B"/>
    <w:rsid w:val="00B742A0"/>
    <w:rsid w:val="00B74D30"/>
    <w:rsid w:val="00B75144"/>
    <w:rsid w:val="00B7531B"/>
    <w:rsid w:val="00B75B51"/>
    <w:rsid w:val="00B75EA8"/>
    <w:rsid w:val="00B767E7"/>
    <w:rsid w:val="00B769AE"/>
    <w:rsid w:val="00B77207"/>
    <w:rsid w:val="00B77CED"/>
    <w:rsid w:val="00B80569"/>
    <w:rsid w:val="00B8060F"/>
    <w:rsid w:val="00B81959"/>
    <w:rsid w:val="00B81A6A"/>
    <w:rsid w:val="00B81BBB"/>
    <w:rsid w:val="00B8201E"/>
    <w:rsid w:val="00B8216F"/>
    <w:rsid w:val="00B823FD"/>
    <w:rsid w:val="00B8253B"/>
    <w:rsid w:val="00B82861"/>
    <w:rsid w:val="00B83303"/>
    <w:rsid w:val="00B83515"/>
    <w:rsid w:val="00B84EF5"/>
    <w:rsid w:val="00B851CE"/>
    <w:rsid w:val="00B859F9"/>
    <w:rsid w:val="00B86FC1"/>
    <w:rsid w:val="00B8712C"/>
    <w:rsid w:val="00B8745B"/>
    <w:rsid w:val="00B90348"/>
    <w:rsid w:val="00B904A3"/>
    <w:rsid w:val="00B904BC"/>
    <w:rsid w:val="00B90728"/>
    <w:rsid w:val="00B921E0"/>
    <w:rsid w:val="00B92289"/>
    <w:rsid w:val="00B924F4"/>
    <w:rsid w:val="00B930A1"/>
    <w:rsid w:val="00B933B1"/>
    <w:rsid w:val="00B944D7"/>
    <w:rsid w:val="00B94D1A"/>
    <w:rsid w:val="00B94EF3"/>
    <w:rsid w:val="00B9619B"/>
    <w:rsid w:val="00B96B7C"/>
    <w:rsid w:val="00B97943"/>
    <w:rsid w:val="00BA0301"/>
    <w:rsid w:val="00BA052C"/>
    <w:rsid w:val="00BA066E"/>
    <w:rsid w:val="00BA0E7F"/>
    <w:rsid w:val="00BA1FFB"/>
    <w:rsid w:val="00BA2633"/>
    <w:rsid w:val="00BA27B2"/>
    <w:rsid w:val="00BA3207"/>
    <w:rsid w:val="00BA47C2"/>
    <w:rsid w:val="00BA569A"/>
    <w:rsid w:val="00BA65B5"/>
    <w:rsid w:val="00BA67D9"/>
    <w:rsid w:val="00BB06C3"/>
    <w:rsid w:val="00BB105B"/>
    <w:rsid w:val="00BB17DC"/>
    <w:rsid w:val="00BB276A"/>
    <w:rsid w:val="00BB2C22"/>
    <w:rsid w:val="00BB33CC"/>
    <w:rsid w:val="00BB3AA4"/>
    <w:rsid w:val="00BB3E70"/>
    <w:rsid w:val="00BB3EDE"/>
    <w:rsid w:val="00BB44DA"/>
    <w:rsid w:val="00BB51F1"/>
    <w:rsid w:val="00BB6960"/>
    <w:rsid w:val="00BB7FB5"/>
    <w:rsid w:val="00BC23EE"/>
    <w:rsid w:val="00BC27C3"/>
    <w:rsid w:val="00BC2CA6"/>
    <w:rsid w:val="00BC3138"/>
    <w:rsid w:val="00BC3314"/>
    <w:rsid w:val="00BC3DED"/>
    <w:rsid w:val="00BC5208"/>
    <w:rsid w:val="00BC58B1"/>
    <w:rsid w:val="00BC619D"/>
    <w:rsid w:val="00BD0231"/>
    <w:rsid w:val="00BD073E"/>
    <w:rsid w:val="00BD1332"/>
    <w:rsid w:val="00BD233C"/>
    <w:rsid w:val="00BD2BD0"/>
    <w:rsid w:val="00BD387A"/>
    <w:rsid w:val="00BD429C"/>
    <w:rsid w:val="00BD5C31"/>
    <w:rsid w:val="00BD6724"/>
    <w:rsid w:val="00BD7B21"/>
    <w:rsid w:val="00BD7F4B"/>
    <w:rsid w:val="00BE0BB4"/>
    <w:rsid w:val="00BE0DB1"/>
    <w:rsid w:val="00BE104C"/>
    <w:rsid w:val="00BE149A"/>
    <w:rsid w:val="00BE2A23"/>
    <w:rsid w:val="00BE3EB8"/>
    <w:rsid w:val="00BE540F"/>
    <w:rsid w:val="00BF061A"/>
    <w:rsid w:val="00BF07DE"/>
    <w:rsid w:val="00BF1E94"/>
    <w:rsid w:val="00BF1F60"/>
    <w:rsid w:val="00BF249A"/>
    <w:rsid w:val="00BF2C79"/>
    <w:rsid w:val="00BF3065"/>
    <w:rsid w:val="00BF487F"/>
    <w:rsid w:val="00BF4A8A"/>
    <w:rsid w:val="00BF4C8D"/>
    <w:rsid w:val="00BF537F"/>
    <w:rsid w:val="00BF555E"/>
    <w:rsid w:val="00BF6F0F"/>
    <w:rsid w:val="00BF75EB"/>
    <w:rsid w:val="00C0054D"/>
    <w:rsid w:val="00C0080C"/>
    <w:rsid w:val="00C01420"/>
    <w:rsid w:val="00C01894"/>
    <w:rsid w:val="00C0293E"/>
    <w:rsid w:val="00C02A3F"/>
    <w:rsid w:val="00C038CC"/>
    <w:rsid w:val="00C039B6"/>
    <w:rsid w:val="00C03DD4"/>
    <w:rsid w:val="00C03E40"/>
    <w:rsid w:val="00C0443A"/>
    <w:rsid w:val="00C05344"/>
    <w:rsid w:val="00C06839"/>
    <w:rsid w:val="00C06FA3"/>
    <w:rsid w:val="00C07324"/>
    <w:rsid w:val="00C11684"/>
    <w:rsid w:val="00C124EE"/>
    <w:rsid w:val="00C12B0B"/>
    <w:rsid w:val="00C12D8D"/>
    <w:rsid w:val="00C138BF"/>
    <w:rsid w:val="00C13CC2"/>
    <w:rsid w:val="00C13FDA"/>
    <w:rsid w:val="00C1426C"/>
    <w:rsid w:val="00C1551F"/>
    <w:rsid w:val="00C1692E"/>
    <w:rsid w:val="00C17A61"/>
    <w:rsid w:val="00C20CD0"/>
    <w:rsid w:val="00C20EA9"/>
    <w:rsid w:val="00C20F6C"/>
    <w:rsid w:val="00C21018"/>
    <w:rsid w:val="00C21DE3"/>
    <w:rsid w:val="00C23B6A"/>
    <w:rsid w:val="00C24CA9"/>
    <w:rsid w:val="00C26784"/>
    <w:rsid w:val="00C27EF6"/>
    <w:rsid w:val="00C30495"/>
    <w:rsid w:val="00C30A06"/>
    <w:rsid w:val="00C3145B"/>
    <w:rsid w:val="00C315F2"/>
    <w:rsid w:val="00C3182C"/>
    <w:rsid w:val="00C31D65"/>
    <w:rsid w:val="00C325CE"/>
    <w:rsid w:val="00C33033"/>
    <w:rsid w:val="00C341D4"/>
    <w:rsid w:val="00C3457A"/>
    <w:rsid w:val="00C3466D"/>
    <w:rsid w:val="00C34933"/>
    <w:rsid w:val="00C35D23"/>
    <w:rsid w:val="00C35E60"/>
    <w:rsid w:val="00C360AF"/>
    <w:rsid w:val="00C36607"/>
    <w:rsid w:val="00C36706"/>
    <w:rsid w:val="00C37E32"/>
    <w:rsid w:val="00C4138E"/>
    <w:rsid w:val="00C41C9C"/>
    <w:rsid w:val="00C42574"/>
    <w:rsid w:val="00C42F87"/>
    <w:rsid w:val="00C44EFF"/>
    <w:rsid w:val="00C45008"/>
    <w:rsid w:val="00C4511F"/>
    <w:rsid w:val="00C4532A"/>
    <w:rsid w:val="00C4609D"/>
    <w:rsid w:val="00C46480"/>
    <w:rsid w:val="00C465AB"/>
    <w:rsid w:val="00C46B3D"/>
    <w:rsid w:val="00C46F6C"/>
    <w:rsid w:val="00C47229"/>
    <w:rsid w:val="00C4770A"/>
    <w:rsid w:val="00C50358"/>
    <w:rsid w:val="00C506C9"/>
    <w:rsid w:val="00C50772"/>
    <w:rsid w:val="00C50A8D"/>
    <w:rsid w:val="00C51367"/>
    <w:rsid w:val="00C51FE2"/>
    <w:rsid w:val="00C520F2"/>
    <w:rsid w:val="00C52645"/>
    <w:rsid w:val="00C52A67"/>
    <w:rsid w:val="00C52ABB"/>
    <w:rsid w:val="00C53282"/>
    <w:rsid w:val="00C538AC"/>
    <w:rsid w:val="00C544A6"/>
    <w:rsid w:val="00C54ED3"/>
    <w:rsid w:val="00C56F1E"/>
    <w:rsid w:val="00C601BA"/>
    <w:rsid w:val="00C60620"/>
    <w:rsid w:val="00C632F4"/>
    <w:rsid w:val="00C63354"/>
    <w:rsid w:val="00C6345D"/>
    <w:rsid w:val="00C635CE"/>
    <w:rsid w:val="00C63CE9"/>
    <w:rsid w:val="00C6436A"/>
    <w:rsid w:val="00C6530C"/>
    <w:rsid w:val="00C654B4"/>
    <w:rsid w:val="00C656D8"/>
    <w:rsid w:val="00C6677A"/>
    <w:rsid w:val="00C66F0D"/>
    <w:rsid w:val="00C67547"/>
    <w:rsid w:val="00C70777"/>
    <w:rsid w:val="00C70EF7"/>
    <w:rsid w:val="00C70FA9"/>
    <w:rsid w:val="00C715BC"/>
    <w:rsid w:val="00C71806"/>
    <w:rsid w:val="00C7222B"/>
    <w:rsid w:val="00C7237D"/>
    <w:rsid w:val="00C74158"/>
    <w:rsid w:val="00C747B9"/>
    <w:rsid w:val="00C74E87"/>
    <w:rsid w:val="00C75EFE"/>
    <w:rsid w:val="00C77D6A"/>
    <w:rsid w:val="00C808FE"/>
    <w:rsid w:val="00C81296"/>
    <w:rsid w:val="00C83F17"/>
    <w:rsid w:val="00C86322"/>
    <w:rsid w:val="00C869B5"/>
    <w:rsid w:val="00C8797A"/>
    <w:rsid w:val="00C87A25"/>
    <w:rsid w:val="00C87AFE"/>
    <w:rsid w:val="00C90463"/>
    <w:rsid w:val="00C91544"/>
    <w:rsid w:val="00C917E9"/>
    <w:rsid w:val="00C91F7E"/>
    <w:rsid w:val="00C933D3"/>
    <w:rsid w:val="00C94784"/>
    <w:rsid w:val="00C947F6"/>
    <w:rsid w:val="00C94C82"/>
    <w:rsid w:val="00C957F6"/>
    <w:rsid w:val="00C95F12"/>
    <w:rsid w:val="00C95FC9"/>
    <w:rsid w:val="00C96286"/>
    <w:rsid w:val="00C965B6"/>
    <w:rsid w:val="00C96926"/>
    <w:rsid w:val="00C969AC"/>
    <w:rsid w:val="00CA0F11"/>
    <w:rsid w:val="00CA1146"/>
    <w:rsid w:val="00CA44CF"/>
    <w:rsid w:val="00CA496D"/>
    <w:rsid w:val="00CA675D"/>
    <w:rsid w:val="00CA6AAC"/>
    <w:rsid w:val="00CA6B0D"/>
    <w:rsid w:val="00CA6CBA"/>
    <w:rsid w:val="00CA70A9"/>
    <w:rsid w:val="00CA716E"/>
    <w:rsid w:val="00CB0115"/>
    <w:rsid w:val="00CB0568"/>
    <w:rsid w:val="00CB230E"/>
    <w:rsid w:val="00CB347E"/>
    <w:rsid w:val="00CB3675"/>
    <w:rsid w:val="00CB42D8"/>
    <w:rsid w:val="00CB523D"/>
    <w:rsid w:val="00CB5A3C"/>
    <w:rsid w:val="00CB6FA2"/>
    <w:rsid w:val="00CC210D"/>
    <w:rsid w:val="00CC2595"/>
    <w:rsid w:val="00CC33CF"/>
    <w:rsid w:val="00CC477E"/>
    <w:rsid w:val="00CC5876"/>
    <w:rsid w:val="00CC6435"/>
    <w:rsid w:val="00CC7243"/>
    <w:rsid w:val="00CC78DE"/>
    <w:rsid w:val="00CC7EA0"/>
    <w:rsid w:val="00CD03D5"/>
    <w:rsid w:val="00CD050E"/>
    <w:rsid w:val="00CD0B53"/>
    <w:rsid w:val="00CD129A"/>
    <w:rsid w:val="00CD1413"/>
    <w:rsid w:val="00CD274E"/>
    <w:rsid w:val="00CD3F8C"/>
    <w:rsid w:val="00CD41CE"/>
    <w:rsid w:val="00CD444C"/>
    <w:rsid w:val="00CD4BB7"/>
    <w:rsid w:val="00CD60BF"/>
    <w:rsid w:val="00CD6647"/>
    <w:rsid w:val="00CD6CDF"/>
    <w:rsid w:val="00CD73AA"/>
    <w:rsid w:val="00CD73CF"/>
    <w:rsid w:val="00CD7628"/>
    <w:rsid w:val="00CD782C"/>
    <w:rsid w:val="00CD7D7B"/>
    <w:rsid w:val="00CE0A43"/>
    <w:rsid w:val="00CE0C07"/>
    <w:rsid w:val="00CE1164"/>
    <w:rsid w:val="00CE1616"/>
    <w:rsid w:val="00CE1A6C"/>
    <w:rsid w:val="00CE1F34"/>
    <w:rsid w:val="00CE29DF"/>
    <w:rsid w:val="00CE2B17"/>
    <w:rsid w:val="00CE3484"/>
    <w:rsid w:val="00CE3891"/>
    <w:rsid w:val="00CE3AE7"/>
    <w:rsid w:val="00CE3EC5"/>
    <w:rsid w:val="00CE4C3F"/>
    <w:rsid w:val="00CE5810"/>
    <w:rsid w:val="00CE5A70"/>
    <w:rsid w:val="00CE5CAB"/>
    <w:rsid w:val="00CE5E9F"/>
    <w:rsid w:val="00CE6612"/>
    <w:rsid w:val="00CE6FD8"/>
    <w:rsid w:val="00CE714A"/>
    <w:rsid w:val="00CE7302"/>
    <w:rsid w:val="00CE7C6C"/>
    <w:rsid w:val="00CF047D"/>
    <w:rsid w:val="00CF1E2C"/>
    <w:rsid w:val="00CF1E75"/>
    <w:rsid w:val="00CF386F"/>
    <w:rsid w:val="00CF4325"/>
    <w:rsid w:val="00CF566E"/>
    <w:rsid w:val="00CF5CC6"/>
    <w:rsid w:val="00CF61D0"/>
    <w:rsid w:val="00CF6A6B"/>
    <w:rsid w:val="00CF7C58"/>
    <w:rsid w:val="00D01058"/>
    <w:rsid w:val="00D01664"/>
    <w:rsid w:val="00D02676"/>
    <w:rsid w:val="00D026BA"/>
    <w:rsid w:val="00D027EC"/>
    <w:rsid w:val="00D03540"/>
    <w:rsid w:val="00D0395A"/>
    <w:rsid w:val="00D0405A"/>
    <w:rsid w:val="00D0483C"/>
    <w:rsid w:val="00D05652"/>
    <w:rsid w:val="00D064F1"/>
    <w:rsid w:val="00D06A4E"/>
    <w:rsid w:val="00D06CA0"/>
    <w:rsid w:val="00D072E5"/>
    <w:rsid w:val="00D0769A"/>
    <w:rsid w:val="00D07D9C"/>
    <w:rsid w:val="00D07DDC"/>
    <w:rsid w:val="00D1025B"/>
    <w:rsid w:val="00D10EEA"/>
    <w:rsid w:val="00D11A3A"/>
    <w:rsid w:val="00D11B41"/>
    <w:rsid w:val="00D11BCA"/>
    <w:rsid w:val="00D11BFF"/>
    <w:rsid w:val="00D126DA"/>
    <w:rsid w:val="00D12E0D"/>
    <w:rsid w:val="00D14C41"/>
    <w:rsid w:val="00D15761"/>
    <w:rsid w:val="00D1591F"/>
    <w:rsid w:val="00D15A1F"/>
    <w:rsid w:val="00D15FEA"/>
    <w:rsid w:val="00D160E0"/>
    <w:rsid w:val="00D16581"/>
    <w:rsid w:val="00D1668E"/>
    <w:rsid w:val="00D16DE8"/>
    <w:rsid w:val="00D17A25"/>
    <w:rsid w:val="00D17BBB"/>
    <w:rsid w:val="00D17C92"/>
    <w:rsid w:val="00D205C1"/>
    <w:rsid w:val="00D22F10"/>
    <w:rsid w:val="00D23553"/>
    <w:rsid w:val="00D236B5"/>
    <w:rsid w:val="00D24701"/>
    <w:rsid w:val="00D261F5"/>
    <w:rsid w:val="00D27E9C"/>
    <w:rsid w:val="00D30594"/>
    <w:rsid w:val="00D30673"/>
    <w:rsid w:val="00D30B47"/>
    <w:rsid w:val="00D30CC3"/>
    <w:rsid w:val="00D319BA"/>
    <w:rsid w:val="00D31BAE"/>
    <w:rsid w:val="00D321F2"/>
    <w:rsid w:val="00D32EF5"/>
    <w:rsid w:val="00D335CB"/>
    <w:rsid w:val="00D33912"/>
    <w:rsid w:val="00D378A5"/>
    <w:rsid w:val="00D37CFE"/>
    <w:rsid w:val="00D40564"/>
    <w:rsid w:val="00D40BE0"/>
    <w:rsid w:val="00D41B27"/>
    <w:rsid w:val="00D422B4"/>
    <w:rsid w:val="00D4313E"/>
    <w:rsid w:val="00D44063"/>
    <w:rsid w:val="00D445B1"/>
    <w:rsid w:val="00D44752"/>
    <w:rsid w:val="00D44E60"/>
    <w:rsid w:val="00D4540F"/>
    <w:rsid w:val="00D47E15"/>
    <w:rsid w:val="00D50046"/>
    <w:rsid w:val="00D50182"/>
    <w:rsid w:val="00D50860"/>
    <w:rsid w:val="00D51307"/>
    <w:rsid w:val="00D54A46"/>
    <w:rsid w:val="00D54E6C"/>
    <w:rsid w:val="00D55220"/>
    <w:rsid w:val="00D5555E"/>
    <w:rsid w:val="00D56106"/>
    <w:rsid w:val="00D5700E"/>
    <w:rsid w:val="00D5715A"/>
    <w:rsid w:val="00D57222"/>
    <w:rsid w:val="00D577AB"/>
    <w:rsid w:val="00D6018B"/>
    <w:rsid w:val="00D60625"/>
    <w:rsid w:val="00D60E4A"/>
    <w:rsid w:val="00D61368"/>
    <w:rsid w:val="00D630B3"/>
    <w:rsid w:val="00D630B5"/>
    <w:rsid w:val="00D6329D"/>
    <w:rsid w:val="00D632C1"/>
    <w:rsid w:val="00D63DA4"/>
    <w:rsid w:val="00D63FEB"/>
    <w:rsid w:val="00D642E0"/>
    <w:rsid w:val="00D64621"/>
    <w:rsid w:val="00D64C6A"/>
    <w:rsid w:val="00D64ED6"/>
    <w:rsid w:val="00D654EE"/>
    <w:rsid w:val="00D657DB"/>
    <w:rsid w:val="00D65CFC"/>
    <w:rsid w:val="00D669ED"/>
    <w:rsid w:val="00D66D7E"/>
    <w:rsid w:val="00D67DE8"/>
    <w:rsid w:val="00D70081"/>
    <w:rsid w:val="00D70130"/>
    <w:rsid w:val="00D7141A"/>
    <w:rsid w:val="00D714DA"/>
    <w:rsid w:val="00D71D8F"/>
    <w:rsid w:val="00D72BEA"/>
    <w:rsid w:val="00D72C02"/>
    <w:rsid w:val="00D73204"/>
    <w:rsid w:val="00D7381A"/>
    <w:rsid w:val="00D73B45"/>
    <w:rsid w:val="00D73CED"/>
    <w:rsid w:val="00D742E9"/>
    <w:rsid w:val="00D74483"/>
    <w:rsid w:val="00D74871"/>
    <w:rsid w:val="00D7559E"/>
    <w:rsid w:val="00D76777"/>
    <w:rsid w:val="00D76DF2"/>
    <w:rsid w:val="00D77139"/>
    <w:rsid w:val="00D775A1"/>
    <w:rsid w:val="00D778B9"/>
    <w:rsid w:val="00D77993"/>
    <w:rsid w:val="00D77B5A"/>
    <w:rsid w:val="00D77D70"/>
    <w:rsid w:val="00D80B44"/>
    <w:rsid w:val="00D80B9B"/>
    <w:rsid w:val="00D80C93"/>
    <w:rsid w:val="00D817FA"/>
    <w:rsid w:val="00D818CB"/>
    <w:rsid w:val="00D81D4F"/>
    <w:rsid w:val="00D827ED"/>
    <w:rsid w:val="00D82C13"/>
    <w:rsid w:val="00D837E5"/>
    <w:rsid w:val="00D84DD2"/>
    <w:rsid w:val="00D85129"/>
    <w:rsid w:val="00D856C6"/>
    <w:rsid w:val="00D8623F"/>
    <w:rsid w:val="00D86A0F"/>
    <w:rsid w:val="00D86DF2"/>
    <w:rsid w:val="00D87C42"/>
    <w:rsid w:val="00D87EBF"/>
    <w:rsid w:val="00D87F31"/>
    <w:rsid w:val="00D9073B"/>
    <w:rsid w:val="00D92EAD"/>
    <w:rsid w:val="00D93099"/>
    <w:rsid w:val="00D93282"/>
    <w:rsid w:val="00D936F6"/>
    <w:rsid w:val="00D93B7B"/>
    <w:rsid w:val="00D94699"/>
    <w:rsid w:val="00D9473B"/>
    <w:rsid w:val="00D947ED"/>
    <w:rsid w:val="00D94A9E"/>
    <w:rsid w:val="00D94EC9"/>
    <w:rsid w:val="00D95068"/>
    <w:rsid w:val="00D95C0C"/>
    <w:rsid w:val="00D9635B"/>
    <w:rsid w:val="00D9757E"/>
    <w:rsid w:val="00D97627"/>
    <w:rsid w:val="00D97CC5"/>
    <w:rsid w:val="00DA0573"/>
    <w:rsid w:val="00DA0E4E"/>
    <w:rsid w:val="00DA10FC"/>
    <w:rsid w:val="00DA2A14"/>
    <w:rsid w:val="00DA2B23"/>
    <w:rsid w:val="00DA2BDA"/>
    <w:rsid w:val="00DA2C7F"/>
    <w:rsid w:val="00DA3A1F"/>
    <w:rsid w:val="00DA3E34"/>
    <w:rsid w:val="00DA4029"/>
    <w:rsid w:val="00DA4400"/>
    <w:rsid w:val="00DA4787"/>
    <w:rsid w:val="00DA47B3"/>
    <w:rsid w:val="00DA53CA"/>
    <w:rsid w:val="00DA560E"/>
    <w:rsid w:val="00DA655C"/>
    <w:rsid w:val="00DA6BD7"/>
    <w:rsid w:val="00DA708B"/>
    <w:rsid w:val="00DA738F"/>
    <w:rsid w:val="00DA7437"/>
    <w:rsid w:val="00DB06AD"/>
    <w:rsid w:val="00DB0BA9"/>
    <w:rsid w:val="00DB10B8"/>
    <w:rsid w:val="00DB13A6"/>
    <w:rsid w:val="00DB1837"/>
    <w:rsid w:val="00DB1EF9"/>
    <w:rsid w:val="00DB22BF"/>
    <w:rsid w:val="00DB2CE6"/>
    <w:rsid w:val="00DB45A4"/>
    <w:rsid w:val="00DB51C1"/>
    <w:rsid w:val="00DB56B0"/>
    <w:rsid w:val="00DB60E4"/>
    <w:rsid w:val="00DB6A25"/>
    <w:rsid w:val="00DB6CDB"/>
    <w:rsid w:val="00DB75F4"/>
    <w:rsid w:val="00DB7D4B"/>
    <w:rsid w:val="00DC0634"/>
    <w:rsid w:val="00DC0756"/>
    <w:rsid w:val="00DC178C"/>
    <w:rsid w:val="00DC17EF"/>
    <w:rsid w:val="00DC1E07"/>
    <w:rsid w:val="00DC209E"/>
    <w:rsid w:val="00DC270C"/>
    <w:rsid w:val="00DC3039"/>
    <w:rsid w:val="00DC3394"/>
    <w:rsid w:val="00DC4837"/>
    <w:rsid w:val="00DC48ED"/>
    <w:rsid w:val="00DC55EF"/>
    <w:rsid w:val="00DC583C"/>
    <w:rsid w:val="00DC61F8"/>
    <w:rsid w:val="00DC6A52"/>
    <w:rsid w:val="00DC724C"/>
    <w:rsid w:val="00DC7963"/>
    <w:rsid w:val="00DC7C93"/>
    <w:rsid w:val="00DD01A4"/>
    <w:rsid w:val="00DD0373"/>
    <w:rsid w:val="00DD1251"/>
    <w:rsid w:val="00DD15DB"/>
    <w:rsid w:val="00DD167A"/>
    <w:rsid w:val="00DD24BC"/>
    <w:rsid w:val="00DD2EC1"/>
    <w:rsid w:val="00DD35B0"/>
    <w:rsid w:val="00DD367D"/>
    <w:rsid w:val="00DD3A80"/>
    <w:rsid w:val="00DD413F"/>
    <w:rsid w:val="00DD5E79"/>
    <w:rsid w:val="00DD62D7"/>
    <w:rsid w:val="00DD7B95"/>
    <w:rsid w:val="00DD7D29"/>
    <w:rsid w:val="00DE2887"/>
    <w:rsid w:val="00DE2A84"/>
    <w:rsid w:val="00DE3188"/>
    <w:rsid w:val="00DE4B20"/>
    <w:rsid w:val="00DE54EC"/>
    <w:rsid w:val="00DE62EC"/>
    <w:rsid w:val="00DE70AC"/>
    <w:rsid w:val="00DE7162"/>
    <w:rsid w:val="00DF0157"/>
    <w:rsid w:val="00DF06A9"/>
    <w:rsid w:val="00DF09DD"/>
    <w:rsid w:val="00DF12B4"/>
    <w:rsid w:val="00DF162D"/>
    <w:rsid w:val="00DF181C"/>
    <w:rsid w:val="00DF18BF"/>
    <w:rsid w:val="00DF19CF"/>
    <w:rsid w:val="00DF366B"/>
    <w:rsid w:val="00DF3E05"/>
    <w:rsid w:val="00DF50E7"/>
    <w:rsid w:val="00DF6D74"/>
    <w:rsid w:val="00DF7253"/>
    <w:rsid w:val="00DF7BDC"/>
    <w:rsid w:val="00DF7F18"/>
    <w:rsid w:val="00E00036"/>
    <w:rsid w:val="00E0042D"/>
    <w:rsid w:val="00E00CC2"/>
    <w:rsid w:val="00E01334"/>
    <w:rsid w:val="00E01F26"/>
    <w:rsid w:val="00E0216A"/>
    <w:rsid w:val="00E0237C"/>
    <w:rsid w:val="00E023E8"/>
    <w:rsid w:val="00E02495"/>
    <w:rsid w:val="00E02E1A"/>
    <w:rsid w:val="00E03FEE"/>
    <w:rsid w:val="00E04D52"/>
    <w:rsid w:val="00E052D2"/>
    <w:rsid w:val="00E0596B"/>
    <w:rsid w:val="00E05B2E"/>
    <w:rsid w:val="00E05D11"/>
    <w:rsid w:val="00E05D6B"/>
    <w:rsid w:val="00E064BF"/>
    <w:rsid w:val="00E065A2"/>
    <w:rsid w:val="00E06D9A"/>
    <w:rsid w:val="00E11713"/>
    <w:rsid w:val="00E124B3"/>
    <w:rsid w:val="00E12F44"/>
    <w:rsid w:val="00E1307F"/>
    <w:rsid w:val="00E1366A"/>
    <w:rsid w:val="00E13C7A"/>
    <w:rsid w:val="00E13CD2"/>
    <w:rsid w:val="00E13D46"/>
    <w:rsid w:val="00E143C5"/>
    <w:rsid w:val="00E144C9"/>
    <w:rsid w:val="00E1501B"/>
    <w:rsid w:val="00E15C8C"/>
    <w:rsid w:val="00E16A43"/>
    <w:rsid w:val="00E17A82"/>
    <w:rsid w:val="00E17FB9"/>
    <w:rsid w:val="00E20216"/>
    <w:rsid w:val="00E21492"/>
    <w:rsid w:val="00E21982"/>
    <w:rsid w:val="00E2205F"/>
    <w:rsid w:val="00E221A3"/>
    <w:rsid w:val="00E22F7F"/>
    <w:rsid w:val="00E23E97"/>
    <w:rsid w:val="00E2422F"/>
    <w:rsid w:val="00E24FF2"/>
    <w:rsid w:val="00E25088"/>
    <w:rsid w:val="00E25290"/>
    <w:rsid w:val="00E25733"/>
    <w:rsid w:val="00E25AB3"/>
    <w:rsid w:val="00E25C6E"/>
    <w:rsid w:val="00E25E32"/>
    <w:rsid w:val="00E26095"/>
    <w:rsid w:val="00E26CC6"/>
    <w:rsid w:val="00E2723F"/>
    <w:rsid w:val="00E27B18"/>
    <w:rsid w:val="00E30236"/>
    <w:rsid w:val="00E317A0"/>
    <w:rsid w:val="00E31F20"/>
    <w:rsid w:val="00E337EF"/>
    <w:rsid w:val="00E33A21"/>
    <w:rsid w:val="00E33BE7"/>
    <w:rsid w:val="00E3402F"/>
    <w:rsid w:val="00E341FF"/>
    <w:rsid w:val="00E3451F"/>
    <w:rsid w:val="00E34874"/>
    <w:rsid w:val="00E35896"/>
    <w:rsid w:val="00E360CF"/>
    <w:rsid w:val="00E36EFA"/>
    <w:rsid w:val="00E373CD"/>
    <w:rsid w:val="00E40C15"/>
    <w:rsid w:val="00E40E7B"/>
    <w:rsid w:val="00E41D90"/>
    <w:rsid w:val="00E42485"/>
    <w:rsid w:val="00E4299D"/>
    <w:rsid w:val="00E429CF"/>
    <w:rsid w:val="00E42BF0"/>
    <w:rsid w:val="00E42CD3"/>
    <w:rsid w:val="00E43635"/>
    <w:rsid w:val="00E43896"/>
    <w:rsid w:val="00E439FA"/>
    <w:rsid w:val="00E43B98"/>
    <w:rsid w:val="00E43EE9"/>
    <w:rsid w:val="00E4663F"/>
    <w:rsid w:val="00E46873"/>
    <w:rsid w:val="00E46BD3"/>
    <w:rsid w:val="00E50790"/>
    <w:rsid w:val="00E50BFB"/>
    <w:rsid w:val="00E50E33"/>
    <w:rsid w:val="00E512EC"/>
    <w:rsid w:val="00E51662"/>
    <w:rsid w:val="00E517B5"/>
    <w:rsid w:val="00E52391"/>
    <w:rsid w:val="00E52549"/>
    <w:rsid w:val="00E5309D"/>
    <w:rsid w:val="00E5354F"/>
    <w:rsid w:val="00E545B9"/>
    <w:rsid w:val="00E54825"/>
    <w:rsid w:val="00E54E53"/>
    <w:rsid w:val="00E5505C"/>
    <w:rsid w:val="00E555D7"/>
    <w:rsid w:val="00E5633E"/>
    <w:rsid w:val="00E563EA"/>
    <w:rsid w:val="00E57BBB"/>
    <w:rsid w:val="00E61204"/>
    <w:rsid w:val="00E61B65"/>
    <w:rsid w:val="00E625BC"/>
    <w:rsid w:val="00E6288B"/>
    <w:rsid w:val="00E62FCC"/>
    <w:rsid w:val="00E63152"/>
    <w:rsid w:val="00E63E49"/>
    <w:rsid w:val="00E64009"/>
    <w:rsid w:val="00E64693"/>
    <w:rsid w:val="00E64A26"/>
    <w:rsid w:val="00E652C2"/>
    <w:rsid w:val="00E65A1F"/>
    <w:rsid w:val="00E67B51"/>
    <w:rsid w:val="00E67D91"/>
    <w:rsid w:val="00E71558"/>
    <w:rsid w:val="00E71D98"/>
    <w:rsid w:val="00E722ED"/>
    <w:rsid w:val="00E7239C"/>
    <w:rsid w:val="00E7248D"/>
    <w:rsid w:val="00E73279"/>
    <w:rsid w:val="00E740D7"/>
    <w:rsid w:val="00E74143"/>
    <w:rsid w:val="00E7469A"/>
    <w:rsid w:val="00E75C3F"/>
    <w:rsid w:val="00E76618"/>
    <w:rsid w:val="00E76CA2"/>
    <w:rsid w:val="00E77E49"/>
    <w:rsid w:val="00E80BF6"/>
    <w:rsid w:val="00E816E9"/>
    <w:rsid w:val="00E8215B"/>
    <w:rsid w:val="00E82316"/>
    <w:rsid w:val="00E82672"/>
    <w:rsid w:val="00E83101"/>
    <w:rsid w:val="00E83259"/>
    <w:rsid w:val="00E832F7"/>
    <w:rsid w:val="00E8376A"/>
    <w:rsid w:val="00E83CFD"/>
    <w:rsid w:val="00E83DC1"/>
    <w:rsid w:val="00E841AD"/>
    <w:rsid w:val="00E850F2"/>
    <w:rsid w:val="00E85A4D"/>
    <w:rsid w:val="00E8635F"/>
    <w:rsid w:val="00E86442"/>
    <w:rsid w:val="00E86CA3"/>
    <w:rsid w:val="00E86ECF"/>
    <w:rsid w:val="00E86EFE"/>
    <w:rsid w:val="00E871BD"/>
    <w:rsid w:val="00E87988"/>
    <w:rsid w:val="00E87B4B"/>
    <w:rsid w:val="00E87EF5"/>
    <w:rsid w:val="00E902E8"/>
    <w:rsid w:val="00E90DD1"/>
    <w:rsid w:val="00E91C48"/>
    <w:rsid w:val="00E9290E"/>
    <w:rsid w:val="00E930C5"/>
    <w:rsid w:val="00E936AE"/>
    <w:rsid w:val="00E93D96"/>
    <w:rsid w:val="00E94E14"/>
    <w:rsid w:val="00E94EF0"/>
    <w:rsid w:val="00E94F4A"/>
    <w:rsid w:val="00E9593C"/>
    <w:rsid w:val="00E963BE"/>
    <w:rsid w:val="00E97496"/>
    <w:rsid w:val="00E97636"/>
    <w:rsid w:val="00EA1A19"/>
    <w:rsid w:val="00EA1BF3"/>
    <w:rsid w:val="00EA26AC"/>
    <w:rsid w:val="00EA297B"/>
    <w:rsid w:val="00EA3A5A"/>
    <w:rsid w:val="00EA3E48"/>
    <w:rsid w:val="00EA43B1"/>
    <w:rsid w:val="00EA4FB1"/>
    <w:rsid w:val="00EA5EA2"/>
    <w:rsid w:val="00EA60DD"/>
    <w:rsid w:val="00EA6584"/>
    <w:rsid w:val="00EA65AB"/>
    <w:rsid w:val="00EA7538"/>
    <w:rsid w:val="00EB093A"/>
    <w:rsid w:val="00EB0C91"/>
    <w:rsid w:val="00EB1887"/>
    <w:rsid w:val="00EB1BC5"/>
    <w:rsid w:val="00EB1C53"/>
    <w:rsid w:val="00EB1D5D"/>
    <w:rsid w:val="00EB2CED"/>
    <w:rsid w:val="00EB344E"/>
    <w:rsid w:val="00EB3A4D"/>
    <w:rsid w:val="00EB3C70"/>
    <w:rsid w:val="00EB4310"/>
    <w:rsid w:val="00EB5091"/>
    <w:rsid w:val="00EB51A2"/>
    <w:rsid w:val="00EB56EF"/>
    <w:rsid w:val="00EB595C"/>
    <w:rsid w:val="00EB6F59"/>
    <w:rsid w:val="00EB7AAE"/>
    <w:rsid w:val="00EC010E"/>
    <w:rsid w:val="00EC0C08"/>
    <w:rsid w:val="00EC1847"/>
    <w:rsid w:val="00EC1A92"/>
    <w:rsid w:val="00EC27B0"/>
    <w:rsid w:val="00EC470B"/>
    <w:rsid w:val="00EC4955"/>
    <w:rsid w:val="00EC4EB7"/>
    <w:rsid w:val="00EC57E5"/>
    <w:rsid w:val="00EC58A6"/>
    <w:rsid w:val="00EC6660"/>
    <w:rsid w:val="00EC69E9"/>
    <w:rsid w:val="00EC6C9F"/>
    <w:rsid w:val="00EC7146"/>
    <w:rsid w:val="00EC78A4"/>
    <w:rsid w:val="00ED0BD2"/>
    <w:rsid w:val="00ED10A2"/>
    <w:rsid w:val="00ED13B4"/>
    <w:rsid w:val="00ED1473"/>
    <w:rsid w:val="00ED18D2"/>
    <w:rsid w:val="00ED302E"/>
    <w:rsid w:val="00ED3C0F"/>
    <w:rsid w:val="00ED51E6"/>
    <w:rsid w:val="00ED5F60"/>
    <w:rsid w:val="00ED6CE1"/>
    <w:rsid w:val="00ED6FE0"/>
    <w:rsid w:val="00ED7436"/>
    <w:rsid w:val="00ED7D35"/>
    <w:rsid w:val="00EE04FF"/>
    <w:rsid w:val="00EE18B5"/>
    <w:rsid w:val="00EE1D8A"/>
    <w:rsid w:val="00EE2390"/>
    <w:rsid w:val="00EE283B"/>
    <w:rsid w:val="00EE28D5"/>
    <w:rsid w:val="00EE2BFF"/>
    <w:rsid w:val="00EE2C57"/>
    <w:rsid w:val="00EE2CF9"/>
    <w:rsid w:val="00EE34C4"/>
    <w:rsid w:val="00EE38BB"/>
    <w:rsid w:val="00EE54CC"/>
    <w:rsid w:val="00EE550F"/>
    <w:rsid w:val="00EE5ADF"/>
    <w:rsid w:val="00EE6544"/>
    <w:rsid w:val="00EE6923"/>
    <w:rsid w:val="00EE6CFA"/>
    <w:rsid w:val="00EE75F0"/>
    <w:rsid w:val="00EE791A"/>
    <w:rsid w:val="00EE7B71"/>
    <w:rsid w:val="00EF04B8"/>
    <w:rsid w:val="00EF06C4"/>
    <w:rsid w:val="00EF0741"/>
    <w:rsid w:val="00EF088E"/>
    <w:rsid w:val="00EF0E6D"/>
    <w:rsid w:val="00EF1539"/>
    <w:rsid w:val="00EF1AD3"/>
    <w:rsid w:val="00EF2669"/>
    <w:rsid w:val="00EF3A59"/>
    <w:rsid w:val="00EF3BA2"/>
    <w:rsid w:val="00EF4A30"/>
    <w:rsid w:val="00EF4CC3"/>
    <w:rsid w:val="00EF51F5"/>
    <w:rsid w:val="00EF55AB"/>
    <w:rsid w:val="00EF58C1"/>
    <w:rsid w:val="00EF5B30"/>
    <w:rsid w:val="00EF6976"/>
    <w:rsid w:val="00EF69F2"/>
    <w:rsid w:val="00EF6D8C"/>
    <w:rsid w:val="00EF7393"/>
    <w:rsid w:val="00EF7A95"/>
    <w:rsid w:val="00F00009"/>
    <w:rsid w:val="00F0113C"/>
    <w:rsid w:val="00F0158E"/>
    <w:rsid w:val="00F01D12"/>
    <w:rsid w:val="00F02628"/>
    <w:rsid w:val="00F03259"/>
    <w:rsid w:val="00F0382F"/>
    <w:rsid w:val="00F03C49"/>
    <w:rsid w:val="00F0453E"/>
    <w:rsid w:val="00F04A1B"/>
    <w:rsid w:val="00F055F8"/>
    <w:rsid w:val="00F05BEF"/>
    <w:rsid w:val="00F05D53"/>
    <w:rsid w:val="00F05DA5"/>
    <w:rsid w:val="00F05E53"/>
    <w:rsid w:val="00F05FAA"/>
    <w:rsid w:val="00F062AA"/>
    <w:rsid w:val="00F0656D"/>
    <w:rsid w:val="00F065D4"/>
    <w:rsid w:val="00F06632"/>
    <w:rsid w:val="00F0692C"/>
    <w:rsid w:val="00F069AE"/>
    <w:rsid w:val="00F06A0E"/>
    <w:rsid w:val="00F07708"/>
    <w:rsid w:val="00F07801"/>
    <w:rsid w:val="00F1185E"/>
    <w:rsid w:val="00F12476"/>
    <w:rsid w:val="00F1285A"/>
    <w:rsid w:val="00F12F4B"/>
    <w:rsid w:val="00F13306"/>
    <w:rsid w:val="00F14753"/>
    <w:rsid w:val="00F14A6E"/>
    <w:rsid w:val="00F14AD8"/>
    <w:rsid w:val="00F14EA8"/>
    <w:rsid w:val="00F15682"/>
    <w:rsid w:val="00F15E11"/>
    <w:rsid w:val="00F16899"/>
    <w:rsid w:val="00F2056D"/>
    <w:rsid w:val="00F20AD2"/>
    <w:rsid w:val="00F212E1"/>
    <w:rsid w:val="00F21925"/>
    <w:rsid w:val="00F21DB3"/>
    <w:rsid w:val="00F21E0D"/>
    <w:rsid w:val="00F2213E"/>
    <w:rsid w:val="00F2291B"/>
    <w:rsid w:val="00F22AD0"/>
    <w:rsid w:val="00F23733"/>
    <w:rsid w:val="00F23DC3"/>
    <w:rsid w:val="00F23E64"/>
    <w:rsid w:val="00F24A39"/>
    <w:rsid w:val="00F24B94"/>
    <w:rsid w:val="00F25019"/>
    <w:rsid w:val="00F2622E"/>
    <w:rsid w:val="00F26C91"/>
    <w:rsid w:val="00F26E00"/>
    <w:rsid w:val="00F2721D"/>
    <w:rsid w:val="00F272A8"/>
    <w:rsid w:val="00F2794D"/>
    <w:rsid w:val="00F27CD6"/>
    <w:rsid w:val="00F30163"/>
    <w:rsid w:val="00F30953"/>
    <w:rsid w:val="00F30B66"/>
    <w:rsid w:val="00F30D73"/>
    <w:rsid w:val="00F31120"/>
    <w:rsid w:val="00F323A8"/>
    <w:rsid w:val="00F32D7C"/>
    <w:rsid w:val="00F36B66"/>
    <w:rsid w:val="00F37CEB"/>
    <w:rsid w:val="00F37E30"/>
    <w:rsid w:val="00F4001B"/>
    <w:rsid w:val="00F401EF"/>
    <w:rsid w:val="00F40314"/>
    <w:rsid w:val="00F41011"/>
    <w:rsid w:val="00F411B0"/>
    <w:rsid w:val="00F416C0"/>
    <w:rsid w:val="00F41951"/>
    <w:rsid w:val="00F41AA5"/>
    <w:rsid w:val="00F42015"/>
    <w:rsid w:val="00F42546"/>
    <w:rsid w:val="00F4338F"/>
    <w:rsid w:val="00F43DA4"/>
    <w:rsid w:val="00F44DF3"/>
    <w:rsid w:val="00F45105"/>
    <w:rsid w:val="00F45490"/>
    <w:rsid w:val="00F46244"/>
    <w:rsid w:val="00F46E34"/>
    <w:rsid w:val="00F47EA2"/>
    <w:rsid w:val="00F501DE"/>
    <w:rsid w:val="00F50209"/>
    <w:rsid w:val="00F503F3"/>
    <w:rsid w:val="00F51083"/>
    <w:rsid w:val="00F510D9"/>
    <w:rsid w:val="00F525BA"/>
    <w:rsid w:val="00F52775"/>
    <w:rsid w:val="00F5468E"/>
    <w:rsid w:val="00F549CD"/>
    <w:rsid w:val="00F54D2B"/>
    <w:rsid w:val="00F554B8"/>
    <w:rsid w:val="00F5556B"/>
    <w:rsid w:val="00F55C8A"/>
    <w:rsid w:val="00F56081"/>
    <w:rsid w:val="00F6074B"/>
    <w:rsid w:val="00F60C27"/>
    <w:rsid w:val="00F622D0"/>
    <w:rsid w:val="00F62E2A"/>
    <w:rsid w:val="00F63F35"/>
    <w:rsid w:val="00F643EA"/>
    <w:rsid w:val="00F64B1B"/>
    <w:rsid w:val="00F65A2E"/>
    <w:rsid w:val="00F65C50"/>
    <w:rsid w:val="00F65E56"/>
    <w:rsid w:val="00F6699C"/>
    <w:rsid w:val="00F66D9C"/>
    <w:rsid w:val="00F66FAA"/>
    <w:rsid w:val="00F67A74"/>
    <w:rsid w:val="00F67AB1"/>
    <w:rsid w:val="00F703B5"/>
    <w:rsid w:val="00F70582"/>
    <w:rsid w:val="00F705F8"/>
    <w:rsid w:val="00F70E1B"/>
    <w:rsid w:val="00F70E33"/>
    <w:rsid w:val="00F71CBE"/>
    <w:rsid w:val="00F721D9"/>
    <w:rsid w:val="00F7241F"/>
    <w:rsid w:val="00F724AF"/>
    <w:rsid w:val="00F726B1"/>
    <w:rsid w:val="00F72D30"/>
    <w:rsid w:val="00F73145"/>
    <w:rsid w:val="00F7356A"/>
    <w:rsid w:val="00F7401E"/>
    <w:rsid w:val="00F75241"/>
    <w:rsid w:val="00F76207"/>
    <w:rsid w:val="00F765D2"/>
    <w:rsid w:val="00F771DC"/>
    <w:rsid w:val="00F77224"/>
    <w:rsid w:val="00F77658"/>
    <w:rsid w:val="00F77783"/>
    <w:rsid w:val="00F8104D"/>
    <w:rsid w:val="00F83812"/>
    <w:rsid w:val="00F83BCB"/>
    <w:rsid w:val="00F83CD4"/>
    <w:rsid w:val="00F84B13"/>
    <w:rsid w:val="00F85956"/>
    <w:rsid w:val="00F862F6"/>
    <w:rsid w:val="00F863CF"/>
    <w:rsid w:val="00F86909"/>
    <w:rsid w:val="00F86A5F"/>
    <w:rsid w:val="00F86F2F"/>
    <w:rsid w:val="00F874DA"/>
    <w:rsid w:val="00F87973"/>
    <w:rsid w:val="00F90103"/>
    <w:rsid w:val="00F902DB"/>
    <w:rsid w:val="00F91697"/>
    <w:rsid w:val="00F91740"/>
    <w:rsid w:val="00F9223B"/>
    <w:rsid w:val="00F92CD1"/>
    <w:rsid w:val="00F93CB5"/>
    <w:rsid w:val="00F94211"/>
    <w:rsid w:val="00F94576"/>
    <w:rsid w:val="00F956F7"/>
    <w:rsid w:val="00F9582A"/>
    <w:rsid w:val="00F96053"/>
    <w:rsid w:val="00F9669B"/>
    <w:rsid w:val="00F96B38"/>
    <w:rsid w:val="00F96CCD"/>
    <w:rsid w:val="00FA06A5"/>
    <w:rsid w:val="00FA0C64"/>
    <w:rsid w:val="00FA25EB"/>
    <w:rsid w:val="00FA3458"/>
    <w:rsid w:val="00FA3968"/>
    <w:rsid w:val="00FA3A1C"/>
    <w:rsid w:val="00FA4B85"/>
    <w:rsid w:val="00FA50A4"/>
    <w:rsid w:val="00FA5176"/>
    <w:rsid w:val="00FA5D1B"/>
    <w:rsid w:val="00FA631B"/>
    <w:rsid w:val="00FA6A6A"/>
    <w:rsid w:val="00FA7D5B"/>
    <w:rsid w:val="00FB0213"/>
    <w:rsid w:val="00FB090B"/>
    <w:rsid w:val="00FB0BA2"/>
    <w:rsid w:val="00FB0C13"/>
    <w:rsid w:val="00FB0FE0"/>
    <w:rsid w:val="00FB1C32"/>
    <w:rsid w:val="00FB1D80"/>
    <w:rsid w:val="00FB24D3"/>
    <w:rsid w:val="00FB2EB4"/>
    <w:rsid w:val="00FB2F90"/>
    <w:rsid w:val="00FB347C"/>
    <w:rsid w:val="00FB386C"/>
    <w:rsid w:val="00FB46CA"/>
    <w:rsid w:val="00FB4A19"/>
    <w:rsid w:val="00FB5937"/>
    <w:rsid w:val="00FB5B92"/>
    <w:rsid w:val="00FB5C27"/>
    <w:rsid w:val="00FB5EDF"/>
    <w:rsid w:val="00FB661E"/>
    <w:rsid w:val="00FB7695"/>
    <w:rsid w:val="00FC0A04"/>
    <w:rsid w:val="00FC0CD1"/>
    <w:rsid w:val="00FC22A6"/>
    <w:rsid w:val="00FC32B5"/>
    <w:rsid w:val="00FC3FC6"/>
    <w:rsid w:val="00FC409C"/>
    <w:rsid w:val="00FC437B"/>
    <w:rsid w:val="00FC44D0"/>
    <w:rsid w:val="00FC452A"/>
    <w:rsid w:val="00FC491B"/>
    <w:rsid w:val="00FC4CBC"/>
    <w:rsid w:val="00FC4D08"/>
    <w:rsid w:val="00FC505C"/>
    <w:rsid w:val="00FC5A1E"/>
    <w:rsid w:val="00FC65CD"/>
    <w:rsid w:val="00FC694C"/>
    <w:rsid w:val="00FC7ACE"/>
    <w:rsid w:val="00FD0C0A"/>
    <w:rsid w:val="00FD2CE7"/>
    <w:rsid w:val="00FD3513"/>
    <w:rsid w:val="00FD3C4F"/>
    <w:rsid w:val="00FD40C5"/>
    <w:rsid w:val="00FD4587"/>
    <w:rsid w:val="00FD54A7"/>
    <w:rsid w:val="00FD5D9D"/>
    <w:rsid w:val="00FD6F9F"/>
    <w:rsid w:val="00FD7719"/>
    <w:rsid w:val="00FD7F85"/>
    <w:rsid w:val="00FE04A0"/>
    <w:rsid w:val="00FE0E98"/>
    <w:rsid w:val="00FE150D"/>
    <w:rsid w:val="00FE16F8"/>
    <w:rsid w:val="00FE2EA7"/>
    <w:rsid w:val="00FE2EB5"/>
    <w:rsid w:val="00FE42FC"/>
    <w:rsid w:val="00FE4899"/>
    <w:rsid w:val="00FE49AD"/>
    <w:rsid w:val="00FE4B35"/>
    <w:rsid w:val="00FE4C8F"/>
    <w:rsid w:val="00FE618D"/>
    <w:rsid w:val="00FE620A"/>
    <w:rsid w:val="00FE6870"/>
    <w:rsid w:val="00FE6AEE"/>
    <w:rsid w:val="00FE70CC"/>
    <w:rsid w:val="00FE7C90"/>
    <w:rsid w:val="00FE7F99"/>
    <w:rsid w:val="00FF026F"/>
    <w:rsid w:val="00FF09F2"/>
    <w:rsid w:val="00FF0CDE"/>
    <w:rsid w:val="00FF3C10"/>
    <w:rsid w:val="00FF41E1"/>
    <w:rsid w:val="00FF47B2"/>
    <w:rsid w:val="00FF4968"/>
    <w:rsid w:val="00FF57D0"/>
    <w:rsid w:val="00FF6B1C"/>
    <w:rsid w:val="00FF6F92"/>
    <w:rsid w:val="00FF7A2B"/>
    <w:rsid w:val="00FF7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44261"/>
  <w15:docId w15:val="{A99060BC-2001-472A-B673-B4BEC0C5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652"/>
    <w:pPr>
      <w:widowControl w:val="0"/>
      <w:spacing w:line="400" w:lineRule="exact"/>
      <w:ind w:firstLineChars="200" w:firstLine="200"/>
      <w:jc w:val="both"/>
    </w:pPr>
    <w:rPr>
      <w:rFonts w:ascii="Times New Roman" w:hAnsi="Times New Roman"/>
      <w:sz w:val="28"/>
    </w:rPr>
  </w:style>
  <w:style w:type="paragraph" w:styleId="1">
    <w:name w:val="heading 1"/>
    <w:basedOn w:val="a"/>
    <w:next w:val="a"/>
    <w:link w:val="10"/>
    <w:uiPriority w:val="9"/>
    <w:qFormat/>
    <w:rsid w:val="001D3558"/>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D355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1D3558"/>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1D3558"/>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图表"/>
    <w:qFormat/>
    <w:rsid w:val="004E70EC"/>
    <w:pPr>
      <w:spacing w:line="400" w:lineRule="exact"/>
      <w:ind w:firstLineChars="200" w:firstLine="200"/>
      <w:jc w:val="both"/>
    </w:pPr>
    <w:rPr>
      <w:rFonts w:ascii="Times New Roman" w:eastAsia="宋体" w:hAnsi="Times New Roman"/>
    </w:rPr>
  </w:style>
  <w:style w:type="paragraph" w:styleId="a4">
    <w:name w:val="footer"/>
    <w:basedOn w:val="a"/>
    <w:link w:val="a5"/>
    <w:uiPriority w:val="99"/>
    <w:rsid w:val="00B742A0"/>
    <w:pPr>
      <w:tabs>
        <w:tab w:val="center" w:pos="4153"/>
        <w:tab w:val="right" w:pos="8306"/>
      </w:tabs>
      <w:snapToGrid w:val="0"/>
      <w:jc w:val="left"/>
    </w:pPr>
    <w:rPr>
      <w:rFonts w:eastAsia="宋体" w:cs="Times New Roman"/>
      <w:sz w:val="18"/>
      <w:szCs w:val="18"/>
    </w:rPr>
  </w:style>
  <w:style w:type="character" w:customStyle="1" w:styleId="a5">
    <w:name w:val="页脚 字符"/>
    <w:basedOn w:val="a0"/>
    <w:link w:val="a4"/>
    <w:uiPriority w:val="99"/>
    <w:rsid w:val="00B742A0"/>
    <w:rPr>
      <w:rFonts w:ascii="Times New Roman" w:eastAsia="宋体" w:hAnsi="Times New Roman" w:cs="Times New Roman"/>
      <w:sz w:val="18"/>
      <w:szCs w:val="18"/>
    </w:rPr>
  </w:style>
  <w:style w:type="character" w:styleId="a6">
    <w:name w:val="page number"/>
    <w:basedOn w:val="a0"/>
    <w:rsid w:val="00B742A0"/>
  </w:style>
  <w:style w:type="paragraph" w:styleId="a7">
    <w:name w:val="header"/>
    <w:basedOn w:val="a"/>
    <w:link w:val="a8"/>
    <w:uiPriority w:val="99"/>
    <w:rsid w:val="00B742A0"/>
    <w:pPr>
      <w:pBdr>
        <w:bottom w:val="single" w:sz="6" w:space="1" w:color="auto"/>
      </w:pBdr>
      <w:tabs>
        <w:tab w:val="center" w:pos="4153"/>
        <w:tab w:val="right" w:pos="8306"/>
      </w:tabs>
      <w:snapToGrid w:val="0"/>
      <w:jc w:val="center"/>
    </w:pPr>
    <w:rPr>
      <w:rFonts w:eastAsia="宋体" w:cs="Times New Roman"/>
      <w:sz w:val="18"/>
      <w:szCs w:val="18"/>
    </w:rPr>
  </w:style>
  <w:style w:type="character" w:customStyle="1" w:styleId="a8">
    <w:name w:val="页眉 字符"/>
    <w:basedOn w:val="a0"/>
    <w:link w:val="a7"/>
    <w:uiPriority w:val="99"/>
    <w:rsid w:val="00B742A0"/>
    <w:rPr>
      <w:rFonts w:ascii="Times New Roman" w:eastAsia="宋体" w:hAnsi="Times New Roman" w:cs="Times New Roman"/>
      <w:sz w:val="18"/>
      <w:szCs w:val="18"/>
    </w:rPr>
  </w:style>
  <w:style w:type="paragraph" w:styleId="a9">
    <w:name w:val="Balloon Text"/>
    <w:basedOn w:val="a"/>
    <w:link w:val="aa"/>
    <w:uiPriority w:val="99"/>
    <w:semiHidden/>
    <w:unhideWhenUsed/>
    <w:rsid w:val="008302A3"/>
    <w:rPr>
      <w:sz w:val="18"/>
      <w:szCs w:val="18"/>
    </w:rPr>
  </w:style>
  <w:style w:type="character" w:customStyle="1" w:styleId="aa">
    <w:name w:val="批注框文本 字符"/>
    <w:basedOn w:val="a0"/>
    <w:link w:val="a9"/>
    <w:uiPriority w:val="99"/>
    <w:semiHidden/>
    <w:rsid w:val="008302A3"/>
    <w:rPr>
      <w:sz w:val="18"/>
      <w:szCs w:val="18"/>
    </w:rPr>
  </w:style>
  <w:style w:type="paragraph" w:styleId="ab">
    <w:name w:val="Date"/>
    <w:basedOn w:val="a"/>
    <w:next w:val="a"/>
    <w:link w:val="ac"/>
    <w:uiPriority w:val="99"/>
    <w:semiHidden/>
    <w:unhideWhenUsed/>
    <w:rsid w:val="003E4C93"/>
    <w:pPr>
      <w:ind w:leftChars="2500" w:left="100"/>
    </w:pPr>
  </w:style>
  <w:style w:type="character" w:customStyle="1" w:styleId="ac">
    <w:name w:val="日期 字符"/>
    <w:basedOn w:val="a0"/>
    <w:link w:val="ab"/>
    <w:uiPriority w:val="99"/>
    <w:semiHidden/>
    <w:rsid w:val="003E4C93"/>
  </w:style>
  <w:style w:type="paragraph" w:customStyle="1" w:styleId="ad">
    <w:name w:val="一级标题"/>
    <w:basedOn w:val="1"/>
    <w:next w:val="a"/>
    <w:qFormat/>
    <w:rsid w:val="00115700"/>
    <w:pPr>
      <w:tabs>
        <w:tab w:val="num" w:pos="525"/>
      </w:tabs>
      <w:spacing w:beforeLines="100" w:before="100" w:after="0" w:line="400" w:lineRule="exact"/>
      <w:ind w:firstLineChars="0" w:firstLine="0"/>
      <w:jc w:val="left"/>
    </w:pPr>
    <w:rPr>
      <w:rFonts w:eastAsia="黑体" w:cs="Times New Roman"/>
      <w:sz w:val="32"/>
      <w:szCs w:val="24"/>
    </w:rPr>
  </w:style>
  <w:style w:type="paragraph" w:customStyle="1" w:styleId="ae">
    <w:name w:val="二级标题"/>
    <w:basedOn w:val="2"/>
    <w:next w:val="3"/>
    <w:qFormat/>
    <w:rsid w:val="0013146B"/>
    <w:pPr>
      <w:spacing w:before="240" w:after="0" w:line="400" w:lineRule="exact"/>
      <w:ind w:firstLineChars="0" w:firstLine="0"/>
    </w:pPr>
    <w:rPr>
      <w:rFonts w:eastAsia="黑体"/>
      <w:sz w:val="28"/>
    </w:rPr>
  </w:style>
  <w:style w:type="character" w:customStyle="1" w:styleId="10">
    <w:name w:val="标题 1 字符"/>
    <w:basedOn w:val="a0"/>
    <w:link w:val="1"/>
    <w:uiPriority w:val="9"/>
    <w:rsid w:val="001D3558"/>
    <w:rPr>
      <w:b/>
      <w:bCs/>
      <w:kern w:val="44"/>
      <w:sz w:val="44"/>
      <w:szCs w:val="44"/>
    </w:rPr>
  </w:style>
  <w:style w:type="paragraph" w:customStyle="1" w:styleId="af">
    <w:name w:val="三级标题"/>
    <w:basedOn w:val="3"/>
    <w:next w:val="4"/>
    <w:qFormat/>
    <w:rsid w:val="008C4064"/>
    <w:pPr>
      <w:spacing w:beforeLines="100" w:before="100" w:after="0" w:line="400" w:lineRule="exact"/>
    </w:pPr>
    <w:rPr>
      <w:rFonts w:eastAsia="黑体"/>
      <w:b w:val="0"/>
      <w:sz w:val="24"/>
    </w:rPr>
  </w:style>
  <w:style w:type="character" w:customStyle="1" w:styleId="20">
    <w:name w:val="标题 2 字符"/>
    <w:basedOn w:val="a0"/>
    <w:link w:val="2"/>
    <w:uiPriority w:val="9"/>
    <w:semiHidden/>
    <w:rsid w:val="001D3558"/>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1D3558"/>
    <w:rPr>
      <w:rFonts w:ascii="Times New Roman" w:eastAsia="宋体" w:hAnsi="Times New Roman"/>
      <w:b/>
      <w:bCs/>
      <w:sz w:val="32"/>
      <w:szCs w:val="32"/>
    </w:rPr>
  </w:style>
  <w:style w:type="paragraph" w:customStyle="1" w:styleId="af0">
    <w:name w:val="引文"/>
    <w:basedOn w:val="a"/>
    <w:qFormat/>
    <w:rsid w:val="00E97636"/>
    <w:pPr>
      <w:snapToGrid w:val="0"/>
      <w:ind w:firstLineChars="0" w:firstLine="0"/>
    </w:pPr>
    <w:rPr>
      <w:rFonts w:eastAsia="宋体" w:cs="Times New Roman"/>
      <w:szCs w:val="24"/>
    </w:rPr>
  </w:style>
  <w:style w:type="character" w:customStyle="1" w:styleId="40">
    <w:name w:val="标题 4 字符"/>
    <w:basedOn w:val="a0"/>
    <w:link w:val="4"/>
    <w:uiPriority w:val="9"/>
    <w:semiHidden/>
    <w:rsid w:val="001D3558"/>
    <w:rPr>
      <w:rFonts w:asciiTheme="majorHAnsi" w:eastAsiaTheme="majorEastAsia" w:hAnsiTheme="majorHAnsi" w:cstheme="majorBidi"/>
      <w:b/>
      <w:bCs/>
      <w:sz w:val="28"/>
      <w:szCs w:val="28"/>
    </w:rPr>
  </w:style>
  <w:style w:type="paragraph" w:styleId="af1">
    <w:name w:val="List Paragraph"/>
    <w:basedOn w:val="a"/>
    <w:uiPriority w:val="34"/>
    <w:qFormat/>
    <w:rsid w:val="00CB523D"/>
    <w:pPr>
      <w:ind w:firstLine="420"/>
    </w:pPr>
  </w:style>
  <w:style w:type="table" w:styleId="af2">
    <w:name w:val="Table Grid"/>
    <w:basedOn w:val="a1"/>
    <w:uiPriority w:val="59"/>
    <w:rsid w:val="003E2F9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rsid w:val="00AF4A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1">
    <w:name w:val="无格式表格 21"/>
    <w:basedOn w:val="a1"/>
    <w:uiPriority w:val="42"/>
    <w:rsid w:val="009A4C12"/>
    <w:rPr>
      <w:rFonts w:eastAsia="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3">
    <w:name w:val="项目符号列表"/>
    <w:qFormat/>
    <w:rsid w:val="00E64009"/>
    <w:pPr>
      <w:spacing w:beforeLines="50" w:before="50" w:afterLines="50" w:after="50"/>
      <w:ind w:left="420" w:hanging="420"/>
    </w:pPr>
  </w:style>
  <w:style w:type="character" w:customStyle="1" w:styleId="src">
    <w:name w:val="src"/>
    <w:basedOn w:val="a0"/>
    <w:rsid w:val="00E64009"/>
  </w:style>
  <w:style w:type="character" w:customStyle="1" w:styleId="apple-converted-space">
    <w:name w:val="apple-converted-space"/>
    <w:basedOn w:val="a0"/>
    <w:rsid w:val="00E64009"/>
  </w:style>
  <w:style w:type="paragraph" w:styleId="af4">
    <w:name w:val="No Spacing"/>
    <w:aliases w:val="英文正文"/>
    <w:basedOn w:val="a"/>
    <w:uiPriority w:val="1"/>
    <w:qFormat/>
    <w:rsid w:val="00E64009"/>
    <w:pPr>
      <w:ind w:firstLineChars="0" w:firstLine="0"/>
    </w:pPr>
    <w:rPr>
      <w:rFonts w:eastAsia="Times New Roman"/>
    </w:rPr>
  </w:style>
  <w:style w:type="paragraph" w:styleId="TOC1">
    <w:name w:val="toc 1"/>
    <w:basedOn w:val="a"/>
    <w:next w:val="a"/>
    <w:autoRedefine/>
    <w:uiPriority w:val="39"/>
    <w:unhideWhenUsed/>
    <w:qFormat/>
    <w:rsid w:val="00B44EAE"/>
  </w:style>
  <w:style w:type="paragraph" w:styleId="TOC2">
    <w:name w:val="toc 2"/>
    <w:basedOn w:val="a"/>
    <w:next w:val="a"/>
    <w:autoRedefine/>
    <w:uiPriority w:val="39"/>
    <w:unhideWhenUsed/>
    <w:qFormat/>
    <w:rsid w:val="00B44EAE"/>
    <w:pPr>
      <w:ind w:leftChars="200" w:left="420"/>
    </w:pPr>
  </w:style>
  <w:style w:type="character" w:styleId="af5">
    <w:name w:val="Hyperlink"/>
    <w:basedOn w:val="a0"/>
    <w:uiPriority w:val="99"/>
    <w:unhideWhenUsed/>
    <w:rsid w:val="00B44EAE"/>
    <w:rPr>
      <w:color w:val="0000FF" w:themeColor="hyperlink"/>
      <w:u w:val="single"/>
    </w:rPr>
  </w:style>
  <w:style w:type="paragraph" w:styleId="TOC">
    <w:name w:val="TOC Heading"/>
    <w:basedOn w:val="1"/>
    <w:next w:val="a"/>
    <w:uiPriority w:val="39"/>
    <w:unhideWhenUsed/>
    <w:qFormat/>
    <w:rsid w:val="00B44EAE"/>
    <w:pPr>
      <w:widowControl/>
      <w:spacing w:before="480" w:after="0" w:line="276" w:lineRule="auto"/>
      <w:ind w:firstLineChars="0" w:firstLine="0"/>
      <w:jc w:val="left"/>
      <w:outlineLvl w:val="9"/>
    </w:pPr>
    <w:rPr>
      <w:rFonts w:asciiTheme="majorHAnsi" w:eastAsiaTheme="majorEastAsia" w:hAnsiTheme="majorHAnsi" w:cstheme="majorBidi"/>
      <w:b w:val="0"/>
      <w:color w:val="365F91" w:themeColor="accent1" w:themeShade="BF"/>
      <w:kern w:val="0"/>
      <w:sz w:val="28"/>
      <w:szCs w:val="28"/>
    </w:rPr>
  </w:style>
  <w:style w:type="paragraph" w:styleId="TOC3">
    <w:name w:val="toc 3"/>
    <w:basedOn w:val="a"/>
    <w:next w:val="a"/>
    <w:autoRedefine/>
    <w:uiPriority w:val="39"/>
    <w:unhideWhenUsed/>
    <w:qFormat/>
    <w:rsid w:val="00B44EAE"/>
    <w:pPr>
      <w:widowControl/>
      <w:spacing w:after="100" w:line="276" w:lineRule="auto"/>
      <w:ind w:left="440" w:firstLineChars="0" w:firstLine="0"/>
      <w:jc w:val="left"/>
    </w:pPr>
    <w:rPr>
      <w:rFonts w:asciiTheme="minorHAnsi" w:hAnsiTheme="minorHAnsi"/>
      <w:kern w:val="0"/>
      <w:sz w:val="22"/>
    </w:rPr>
  </w:style>
  <w:style w:type="paragraph" w:styleId="af6">
    <w:name w:val="Normal (Web)"/>
    <w:basedOn w:val="a"/>
    <w:uiPriority w:val="99"/>
    <w:semiHidden/>
    <w:unhideWhenUsed/>
    <w:rsid w:val="002E091C"/>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f7">
    <w:name w:val="FollowedHyperlink"/>
    <w:basedOn w:val="a0"/>
    <w:uiPriority w:val="99"/>
    <w:semiHidden/>
    <w:unhideWhenUsed/>
    <w:rsid w:val="00F37CEB"/>
    <w:rPr>
      <w:color w:val="800080" w:themeColor="followedHyperlink"/>
      <w:u w:val="single"/>
    </w:rPr>
  </w:style>
  <w:style w:type="character" w:styleId="af8">
    <w:name w:val="Placeholder Text"/>
    <w:basedOn w:val="a0"/>
    <w:uiPriority w:val="99"/>
    <w:semiHidden/>
    <w:rsid w:val="005858E8"/>
    <w:rPr>
      <w:color w:val="808080"/>
    </w:rPr>
  </w:style>
  <w:style w:type="character" w:styleId="af9">
    <w:name w:val="annotation reference"/>
    <w:basedOn w:val="a0"/>
    <w:uiPriority w:val="99"/>
    <w:semiHidden/>
    <w:unhideWhenUsed/>
    <w:rsid w:val="00116439"/>
    <w:rPr>
      <w:sz w:val="21"/>
      <w:szCs w:val="21"/>
    </w:rPr>
  </w:style>
  <w:style w:type="paragraph" w:styleId="afa">
    <w:name w:val="annotation text"/>
    <w:basedOn w:val="a"/>
    <w:link w:val="afb"/>
    <w:uiPriority w:val="99"/>
    <w:unhideWhenUsed/>
    <w:rsid w:val="00116439"/>
    <w:pPr>
      <w:jc w:val="left"/>
    </w:pPr>
  </w:style>
  <w:style w:type="character" w:customStyle="1" w:styleId="afb">
    <w:name w:val="批注文字 字符"/>
    <w:basedOn w:val="a0"/>
    <w:link w:val="afa"/>
    <w:uiPriority w:val="99"/>
    <w:rsid w:val="00116439"/>
    <w:rPr>
      <w:rFonts w:ascii="Times New Roman" w:hAnsi="Times New Roman"/>
      <w:sz w:val="28"/>
    </w:rPr>
  </w:style>
  <w:style w:type="paragraph" w:styleId="afc">
    <w:name w:val="annotation subject"/>
    <w:basedOn w:val="afa"/>
    <w:next w:val="afa"/>
    <w:link w:val="afd"/>
    <w:uiPriority w:val="99"/>
    <w:semiHidden/>
    <w:unhideWhenUsed/>
    <w:rsid w:val="009C6340"/>
    <w:rPr>
      <w:b/>
      <w:bCs/>
    </w:rPr>
  </w:style>
  <w:style w:type="character" w:customStyle="1" w:styleId="afd">
    <w:name w:val="批注主题 字符"/>
    <w:basedOn w:val="afb"/>
    <w:link w:val="afc"/>
    <w:uiPriority w:val="99"/>
    <w:semiHidden/>
    <w:rsid w:val="009C6340"/>
    <w:rPr>
      <w:rFonts w:ascii="Times New Roman" w:hAnsi="Times New Roman"/>
      <w:b/>
      <w:bCs/>
      <w:sz w:val="28"/>
    </w:rPr>
  </w:style>
  <w:style w:type="paragraph" w:styleId="afe">
    <w:name w:val="Revision"/>
    <w:hidden/>
    <w:uiPriority w:val="99"/>
    <w:semiHidden/>
    <w:rsid w:val="00982D9C"/>
    <w:rPr>
      <w:rFonts w:ascii="Times New Roman" w:hAnsi="Times New Roman"/>
      <w:sz w:val="28"/>
    </w:rPr>
  </w:style>
  <w:style w:type="paragraph" w:customStyle="1" w:styleId="EndNoteBibliographyTitle">
    <w:name w:val="EndNote Bibliography Title"/>
    <w:basedOn w:val="a"/>
    <w:link w:val="EndNoteBibliographyTitle0"/>
    <w:rsid w:val="00C360AF"/>
    <w:pPr>
      <w:jc w:val="center"/>
    </w:pPr>
    <w:rPr>
      <w:rFonts w:cs="Times New Roman"/>
      <w:noProof/>
    </w:rPr>
  </w:style>
  <w:style w:type="character" w:customStyle="1" w:styleId="EndNoteBibliographyTitle0">
    <w:name w:val="EndNote Bibliography Title 字符"/>
    <w:basedOn w:val="a0"/>
    <w:link w:val="EndNoteBibliographyTitle"/>
    <w:rsid w:val="00C360AF"/>
    <w:rPr>
      <w:rFonts w:ascii="Times New Roman" w:hAnsi="Times New Roman" w:cs="Times New Roman"/>
      <w:noProof/>
      <w:sz w:val="28"/>
    </w:rPr>
  </w:style>
  <w:style w:type="paragraph" w:customStyle="1" w:styleId="EndNoteBibliography">
    <w:name w:val="EndNote Bibliography"/>
    <w:basedOn w:val="a"/>
    <w:link w:val="EndNoteBibliography0"/>
    <w:rsid w:val="00C360AF"/>
    <w:pPr>
      <w:spacing w:line="240" w:lineRule="exact"/>
    </w:pPr>
    <w:rPr>
      <w:rFonts w:cs="Times New Roman"/>
      <w:noProof/>
    </w:rPr>
  </w:style>
  <w:style w:type="character" w:customStyle="1" w:styleId="EndNoteBibliography0">
    <w:name w:val="EndNote Bibliography 字符"/>
    <w:basedOn w:val="a0"/>
    <w:link w:val="EndNoteBibliography"/>
    <w:rsid w:val="00C360AF"/>
    <w:rPr>
      <w:rFonts w:ascii="Times New Roman" w:hAnsi="Times New Roman" w:cs="Times New Roman"/>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751">
      <w:bodyDiv w:val="1"/>
      <w:marLeft w:val="0"/>
      <w:marRight w:val="0"/>
      <w:marTop w:val="0"/>
      <w:marBottom w:val="0"/>
      <w:divBdr>
        <w:top w:val="none" w:sz="0" w:space="0" w:color="auto"/>
        <w:left w:val="none" w:sz="0" w:space="0" w:color="auto"/>
        <w:bottom w:val="none" w:sz="0" w:space="0" w:color="auto"/>
        <w:right w:val="none" w:sz="0" w:space="0" w:color="auto"/>
      </w:divBdr>
    </w:div>
    <w:div w:id="27029544">
      <w:bodyDiv w:val="1"/>
      <w:marLeft w:val="0"/>
      <w:marRight w:val="0"/>
      <w:marTop w:val="0"/>
      <w:marBottom w:val="0"/>
      <w:divBdr>
        <w:top w:val="none" w:sz="0" w:space="0" w:color="auto"/>
        <w:left w:val="none" w:sz="0" w:space="0" w:color="auto"/>
        <w:bottom w:val="none" w:sz="0" w:space="0" w:color="auto"/>
        <w:right w:val="none" w:sz="0" w:space="0" w:color="auto"/>
      </w:divBdr>
    </w:div>
    <w:div w:id="27919229">
      <w:bodyDiv w:val="1"/>
      <w:marLeft w:val="0"/>
      <w:marRight w:val="0"/>
      <w:marTop w:val="0"/>
      <w:marBottom w:val="0"/>
      <w:divBdr>
        <w:top w:val="none" w:sz="0" w:space="0" w:color="auto"/>
        <w:left w:val="none" w:sz="0" w:space="0" w:color="auto"/>
        <w:bottom w:val="none" w:sz="0" w:space="0" w:color="auto"/>
        <w:right w:val="none" w:sz="0" w:space="0" w:color="auto"/>
      </w:divBdr>
    </w:div>
    <w:div w:id="77676115">
      <w:bodyDiv w:val="1"/>
      <w:marLeft w:val="0"/>
      <w:marRight w:val="0"/>
      <w:marTop w:val="0"/>
      <w:marBottom w:val="0"/>
      <w:divBdr>
        <w:top w:val="none" w:sz="0" w:space="0" w:color="auto"/>
        <w:left w:val="none" w:sz="0" w:space="0" w:color="auto"/>
        <w:bottom w:val="none" w:sz="0" w:space="0" w:color="auto"/>
        <w:right w:val="none" w:sz="0" w:space="0" w:color="auto"/>
      </w:divBdr>
    </w:div>
    <w:div w:id="116805254">
      <w:bodyDiv w:val="1"/>
      <w:marLeft w:val="0"/>
      <w:marRight w:val="0"/>
      <w:marTop w:val="0"/>
      <w:marBottom w:val="0"/>
      <w:divBdr>
        <w:top w:val="none" w:sz="0" w:space="0" w:color="auto"/>
        <w:left w:val="none" w:sz="0" w:space="0" w:color="auto"/>
        <w:bottom w:val="none" w:sz="0" w:space="0" w:color="auto"/>
        <w:right w:val="none" w:sz="0" w:space="0" w:color="auto"/>
      </w:divBdr>
    </w:div>
    <w:div w:id="139153870">
      <w:bodyDiv w:val="1"/>
      <w:marLeft w:val="0"/>
      <w:marRight w:val="0"/>
      <w:marTop w:val="0"/>
      <w:marBottom w:val="0"/>
      <w:divBdr>
        <w:top w:val="none" w:sz="0" w:space="0" w:color="auto"/>
        <w:left w:val="none" w:sz="0" w:space="0" w:color="auto"/>
        <w:bottom w:val="none" w:sz="0" w:space="0" w:color="auto"/>
        <w:right w:val="none" w:sz="0" w:space="0" w:color="auto"/>
      </w:divBdr>
      <w:divsChild>
        <w:div w:id="2128814871">
          <w:marLeft w:val="0"/>
          <w:marRight w:val="0"/>
          <w:marTop w:val="0"/>
          <w:marBottom w:val="0"/>
          <w:divBdr>
            <w:top w:val="none" w:sz="0" w:space="0" w:color="auto"/>
            <w:left w:val="none" w:sz="0" w:space="0" w:color="auto"/>
            <w:bottom w:val="none" w:sz="0" w:space="0" w:color="auto"/>
            <w:right w:val="none" w:sz="0" w:space="0" w:color="auto"/>
          </w:divBdr>
        </w:div>
        <w:div w:id="1070269671">
          <w:marLeft w:val="0"/>
          <w:marRight w:val="0"/>
          <w:marTop w:val="0"/>
          <w:marBottom w:val="0"/>
          <w:divBdr>
            <w:top w:val="none" w:sz="0" w:space="0" w:color="auto"/>
            <w:left w:val="none" w:sz="0" w:space="0" w:color="auto"/>
            <w:bottom w:val="none" w:sz="0" w:space="0" w:color="auto"/>
            <w:right w:val="none" w:sz="0" w:space="0" w:color="auto"/>
          </w:divBdr>
        </w:div>
      </w:divsChild>
    </w:div>
    <w:div w:id="176389607">
      <w:bodyDiv w:val="1"/>
      <w:marLeft w:val="0"/>
      <w:marRight w:val="0"/>
      <w:marTop w:val="0"/>
      <w:marBottom w:val="0"/>
      <w:divBdr>
        <w:top w:val="none" w:sz="0" w:space="0" w:color="auto"/>
        <w:left w:val="none" w:sz="0" w:space="0" w:color="auto"/>
        <w:bottom w:val="none" w:sz="0" w:space="0" w:color="auto"/>
        <w:right w:val="none" w:sz="0" w:space="0" w:color="auto"/>
      </w:divBdr>
    </w:div>
    <w:div w:id="253362482">
      <w:bodyDiv w:val="1"/>
      <w:marLeft w:val="0"/>
      <w:marRight w:val="0"/>
      <w:marTop w:val="0"/>
      <w:marBottom w:val="0"/>
      <w:divBdr>
        <w:top w:val="none" w:sz="0" w:space="0" w:color="auto"/>
        <w:left w:val="none" w:sz="0" w:space="0" w:color="auto"/>
        <w:bottom w:val="none" w:sz="0" w:space="0" w:color="auto"/>
        <w:right w:val="none" w:sz="0" w:space="0" w:color="auto"/>
      </w:divBdr>
    </w:div>
    <w:div w:id="282199581">
      <w:bodyDiv w:val="1"/>
      <w:marLeft w:val="0"/>
      <w:marRight w:val="0"/>
      <w:marTop w:val="0"/>
      <w:marBottom w:val="0"/>
      <w:divBdr>
        <w:top w:val="none" w:sz="0" w:space="0" w:color="auto"/>
        <w:left w:val="none" w:sz="0" w:space="0" w:color="auto"/>
        <w:bottom w:val="none" w:sz="0" w:space="0" w:color="auto"/>
        <w:right w:val="none" w:sz="0" w:space="0" w:color="auto"/>
      </w:divBdr>
      <w:divsChild>
        <w:div w:id="1783105628">
          <w:marLeft w:val="0"/>
          <w:marRight w:val="0"/>
          <w:marTop w:val="0"/>
          <w:marBottom w:val="0"/>
          <w:divBdr>
            <w:top w:val="none" w:sz="0" w:space="0" w:color="auto"/>
            <w:left w:val="none" w:sz="0" w:space="0" w:color="auto"/>
            <w:bottom w:val="none" w:sz="0" w:space="0" w:color="auto"/>
            <w:right w:val="none" w:sz="0" w:space="0" w:color="auto"/>
          </w:divBdr>
        </w:div>
      </w:divsChild>
    </w:div>
    <w:div w:id="290331768">
      <w:bodyDiv w:val="1"/>
      <w:marLeft w:val="0"/>
      <w:marRight w:val="0"/>
      <w:marTop w:val="0"/>
      <w:marBottom w:val="0"/>
      <w:divBdr>
        <w:top w:val="none" w:sz="0" w:space="0" w:color="auto"/>
        <w:left w:val="none" w:sz="0" w:space="0" w:color="auto"/>
        <w:bottom w:val="none" w:sz="0" w:space="0" w:color="auto"/>
        <w:right w:val="none" w:sz="0" w:space="0" w:color="auto"/>
      </w:divBdr>
    </w:div>
    <w:div w:id="304898784">
      <w:bodyDiv w:val="1"/>
      <w:marLeft w:val="0"/>
      <w:marRight w:val="0"/>
      <w:marTop w:val="0"/>
      <w:marBottom w:val="0"/>
      <w:divBdr>
        <w:top w:val="none" w:sz="0" w:space="0" w:color="auto"/>
        <w:left w:val="none" w:sz="0" w:space="0" w:color="auto"/>
        <w:bottom w:val="none" w:sz="0" w:space="0" w:color="auto"/>
        <w:right w:val="none" w:sz="0" w:space="0" w:color="auto"/>
      </w:divBdr>
      <w:divsChild>
        <w:div w:id="866137059">
          <w:marLeft w:val="0"/>
          <w:marRight w:val="0"/>
          <w:marTop w:val="0"/>
          <w:marBottom w:val="0"/>
          <w:divBdr>
            <w:top w:val="none" w:sz="0" w:space="0" w:color="auto"/>
            <w:left w:val="none" w:sz="0" w:space="0" w:color="auto"/>
            <w:bottom w:val="none" w:sz="0" w:space="0" w:color="auto"/>
            <w:right w:val="none" w:sz="0" w:space="0" w:color="auto"/>
          </w:divBdr>
          <w:divsChild>
            <w:div w:id="281419022">
              <w:marLeft w:val="0"/>
              <w:marRight w:val="0"/>
              <w:marTop w:val="0"/>
              <w:marBottom w:val="0"/>
              <w:divBdr>
                <w:top w:val="none" w:sz="0" w:space="0" w:color="auto"/>
                <w:left w:val="none" w:sz="0" w:space="0" w:color="auto"/>
                <w:bottom w:val="none" w:sz="0" w:space="0" w:color="auto"/>
                <w:right w:val="none" w:sz="0" w:space="0" w:color="auto"/>
              </w:divBdr>
              <w:divsChild>
                <w:div w:id="1426536142">
                  <w:marLeft w:val="0"/>
                  <w:marRight w:val="0"/>
                  <w:marTop w:val="0"/>
                  <w:marBottom w:val="0"/>
                  <w:divBdr>
                    <w:top w:val="none" w:sz="0" w:space="0" w:color="auto"/>
                    <w:left w:val="none" w:sz="0" w:space="0" w:color="auto"/>
                    <w:bottom w:val="none" w:sz="0" w:space="0" w:color="auto"/>
                    <w:right w:val="none" w:sz="0" w:space="0" w:color="auto"/>
                  </w:divBdr>
                  <w:divsChild>
                    <w:div w:id="352417709">
                      <w:marLeft w:val="0"/>
                      <w:marRight w:val="0"/>
                      <w:marTop w:val="0"/>
                      <w:marBottom w:val="0"/>
                      <w:divBdr>
                        <w:top w:val="none" w:sz="0" w:space="0" w:color="auto"/>
                        <w:left w:val="none" w:sz="0" w:space="0" w:color="auto"/>
                        <w:bottom w:val="none" w:sz="0" w:space="0" w:color="auto"/>
                        <w:right w:val="none" w:sz="0" w:space="0" w:color="auto"/>
                      </w:divBdr>
                      <w:divsChild>
                        <w:div w:id="120587460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322507637">
      <w:bodyDiv w:val="1"/>
      <w:marLeft w:val="0"/>
      <w:marRight w:val="0"/>
      <w:marTop w:val="0"/>
      <w:marBottom w:val="0"/>
      <w:divBdr>
        <w:top w:val="none" w:sz="0" w:space="0" w:color="auto"/>
        <w:left w:val="none" w:sz="0" w:space="0" w:color="auto"/>
        <w:bottom w:val="none" w:sz="0" w:space="0" w:color="auto"/>
        <w:right w:val="none" w:sz="0" w:space="0" w:color="auto"/>
      </w:divBdr>
    </w:div>
    <w:div w:id="329067451">
      <w:bodyDiv w:val="1"/>
      <w:marLeft w:val="0"/>
      <w:marRight w:val="0"/>
      <w:marTop w:val="0"/>
      <w:marBottom w:val="0"/>
      <w:divBdr>
        <w:top w:val="none" w:sz="0" w:space="0" w:color="auto"/>
        <w:left w:val="none" w:sz="0" w:space="0" w:color="auto"/>
        <w:bottom w:val="none" w:sz="0" w:space="0" w:color="auto"/>
        <w:right w:val="none" w:sz="0" w:space="0" w:color="auto"/>
      </w:divBdr>
    </w:div>
    <w:div w:id="348264716">
      <w:bodyDiv w:val="1"/>
      <w:marLeft w:val="0"/>
      <w:marRight w:val="0"/>
      <w:marTop w:val="0"/>
      <w:marBottom w:val="0"/>
      <w:divBdr>
        <w:top w:val="none" w:sz="0" w:space="0" w:color="auto"/>
        <w:left w:val="none" w:sz="0" w:space="0" w:color="auto"/>
        <w:bottom w:val="none" w:sz="0" w:space="0" w:color="auto"/>
        <w:right w:val="none" w:sz="0" w:space="0" w:color="auto"/>
      </w:divBdr>
    </w:div>
    <w:div w:id="370808247">
      <w:bodyDiv w:val="1"/>
      <w:marLeft w:val="0"/>
      <w:marRight w:val="0"/>
      <w:marTop w:val="0"/>
      <w:marBottom w:val="0"/>
      <w:divBdr>
        <w:top w:val="none" w:sz="0" w:space="0" w:color="auto"/>
        <w:left w:val="none" w:sz="0" w:space="0" w:color="auto"/>
        <w:bottom w:val="none" w:sz="0" w:space="0" w:color="auto"/>
        <w:right w:val="none" w:sz="0" w:space="0" w:color="auto"/>
      </w:divBdr>
    </w:div>
    <w:div w:id="466120339">
      <w:bodyDiv w:val="1"/>
      <w:marLeft w:val="0"/>
      <w:marRight w:val="0"/>
      <w:marTop w:val="0"/>
      <w:marBottom w:val="0"/>
      <w:divBdr>
        <w:top w:val="none" w:sz="0" w:space="0" w:color="auto"/>
        <w:left w:val="none" w:sz="0" w:space="0" w:color="auto"/>
        <w:bottom w:val="none" w:sz="0" w:space="0" w:color="auto"/>
        <w:right w:val="none" w:sz="0" w:space="0" w:color="auto"/>
      </w:divBdr>
    </w:div>
    <w:div w:id="485510519">
      <w:bodyDiv w:val="1"/>
      <w:marLeft w:val="0"/>
      <w:marRight w:val="0"/>
      <w:marTop w:val="0"/>
      <w:marBottom w:val="0"/>
      <w:divBdr>
        <w:top w:val="none" w:sz="0" w:space="0" w:color="auto"/>
        <w:left w:val="none" w:sz="0" w:space="0" w:color="auto"/>
        <w:bottom w:val="none" w:sz="0" w:space="0" w:color="auto"/>
        <w:right w:val="none" w:sz="0" w:space="0" w:color="auto"/>
      </w:divBdr>
    </w:div>
    <w:div w:id="522673768">
      <w:bodyDiv w:val="1"/>
      <w:marLeft w:val="0"/>
      <w:marRight w:val="0"/>
      <w:marTop w:val="0"/>
      <w:marBottom w:val="0"/>
      <w:divBdr>
        <w:top w:val="none" w:sz="0" w:space="0" w:color="auto"/>
        <w:left w:val="none" w:sz="0" w:space="0" w:color="auto"/>
        <w:bottom w:val="none" w:sz="0" w:space="0" w:color="auto"/>
        <w:right w:val="none" w:sz="0" w:space="0" w:color="auto"/>
      </w:divBdr>
    </w:div>
    <w:div w:id="526718305">
      <w:bodyDiv w:val="1"/>
      <w:marLeft w:val="0"/>
      <w:marRight w:val="0"/>
      <w:marTop w:val="0"/>
      <w:marBottom w:val="0"/>
      <w:divBdr>
        <w:top w:val="none" w:sz="0" w:space="0" w:color="auto"/>
        <w:left w:val="none" w:sz="0" w:space="0" w:color="auto"/>
        <w:bottom w:val="none" w:sz="0" w:space="0" w:color="auto"/>
        <w:right w:val="none" w:sz="0" w:space="0" w:color="auto"/>
      </w:divBdr>
    </w:div>
    <w:div w:id="535627882">
      <w:bodyDiv w:val="1"/>
      <w:marLeft w:val="0"/>
      <w:marRight w:val="0"/>
      <w:marTop w:val="0"/>
      <w:marBottom w:val="0"/>
      <w:divBdr>
        <w:top w:val="none" w:sz="0" w:space="0" w:color="auto"/>
        <w:left w:val="none" w:sz="0" w:space="0" w:color="auto"/>
        <w:bottom w:val="none" w:sz="0" w:space="0" w:color="auto"/>
        <w:right w:val="none" w:sz="0" w:space="0" w:color="auto"/>
      </w:divBdr>
    </w:div>
    <w:div w:id="558857527">
      <w:bodyDiv w:val="1"/>
      <w:marLeft w:val="0"/>
      <w:marRight w:val="0"/>
      <w:marTop w:val="0"/>
      <w:marBottom w:val="0"/>
      <w:divBdr>
        <w:top w:val="none" w:sz="0" w:space="0" w:color="auto"/>
        <w:left w:val="none" w:sz="0" w:space="0" w:color="auto"/>
        <w:bottom w:val="none" w:sz="0" w:space="0" w:color="auto"/>
        <w:right w:val="none" w:sz="0" w:space="0" w:color="auto"/>
      </w:divBdr>
    </w:div>
    <w:div w:id="578832762">
      <w:bodyDiv w:val="1"/>
      <w:marLeft w:val="0"/>
      <w:marRight w:val="0"/>
      <w:marTop w:val="0"/>
      <w:marBottom w:val="0"/>
      <w:divBdr>
        <w:top w:val="none" w:sz="0" w:space="0" w:color="auto"/>
        <w:left w:val="none" w:sz="0" w:space="0" w:color="auto"/>
        <w:bottom w:val="none" w:sz="0" w:space="0" w:color="auto"/>
        <w:right w:val="none" w:sz="0" w:space="0" w:color="auto"/>
      </w:divBdr>
    </w:div>
    <w:div w:id="592010267">
      <w:bodyDiv w:val="1"/>
      <w:marLeft w:val="0"/>
      <w:marRight w:val="0"/>
      <w:marTop w:val="0"/>
      <w:marBottom w:val="0"/>
      <w:divBdr>
        <w:top w:val="none" w:sz="0" w:space="0" w:color="auto"/>
        <w:left w:val="none" w:sz="0" w:space="0" w:color="auto"/>
        <w:bottom w:val="none" w:sz="0" w:space="0" w:color="auto"/>
        <w:right w:val="none" w:sz="0" w:space="0" w:color="auto"/>
      </w:divBdr>
    </w:div>
    <w:div w:id="595596242">
      <w:bodyDiv w:val="1"/>
      <w:marLeft w:val="0"/>
      <w:marRight w:val="0"/>
      <w:marTop w:val="0"/>
      <w:marBottom w:val="0"/>
      <w:divBdr>
        <w:top w:val="none" w:sz="0" w:space="0" w:color="auto"/>
        <w:left w:val="none" w:sz="0" w:space="0" w:color="auto"/>
        <w:bottom w:val="none" w:sz="0" w:space="0" w:color="auto"/>
        <w:right w:val="none" w:sz="0" w:space="0" w:color="auto"/>
      </w:divBdr>
    </w:div>
    <w:div w:id="618880514">
      <w:bodyDiv w:val="1"/>
      <w:marLeft w:val="0"/>
      <w:marRight w:val="0"/>
      <w:marTop w:val="0"/>
      <w:marBottom w:val="0"/>
      <w:divBdr>
        <w:top w:val="none" w:sz="0" w:space="0" w:color="auto"/>
        <w:left w:val="none" w:sz="0" w:space="0" w:color="auto"/>
        <w:bottom w:val="none" w:sz="0" w:space="0" w:color="auto"/>
        <w:right w:val="none" w:sz="0" w:space="0" w:color="auto"/>
      </w:divBdr>
    </w:div>
    <w:div w:id="693189484">
      <w:bodyDiv w:val="1"/>
      <w:marLeft w:val="0"/>
      <w:marRight w:val="0"/>
      <w:marTop w:val="0"/>
      <w:marBottom w:val="0"/>
      <w:divBdr>
        <w:top w:val="none" w:sz="0" w:space="0" w:color="auto"/>
        <w:left w:val="none" w:sz="0" w:space="0" w:color="auto"/>
        <w:bottom w:val="none" w:sz="0" w:space="0" w:color="auto"/>
        <w:right w:val="none" w:sz="0" w:space="0" w:color="auto"/>
      </w:divBdr>
    </w:div>
    <w:div w:id="710150089">
      <w:bodyDiv w:val="1"/>
      <w:marLeft w:val="0"/>
      <w:marRight w:val="0"/>
      <w:marTop w:val="0"/>
      <w:marBottom w:val="0"/>
      <w:divBdr>
        <w:top w:val="none" w:sz="0" w:space="0" w:color="auto"/>
        <w:left w:val="none" w:sz="0" w:space="0" w:color="auto"/>
        <w:bottom w:val="none" w:sz="0" w:space="0" w:color="auto"/>
        <w:right w:val="none" w:sz="0" w:space="0" w:color="auto"/>
      </w:divBdr>
      <w:divsChild>
        <w:div w:id="1297830400">
          <w:marLeft w:val="0"/>
          <w:marRight w:val="0"/>
          <w:marTop w:val="0"/>
          <w:marBottom w:val="0"/>
          <w:divBdr>
            <w:top w:val="none" w:sz="0" w:space="0" w:color="auto"/>
            <w:left w:val="none" w:sz="0" w:space="0" w:color="auto"/>
            <w:bottom w:val="none" w:sz="0" w:space="0" w:color="auto"/>
            <w:right w:val="none" w:sz="0" w:space="0" w:color="auto"/>
          </w:divBdr>
          <w:divsChild>
            <w:div w:id="939340208">
              <w:marLeft w:val="0"/>
              <w:marRight w:val="0"/>
              <w:marTop w:val="0"/>
              <w:marBottom w:val="0"/>
              <w:divBdr>
                <w:top w:val="none" w:sz="0" w:space="0" w:color="auto"/>
                <w:left w:val="none" w:sz="0" w:space="0" w:color="auto"/>
                <w:bottom w:val="none" w:sz="0" w:space="0" w:color="auto"/>
                <w:right w:val="none" w:sz="0" w:space="0" w:color="auto"/>
              </w:divBdr>
            </w:div>
          </w:divsChild>
        </w:div>
        <w:div w:id="304433400">
          <w:marLeft w:val="0"/>
          <w:marRight w:val="0"/>
          <w:marTop w:val="100"/>
          <w:marBottom w:val="0"/>
          <w:divBdr>
            <w:top w:val="none" w:sz="0" w:space="0" w:color="auto"/>
            <w:left w:val="none" w:sz="0" w:space="0" w:color="auto"/>
            <w:bottom w:val="none" w:sz="0" w:space="0" w:color="auto"/>
            <w:right w:val="none" w:sz="0" w:space="0" w:color="auto"/>
          </w:divBdr>
          <w:divsChild>
            <w:div w:id="1615559098">
              <w:marLeft w:val="0"/>
              <w:marRight w:val="0"/>
              <w:marTop w:val="0"/>
              <w:marBottom w:val="0"/>
              <w:divBdr>
                <w:top w:val="none" w:sz="0" w:space="0" w:color="auto"/>
                <w:left w:val="none" w:sz="0" w:space="0" w:color="auto"/>
                <w:bottom w:val="none" w:sz="0" w:space="0" w:color="auto"/>
                <w:right w:val="none" w:sz="0" w:space="0" w:color="auto"/>
              </w:divBdr>
              <w:divsChild>
                <w:div w:id="243538408">
                  <w:marLeft w:val="0"/>
                  <w:marRight w:val="0"/>
                  <w:marTop w:val="0"/>
                  <w:marBottom w:val="0"/>
                  <w:divBdr>
                    <w:top w:val="none" w:sz="0" w:space="0" w:color="auto"/>
                    <w:left w:val="none" w:sz="0" w:space="0" w:color="auto"/>
                    <w:bottom w:val="none" w:sz="0" w:space="0" w:color="auto"/>
                    <w:right w:val="none" w:sz="0" w:space="0" w:color="auto"/>
                  </w:divBdr>
                  <w:divsChild>
                    <w:div w:id="252395198">
                      <w:marLeft w:val="0"/>
                      <w:marRight w:val="0"/>
                      <w:marTop w:val="0"/>
                      <w:marBottom w:val="0"/>
                      <w:divBdr>
                        <w:top w:val="none" w:sz="0" w:space="0" w:color="auto"/>
                        <w:left w:val="none" w:sz="0" w:space="0" w:color="auto"/>
                        <w:bottom w:val="none" w:sz="0" w:space="0" w:color="auto"/>
                        <w:right w:val="none" w:sz="0" w:space="0" w:color="auto"/>
                      </w:divBdr>
                      <w:divsChild>
                        <w:div w:id="15411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43253">
          <w:marLeft w:val="0"/>
          <w:marRight w:val="0"/>
          <w:marTop w:val="0"/>
          <w:marBottom w:val="0"/>
          <w:divBdr>
            <w:top w:val="none" w:sz="0" w:space="0" w:color="auto"/>
            <w:left w:val="none" w:sz="0" w:space="0" w:color="auto"/>
            <w:bottom w:val="none" w:sz="0" w:space="0" w:color="auto"/>
            <w:right w:val="none" w:sz="0" w:space="0" w:color="auto"/>
          </w:divBdr>
          <w:divsChild>
            <w:div w:id="2034570692">
              <w:marLeft w:val="0"/>
              <w:marRight w:val="0"/>
              <w:marTop w:val="0"/>
              <w:marBottom w:val="0"/>
              <w:divBdr>
                <w:top w:val="none" w:sz="0" w:space="0" w:color="auto"/>
                <w:left w:val="none" w:sz="0" w:space="0" w:color="auto"/>
                <w:bottom w:val="none" w:sz="0" w:space="0" w:color="auto"/>
                <w:right w:val="none" w:sz="0" w:space="0" w:color="auto"/>
              </w:divBdr>
              <w:divsChild>
                <w:div w:id="169634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7883">
      <w:bodyDiv w:val="1"/>
      <w:marLeft w:val="0"/>
      <w:marRight w:val="0"/>
      <w:marTop w:val="0"/>
      <w:marBottom w:val="0"/>
      <w:divBdr>
        <w:top w:val="none" w:sz="0" w:space="0" w:color="auto"/>
        <w:left w:val="none" w:sz="0" w:space="0" w:color="auto"/>
        <w:bottom w:val="none" w:sz="0" w:space="0" w:color="auto"/>
        <w:right w:val="none" w:sz="0" w:space="0" w:color="auto"/>
      </w:divBdr>
    </w:div>
    <w:div w:id="738164684">
      <w:bodyDiv w:val="1"/>
      <w:marLeft w:val="0"/>
      <w:marRight w:val="0"/>
      <w:marTop w:val="0"/>
      <w:marBottom w:val="0"/>
      <w:divBdr>
        <w:top w:val="none" w:sz="0" w:space="0" w:color="auto"/>
        <w:left w:val="none" w:sz="0" w:space="0" w:color="auto"/>
        <w:bottom w:val="none" w:sz="0" w:space="0" w:color="auto"/>
        <w:right w:val="none" w:sz="0" w:space="0" w:color="auto"/>
      </w:divBdr>
    </w:div>
    <w:div w:id="762726704">
      <w:bodyDiv w:val="1"/>
      <w:marLeft w:val="0"/>
      <w:marRight w:val="0"/>
      <w:marTop w:val="0"/>
      <w:marBottom w:val="0"/>
      <w:divBdr>
        <w:top w:val="none" w:sz="0" w:space="0" w:color="auto"/>
        <w:left w:val="none" w:sz="0" w:space="0" w:color="auto"/>
        <w:bottom w:val="none" w:sz="0" w:space="0" w:color="auto"/>
        <w:right w:val="none" w:sz="0" w:space="0" w:color="auto"/>
      </w:divBdr>
    </w:div>
    <w:div w:id="762803257">
      <w:bodyDiv w:val="1"/>
      <w:marLeft w:val="0"/>
      <w:marRight w:val="0"/>
      <w:marTop w:val="0"/>
      <w:marBottom w:val="0"/>
      <w:divBdr>
        <w:top w:val="none" w:sz="0" w:space="0" w:color="auto"/>
        <w:left w:val="none" w:sz="0" w:space="0" w:color="auto"/>
        <w:bottom w:val="none" w:sz="0" w:space="0" w:color="auto"/>
        <w:right w:val="none" w:sz="0" w:space="0" w:color="auto"/>
      </w:divBdr>
    </w:div>
    <w:div w:id="787087610">
      <w:bodyDiv w:val="1"/>
      <w:marLeft w:val="0"/>
      <w:marRight w:val="0"/>
      <w:marTop w:val="0"/>
      <w:marBottom w:val="0"/>
      <w:divBdr>
        <w:top w:val="none" w:sz="0" w:space="0" w:color="auto"/>
        <w:left w:val="none" w:sz="0" w:space="0" w:color="auto"/>
        <w:bottom w:val="none" w:sz="0" w:space="0" w:color="auto"/>
        <w:right w:val="none" w:sz="0" w:space="0" w:color="auto"/>
      </w:divBdr>
    </w:div>
    <w:div w:id="862287511">
      <w:bodyDiv w:val="1"/>
      <w:marLeft w:val="0"/>
      <w:marRight w:val="0"/>
      <w:marTop w:val="0"/>
      <w:marBottom w:val="0"/>
      <w:divBdr>
        <w:top w:val="none" w:sz="0" w:space="0" w:color="auto"/>
        <w:left w:val="none" w:sz="0" w:space="0" w:color="auto"/>
        <w:bottom w:val="none" w:sz="0" w:space="0" w:color="auto"/>
        <w:right w:val="none" w:sz="0" w:space="0" w:color="auto"/>
      </w:divBdr>
    </w:div>
    <w:div w:id="944964938">
      <w:bodyDiv w:val="1"/>
      <w:marLeft w:val="0"/>
      <w:marRight w:val="0"/>
      <w:marTop w:val="0"/>
      <w:marBottom w:val="0"/>
      <w:divBdr>
        <w:top w:val="none" w:sz="0" w:space="0" w:color="auto"/>
        <w:left w:val="none" w:sz="0" w:space="0" w:color="auto"/>
        <w:bottom w:val="none" w:sz="0" w:space="0" w:color="auto"/>
        <w:right w:val="none" w:sz="0" w:space="0" w:color="auto"/>
      </w:divBdr>
      <w:divsChild>
        <w:div w:id="2019310193">
          <w:marLeft w:val="0"/>
          <w:marRight w:val="0"/>
          <w:marTop w:val="0"/>
          <w:marBottom w:val="0"/>
          <w:divBdr>
            <w:top w:val="none" w:sz="0" w:space="0" w:color="auto"/>
            <w:left w:val="none" w:sz="0" w:space="0" w:color="auto"/>
            <w:bottom w:val="none" w:sz="0" w:space="0" w:color="auto"/>
            <w:right w:val="none" w:sz="0" w:space="0" w:color="auto"/>
          </w:divBdr>
        </w:div>
      </w:divsChild>
    </w:div>
    <w:div w:id="973873341">
      <w:bodyDiv w:val="1"/>
      <w:marLeft w:val="0"/>
      <w:marRight w:val="0"/>
      <w:marTop w:val="0"/>
      <w:marBottom w:val="0"/>
      <w:divBdr>
        <w:top w:val="none" w:sz="0" w:space="0" w:color="auto"/>
        <w:left w:val="none" w:sz="0" w:space="0" w:color="auto"/>
        <w:bottom w:val="none" w:sz="0" w:space="0" w:color="auto"/>
        <w:right w:val="none" w:sz="0" w:space="0" w:color="auto"/>
      </w:divBdr>
    </w:div>
    <w:div w:id="1048920775">
      <w:bodyDiv w:val="1"/>
      <w:marLeft w:val="0"/>
      <w:marRight w:val="0"/>
      <w:marTop w:val="0"/>
      <w:marBottom w:val="0"/>
      <w:divBdr>
        <w:top w:val="none" w:sz="0" w:space="0" w:color="auto"/>
        <w:left w:val="none" w:sz="0" w:space="0" w:color="auto"/>
        <w:bottom w:val="none" w:sz="0" w:space="0" w:color="auto"/>
        <w:right w:val="none" w:sz="0" w:space="0" w:color="auto"/>
      </w:divBdr>
    </w:div>
    <w:div w:id="1120876193">
      <w:bodyDiv w:val="1"/>
      <w:marLeft w:val="0"/>
      <w:marRight w:val="0"/>
      <w:marTop w:val="0"/>
      <w:marBottom w:val="0"/>
      <w:divBdr>
        <w:top w:val="none" w:sz="0" w:space="0" w:color="auto"/>
        <w:left w:val="none" w:sz="0" w:space="0" w:color="auto"/>
        <w:bottom w:val="none" w:sz="0" w:space="0" w:color="auto"/>
        <w:right w:val="none" w:sz="0" w:space="0" w:color="auto"/>
      </w:divBdr>
    </w:div>
    <w:div w:id="1124421158">
      <w:bodyDiv w:val="1"/>
      <w:marLeft w:val="0"/>
      <w:marRight w:val="0"/>
      <w:marTop w:val="0"/>
      <w:marBottom w:val="0"/>
      <w:divBdr>
        <w:top w:val="none" w:sz="0" w:space="0" w:color="auto"/>
        <w:left w:val="none" w:sz="0" w:space="0" w:color="auto"/>
        <w:bottom w:val="none" w:sz="0" w:space="0" w:color="auto"/>
        <w:right w:val="none" w:sz="0" w:space="0" w:color="auto"/>
      </w:divBdr>
      <w:divsChild>
        <w:div w:id="1825852520">
          <w:marLeft w:val="0"/>
          <w:marRight w:val="0"/>
          <w:marTop w:val="0"/>
          <w:marBottom w:val="0"/>
          <w:divBdr>
            <w:top w:val="none" w:sz="0" w:space="0" w:color="auto"/>
            <w:left w:val="none" w:sz="0" w:space="0" w:color="auto"/>
            <w:bottom w:val="none" w:sz="0" w:space="0" w:color="auto"/>
            <w:right w:val="none" w:sz="0" w:space="0" w:color="auto"/>
          </w:divBdr>
          <w:divsChild>
            <w:div w:id="1818913365">
              <w:marLeft w:val="0"/>
              <w:marRight w:val="0"/>
              <w:marTop w:val="0"/>
              <w:marBottom w:val="150"/>
              <w:divBdr>
                <w:top w:val="none" w:sz="0" w:space="0" w:color="auto"/>
                <w:left w:val="none" w:sz="0" w:space="0" w:color="auto"/>
                <w:bottom w:val="none" w:sz="0" w:space="0" w:color="auto"/>
                <w:right w:val="none" w:sz="0" w:space="0" w:color="auto"/>
              </w:divBdr>
            </w:div>
            <w:div w:id="2076122810">
              <w:marLeft w:val="0"/>
              <w:marRight w:val="0"/>
              <w:marTop w:val="0"/>
              <w:marBottom w:val="0"/>
              <w:divBdr>
                <w:top w:val="none" w:sz="0" w:space="0" w:color="auto"/>
                <w:left w:val="none" w:sz="0" w:space="0" w:color="auto"/>
                <w:bottom w:val="none" w:sz="0" w:space="0" w:color="auto"/>
                <w:right w:val="none" w:sz="0" w:space="0" w:color="auto"/>
              </w:divBdr>
              <w:divsChild>
                <w:div w:id="2008946372">
                  <w:marLeft w:val="0"/>
                  <w:marRight w:val="0"/>
                  <w:marTop w:val="0"/>
                  <w:marBottom w:val="105"/>
                  <w:divBdr>
                    <w:top w:val="none" w:sz="0" w:space="0" w:color="auto"/>
                    <w:left w:val="none" w:sz="0" w:space="0" w:color="auto"/>
                    <w:bottom w:val="none" w:sz="0" w:space="0" w:color="auto"/>
                    <w:right w:val="none" w:sz="0" w:space="0" w:color="auto"/>
                  </w:divBdr>
                </w:div>
              </w:divsChild>
            </w:div>
            <w:div w:id="17339611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55414449">
      <w:bodyDiv w:val="1"/>
      <w:marLeft w:val="0"/>
      <w:marRight w:val="0"/>
      <w:marTop w:val="0"/>
      <w:marBottom w:val="0"/>
      <w:divBdr>
        <w:top w:val="none" w:sz="0" w:space="0" w:color="auto"/>
        <w:left w:val="none" w:sz="0" w:space="0" w:color="auto"/>
        <w:bottom w:val="none" w:sz="0" w:space="0" w:color="auto"/>
        <w:right w:val="none" w:sz="0" w:space="0" w:color="auto"/>
      </w:divBdr>
    </w:div>
    <w:div w:id="1165514559">
      <w:bodyDiv w:val="1"/>
      <w:marLeft w:val="0"/>
      <w:marRight w:val="0"/>
      <w:marTop w:val="0"/>
      <w:marBottom w:val="0"/>
      <w:divBdr>
        <w:top w:val="none" w:sz="0" w:space="0" w:color="auto"/>
        <w:left w:val="none" w:sz="0" w:space="0" w:color="auto"/>
        <w:bottom w:val="none" w:sz="0" w:space="0" w:color="auto"/>
        <w:right w:val="none" w:sz="0" w:space="0" w:color="auto"/>
      </w:divBdr>
    </w:div>
    <w:div w:id="1292173423">
      <w:bodyDiv w:val="1"/>
      <w:marLeft w:val="0"/>
      <w:marRight w:val="0"/>
      <w:marTop w:val="0"/>
      <w:marBottom w:val="0"/>
      <w:divBdr>
        <w:top w:val="none" w:sz="0" w:space="0" w:color="auto"/>
        <w:left w:val="none" w:sz="0" w:space="0" w:color="auto"/>
        <w:bottom w:val="none" w:sz="0" w:space="0" w:color="auto"/>
        <w:right w:val="none" w:sz="0" w:space="0" w:color="auto"/>
      </w:divBdr>
    </w:div>
    <w:div w:id="1358627017">
      <w:bodyDiv w:val="1"/>
      <w:marLeft w:val="0"/>
      <w:marRight w:val="0"/>
      <w:marTop w:val="0"/>
      <w:marBottom w:val="0"/>
      <w:divBdr>
        <w:top w:val="none" w:sz="0" w:space="0" w:color="auto"/>
        <w:left w:val="none" w:sz="0" w:space="0" w:color="auto"/>
        <w:bottom w:val="none" w:sz="0" w:space="0" w:color="auto"/>
        <w:right w:val="none" w:sz="0" w:space="0" w:color="auto"/>
      </w:divBdr>
    </w:div>
    <w:div w:id="1391995411">
      <w:bodyDiv w:val="1"/>
      <w:marLeft w:val="0"/>
      <w:marRight w:val="0"/>
      <w:marTop w:val="0"/>
      <w:marBottom w:val="0"/>
      <w:divBdr>
        <w:top w:val="none" w:sz="0" w:space="0" w:color="auto"/>
        <w:left w:val="none" w:sz="0" w:space="0" w:color="auto"/>
        <w:bottom w:val="none" w:sz="0" w:space="0" w:color="auto"/>
        <w:right w:val="none" w:sz="0" w:space="0" w:color="auto"/>
      </w:divBdr>
    </w:div>
    <w:div w:id="1453400363">
      <w:bodyDiv w:val="1"/>
      <w:marLeft w:val="0"/>
      <w:marRight w:val="0"/>
      <w:marTop w:val="0"/>
      <w:marBottom w:val="0"/>
      <w:divBdr>
        <w:top w:val="none" w:sz="0" w:space="0" w:color="auto"/>
        <w:left w:val="none" w:sz="0" w:space="0" w:color="auto"/>
        <w:bottom w:val="none" w:sz="0" w:space="0" w:color="auto"/>
        <w:right w:val="none" w:sz="0" w:space="0" w:color="auto"/>
      </w:divBdr>
    </w:div>
    <w:div w:id="1454403325">
      <w:bodyDiv w:val="1"/>
      <w:marLeft w:val="0"/>
      <w:marRight w:val="0"/>
      <w:marTop w:val="0"/>
      <w:marBottom w:val="0"/>
      <w:divBdr>
        <w:top w:val="none" w:sz="0" w:space="0" w:color="auto"/>
        <w:left w:val="none" w:sz="0" w:space="0" w:color="auto"/>
        <w:bottom w:val="none" w:sz="0" w:space="0" w:color="auto"/>
        <w:right w:val="none" w:sz="0" w:space="0" w:color="auto"/>
      </w:divBdr>
    </w:div>
    <w:div w:id="1455709103">
      <w:bodyDiv w:val="1"/>
      <w:marLeft w:val="0"/>
      <w:marRight w:val="0"/>
      <w:marTop w:val="0"/>
      <w:marBottom w:val="0"/>
      <w:divBdr>
        <w:top w:val="none" w:sz="0" w:space="0" w:color="auto"/>
        <w:left w:val="none" w:sz="0" w:space="0" w:color="auto"/>
        <w:bottom w:val="none" w:sz="0" w:space="0" w:color="auto"/>
        <w:right w:val="none" w:sz="0" w:space="0" w:color="auto"/>
      </w:divBdr>
    </w:div>
    <w:div w:id="1562516856">
      <w:bodyDiv w:val="1"/>
      <w:marLeft w:val="0"/>
      <w:marRight w:val="0"/>
      <w:marTop w:val="0"/>
      <w:marBottom w:val="0"/>
      <w:divBdr>
        <w:top w:val="none" w:sz="0" w:space="0" w:color="auto"/>
        <w:left w:val="none" w:sz="0" w:space="0" w:color="auto"/>
        <w:bottom w:val="none" w:sz="0" w:space="0" w:color="auto"/>
        <w:right w:val="none" w:sz="0" w:space="0" w:color="auto"/>
      </w:divBdr>
      <w:divsChild>
        <w:div w:id="388572003">
          <w:marLeft w:val="0"/>
          <w:marRight w:val="0"/>
          <w:marTop w:val="0"/>
          <w:marBottom w:val="0"/>
          <w:divBdr>
            <w:top w:val="none" w:sz="0" w:space="0" w:color="auto"/>
            <w:left w:val="none" w:sz="0" w:space="0" w:color="auto"/>
            <w:bottom w:val="none" w:sz="0" w:space="0" w:color="auto"/>
            <w:right w:val="none" w:sz="0" w:space="0" w:color="auto"/>
          </w:divBdr>
        </w:div>
      </w:divsChild>
    </w:div>
    <w:div w:id="1594050287">
      <w:bodyDiv w:val="1"/>
      <w:marLeft w:val="0"/>
      <w:marRight w:val="0"/>
      <w:marTop w:val="0"/>
      <w:marBottom w:val="0"/>
      <w:divBdr>
        <w:top w:val="none" w:sz="0" w:space="0" w:color="auto"/>
        <w:left w:val="none" w:sz="0" w:space="0" w:color="auto"/>
        <w:bottom w:val="none" w:sz="0" w:space="0" w:color="auto"/>
        <w:right w:val="none" w:sz="0" w:space="0" w:color="auto"/>
      </w:divBdr>
    </w:div>
    <w:div w:id="1609462991">
      <w:bodyDiv w:val="1"/>
      <w:marLeft w:val="0"/>
      <w:marRight w:val="0"/>
      <w:marTop w:val="0"/>
      <w:marBottom w:val="0"/>
      <w:divBdr>
        <w:top w:val="none" w:sz="0" w:space="0" w:color="auto"/>
        <w:left w:val="none" w:sz="0" w:space="0" w:color="auto"/>
        <w:bottom w:val="none" w:sz="0" w:space="0" w:color="auto"/>
        <w:right w:val="none" w:sz="0" w:space="0" w:color="auto"/>
      </w:divBdr>
    </w:div>
    <w:div w:id="1610894660">
      <w:bodyDiv w:val="1"/>
      <w:marLeft w:val="0"/>
      <w:marRight w:val="0"/>
      <w:marTop w:val="0"/>
      <w:marBottom w:val="0"/>
      <w:divBdr>
        <w:top w:val="none" w:sz="0" w:space="0" w:color="auto"/>
        <w:left w:val="none" w:sz="0" w:space="0" w:color="auto"/>
        <w:bottom w:val="none" w:sz="0" w:space="0" w:color="auto"/>
        <w:right w:val="none" w:sz="0" w:space="0" w:color="auto"/>
      </w:divBdr>
    </w:div>
    <w:div w:id="1643971995">
      <w:bodyDiv w:val="1"/>
      <w:marLeft w:val="0"/>
      <w:marRight w:val="0"/>
      <w:marTop w:val="0"/>
      <w:marBottom w:val="0"/>
      <w:divBdr>
        <w:top w:val="none" w:sz="0" w:space="0" w:color="auto"/>
        <w:left w:val="none" w:sz="0" w:space="0" w:color="auto"/>
        <w:bottom w:val="none" w:sz="0" w:space="0" w:color="auto"/>
        <w:right w:val="none" w:sz="0" w:space="0" w:color="auto"/>
      </w:divBdr>
    </w:div>
    <w:div w:id="1656566586">
      <w:bodyDiv w:val="1"/>
      <w:marLeft w:val="0"/>
      <w:marRight w:val="0"/>
      <w:marTop w:val="0"/>
      <w:marBottom w:val="0"/>
      <w:divBdr>
        <w:top w:val="none" w:sz="0" w:space="0" w:color="auto"/>
        <w:left w:val="none" w:sz="0" w:space="0" w:color="auto"/>
        <w:bottom w:val="none" w:sz="0" w:space="0" w:color="auto"/>
        <w:right w:val="none" w:sz="0" w:space="0" w:color="auto"/>
      </w:divBdr>
    </w:div>
    <w:div w:id="1719861853">
      <w:bodyDiv w:val="1"/>
      <w:marLeft w:val="0"/>
      <w:marRight w:val="0"/>
      <w:marTop w:val="0"/>
      <w:marBottom w:val="0"/>
      <w:divBdr>
        <w:top w:val="none" w:sz="0" w:space="0" w:color="auto"/>
        <w:left w:val="none" w:sz="0" w:space="0" w:color="auto"/>
        <w:bottom w:val="none" w:sz="0" w:space="0" w:color="auto"/>
        <w:right w:val="none" w:sz="0" w:space="0" w:color="auto"/>
      </w:divBdr>
    </w:div>
    <w:div w:id="1771897719">
      <w:bodyDiv w:val="1"/>
      <w:marLeft w:val="0"/>
      <w:marRight w:val="0"/>
      <w:marTop w:val="0"/>
      <w:marBottom w:val="0"/>
      <w:divBdr>
        <w:top w:val="none" w:sz="0" w:space="0" w:color="auto"/>
        <w:left w:val="none" w:sz="0" w:space="0" w:color="auto"/>
        <w:bottom w:val="none" w:sz="0" w:space="0" w:color="auto"/>
        <w:right w:val="none" w:sz="0" w:space="0" w:color="auto"/>
      </w:divBdr>
    </w:div>
    <w:div w:id="1830251457">
      <w:bodyDiv w:val="1"/>
      <w:marLeft w:val="0"/>
      <w:marRight w:val="0"/>
      <w:marTop w:val="0"/>
      <w:marBottom w:val="0"/>
      <w:divBdr>
        <w:top w:val="none" w:sz="0" w:space="0" w:color="auto"/>
        <w:left w:val="none" w:sz="0" w:space="0" w:color="auto"/>
        <w:bottom w:val="none" w:sz="0" w:space="0" w:color="auto"/>
        <w:right w:val="none" w:sz="0" w:space="0" w:color="auto"/>
      </w:divBdr>
    </w:div>
    <w:div w:id="1842773560">
      <w:bodyDiv w:val="1"/>
      <w:marLeft w:val="0"/>
      <w:marRight w:val="0"/>
      <w:marTop w:val="0"/>
      <w:marBottom w:val="0"/>
      <w:divBdr>
        <w:top w:val="none" w:sz="0" w:space="0" w:color="auto"/>
        <w:left w:val="none" w:sz="0" w:space="0" w:color="auto"/>
        <w:bottom w:val="none" w:sz="0" w:space="0" w:color="auto"/>
        <w:right w:val="none" w:sz="0" w:space="0" w:color="auto"/>
      </w:divBdr>
      <w:divsChild>
        <w:div w:id="1971016169">
          <w:marLeft w:val="0"/>
          <w:marRight w:val="0"/>
          <w:marTop w:val="0"/>
          <w:marBottom w:val="0"/>
          <w:divBdr>
            <w:top w:val="none" w:sz="0" w:space="0" w:color="auto"/>
            <w:left w:val="none" w:sz="0" w:space="0" w:color="auto"/>
            <w:bottom w:val="none" w:sz="0" w:space="0" w:color="auto"/>
            <w:right w:val="none" w:sz="0" w:space="0" w:color="auto"/>
          </w:divBdr>
          <w:divsChild>
            <w:div w:id="960768843">
              <w:marLeft w:val="0"/>
              <w:marRight w:val="0"/>
              <w:marTop w:val="0"/>
              <w:marBottom w:val="0"/>
              <w:divBdr>
                <w:top w:val="none" w:sz="0" w:space="0" w:color="auto"/>
                <w:left w:val="none" w:sz="0" w:space="0" w:color="auto"/>
                <w:bottom w:val="none" w:sz="0" w:space="0" w:color="auto"/>
                <w:right w:val="none" w:sz="0" w:space="0" w:color="auto"/>
              </w:divBdr>
              <w:divsChild>
                <w:div w:id="421949382">
                  <w:marLeft w:val="0"/>
                  <w:marRight w:val="0"/>
                  <w:marTop w:val="0"/>
                  <w:marBottom w:val="0"/>
                  <w:divBdr>
                    <w:top w:val="none" w:sz="0" w:space="0" w:color="auto"/>
                    <w:left w:val="none" w:sz="0" w:space="0" w:color="auto"/>
                    <w:bottom w:val="none" w:sz="0" w:space="0" w:color="auto"/>
                    <w:right w:val="none" w:sz="0" w:space="0" w:color="auto"/>
                  </w:divBdr>
                  <w:divsChild>
                    <w:div w:id="2030718472">
                      <w:marLeft w:val="0"/>
                      <w:marRight w:val="0"/>
                      <w:marTop w:val="0"/>
                      <w:marBottom w:val="0"/>
                      <w:divBdr>
                        <w:top w:val="none" w:sz="0" w:space="0" w:color="auto"/>
                        <w:left w:val="none" w:sz="0" w:space="0" w:color="auto"/>
                        <w:bottom w:val="none" w:sz="0" w:space="0" w:color="auto"/>
                        <w:right w:val="none" w:sz="0" w:space="0" w:color="auto"/>
                      </w:divBdr>
                      <w:divsChild>
                        <w:div w:id="59008770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872912578">
      <w:bodyDiv w:val="1"/>
      <w:marLeft w:val="0"/>
      <w:marRight w:val="0"/>
      <w:marTop w:val="0"/>
      <w:marBottom w:val="0"/>
      <w:divBdr>
        <w:top w:val="none" w:sz="0" w:space="0" w:color="auto"/>
        <w:left w:val="none" w:sz="0" w:space="0" w:color="auto"/>
        <w:bottom w:val="none" w:sz="0" w:space="0" w:color="auto"/>
        <w:right w:val="none" w:sz="0" w:space="0" w:color="auto"/>
      </w:divBdr>
    </w:div>
    <w:div w:id="1884323174">
      <w:bodyDiv w:val="1"/>
      <w:marLeft w:val="0"/>
      <w:marRight w:val="0"/>
      <w:marTop w:val="0"/>
      <w:marBottom w:val="0"/>
      <w:divBdr>
        <w:top w:val="none" w:sz="0" w:space="0" w:color="auto"/>
        <w:left w:val="none" w:sz="0" w:space="0" w:color="auto"/>
        <w:bottom w:val="none" w:sz="0" w:space="0" w:color="auto"/>
        <w:right w:val="none" w:sz="0" w:space="0" w:color="auto"/>
      </w:divBdr>
    </w:div>
    <w:div w:id="1997028138">
      <w:bodyDiv w:val="1"/>
      <w:marLeft w:val="0"/>
      <w:marRight w:val="0"/>
      <w:marTop w:val="0"/>
      <w:marBottom w:val="0"/>
      <w:divBdr>
        <w:top w:val="none" w:sz="0" w:space="0" w:color="auto"/>
        <w:left w:val="none" w:sz="0" w:space="0" w:color="auto"/>
        <w:bottom w:val="none" w:sz="0" w:space="0" w:color="auto"/>
        <w:right w:val="none" w:sz="0" w:space="0" w:color="auto"/>
      </w:divBdr>
    </w:div>
    <w:div w:id="2029023033">
      <w:bodyDiv w:val="1"/>
      <w:marLeft w:val="0"/>
      <w:marRight w:val="0"/>
      <w:marTop w:val="0"/>
      <w:marBottom w:val="0"/>
      <w:divBdr>
        <w:top w:val="none" w:sz="0" w:space="0" w:color="auto"/>
        <w:left w:val="none" w:sz="0" w:space="0" w:color="auto"/>
        <w:bottom w:val="none" w:sz="0" w:space="0" w:color="auto"/>
        <w:right w:val="none" w:sz="0" w:space="0" w:color="auto"/>
      </w:divBdr>
      <w:divsChild>
        <w:div w:id="537090405">
          <w:marLeft w:val="0"/>
          <w:marRight w:val="0"/>
          <w:marTop w:val="60"/>
          <w:marBottom w:val="0"/>
          <w:divBdr>
            <w:top w:val="none" w:sz="0" w:space="0" w:color="auto"/>
            <w:left w:val="none" w:sz="0" w:space="0" w:color="auto"/>
            <w:bottom w:val="none" w:sz="0" w:space="0" w:color="auto"/>
            <w:right w:val="none" w:sz="0" w:space="0" w:color="auto"/>
          </w:divBdr>
        </w:div>
      </w:divsChild>
    </w:div>
    <w:div w:id="2036345653">
      <w:bodyDiv w:val="1"/>
      <w:marLeft w:val="0"/>
      <w:marRight w:val="0"/>
      <w:marTop w:val="0"/>
      <w:marBottom w:val="0"/>
      <w:divBdr>
        <w:top w:val="none" w:sz="0" w:space="0" w:color="auto"/>
        <w:left w:val="none" w:sz="0" w:space="0" w:color="auto"/>
        <w:bottom w:val="none" w:sz="0" w:space="0" w:color="auto"/>
        <w:right w:val="none" w:sz="0" w:space="0" w:color="auto"/>
      </w:divBdr>
    </w:div>
    <w:div w:id="2095280515">
      <w:bodyDiv w:val="1"/>
      <w:marLeft w:val="0"/>
      <w:marRight w:val="0"/>
      <w:marTop w:val="0"/>
      <w:marBottom w:val="0"/>
      <w:divBdr>
        <w:top w:val="none" w:sz="0" w:space="0" w:color="auto"/>
        <w:left w:val="none" w:sz="0" w:space="0" w:color="auto"/>
        <w:bottom w:val="none" w:sz="0" w:space="0" w:color="auto"/>
        <w:right w:val="none" w:sz="0" w:space="0" w:color="auto"/>
      </w:divBdr>
    </w:div>
    <w:div w:id="2117292344">
      <w:bodyDiv w:val="1"/>
      <w:marLeft w:val="0"/>
      <w:marRight w:val="0"/>
      <w:marTop w:val="0"/>
      <w:marBottom w:val="0"/>
      <w:divBdr>
        <w:top w:val="none" w:sz="0" w:space="0" w:color="auto"/>
        <w:left w:val="none" w:sz="0" w:space="0" w:color="auto"/>
        <w:bottom w:val="none" w:sz="0" w:space="0" w:color="auto"/>
        <w:right w:val="none" w:sz="0" w:space="0" w:color="auto"/>
      </w:divBdr>
    </w:div>
    <w:div w:id="2121100982">
      <w:bodyDiv w:val="1"/>
      <w:marLeft w:val="0"/>
      <w:marRight w:val="0"/>
      <w:marTop w:val="0"/>
      <w:marBottom w:val="0"/>
      <w:divBdr>
        <w:top w:val="none" w:sz="0" w:space="0" w:color="auto"/>
        <w:left w:val="none" w:sz="0" w:space="0" w:color="auto"/>
        <w:bottom w:val="none" w:sz="0" w:space="0" w:color="auto"/>
        <w:right w:val="none" w:sz="0" w:space="0" w:color="auto"/>
      </w:divBdr>
    </w:div>
    <w:div w:id="2134009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5.tiff"/><Relationship Id="rId7" Type="http://schemas.openxmlformats.org/officeDocument/2006/relationships/endnotes" Target="endnotes.xml"/><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0.tif"/><Relationship Id="rId20" Type="http://schemas.openxmlformats.org/officeDocument/2006/relationships/image" Target="media/image14.tif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if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9.tif"/><Relationship Id="rId23" Type="http://schemas.openxmlformats.org/officeDocument/2006/relationships/image" Target="media/image17.tiff"/><Relationship Id="rId28" Type="http://schemas.openxmlformats.org/officeDocument/2006/relationships/header" Target="header3.xml"/><Relationship Id="rId10" Type="http://schemas.openxmlformats.org/officeDocument/2006/relationships/image" Target="media/image4.tiff"/><Relationship Id="rId19" Type="http://schemas.openxmlformats.org/officeDocument/2006/relationships/image" Target="media/image13.tif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footer" Target="footer2.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3CDE8-4775-429A-96BB-C339BF1BD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26</Pages>
  <Words>4782</Words>
  <Characters>27263</Characters>
  <Application>Microsoft Office Word</Application>
  <DocSecurity>0</DocSecurity>
  <Lines>227</Lines>
  <Paragraphs>63</Paragraphs>
  <ScaleCrop>false</ScaleCrop>
  <Company>Microsoft</Company>
  <LinksUpToDate>false</LinksUpToDate>
  <CharactersWithSpaces>31982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李 维航</cp:lastModifiedBy>
  <cp:revision>6</cp:revision>
  <cp:lastPrinted>2022-07-17T07:32:00Z</cp:lastPrinted>
  <dcterms:created xsi:type="dcterms:W3CDTF">2022-09-04T12:53:00Z</dcterms:created>
  <dcterms:modified xsi:type="dcterms:W3CDTF">2022-09-04T13:41:00Z</dcterms:modified>
</cp:coreProperties>
</file>