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uto"/>
        <w:rPr>
          <w:rFonts w:hint="default" w:ascii="Times New Roman" w:hAnsi="Times New Roman" w:eastAsia="宋体" w:cs="Times New Roman"/>
          <w:b/>
          <w:bCs/>
          <w:kern w:val="0"/>
          <w:sz w:val="24"/>
          <w:szCs w:val="24"/>
          <w:lang w:val="en-US" w:eastAsia="zh-CN"/>
        </w:rPr>
      </w:pPr>
      <w:r>
        <w:rPr>
          <w:rFonts w:hint="eastAsia" w:ascii="Times New Roman" w:hAnsi="Times New Roman" w:eastAsia="宋体" w:cs="Times New Roman"/>
          <w:b/>
          <w:bCs/>
          <w:kern w:val="0"/>
          <w:sz w:val="24"/>
          <w:szCs w:val="24"/>
          <w:lang w:val="en-US" w:eastAsia="zh-CN"/>
        </w:rPr>
        <w:t>Comparison of survival between two dialysis methods in &lt;2-years or &gt;2-years after dialysis initiation</w:t>
      </w:r>
    </w:p>
    <w:p>
      <w:pPr>
        <w:spacing w:after="120" w:line="360" w:lineRule="auto"/>
        <w:rPr>
          <w:rFonts w:hint="default" w:ascii="Times New Roman" w:hAnsi="Times New Roman" w:eastAsia="宋体" w:cs="Times New Roman"/>
          <w:kern w:val="0"/>
          <w:sz w:val="22"/>
          <w:lang w:val="en-US"/>
        </w:rPr>
      </w:pPr>
      <w:r>
        <w:rPr>
          <w:rFonts w:ascii="Times New Roman" w:hAnsi="Times New Roman" w:eastAsia="宋体" w:cs="Times New Roman"/>
          <w:kern w:val="0"/>
          <w:sz w:val="22"/>
        </w:rPr>
        <w:t>We found that within the first 1-2 years</w:t>
      </w:r>
      <w:r>
        <w:rPr>
          <w:rFonts w:hint="default" w:ascii="Times New Roman" w:hAnsi="Times New Roman" w:eastAsia="宋体" w:cs="Times New Roman"/>
          <w:kern w:val="0"/>
          <w:sz w:val="22"/>
          <w:lang w:val="en-US"/>
        </w:rPr>
        <w:t xml:space="preserve"> after dialysis </w:t>
      </w:r>
      <w:r>
        <w:rPr>
          <w:rFonts w:ascii="Times New Roman" w:hAnsi="Times New Roman" w:eastAsia="宋体" w:cs="Times New Roman"/>
          <w:kern w:val="0"/>
          <w:sz w:val="22"/>
        </w:rPr>
        <w:t>initiation, PD in the entire population had a tendency to survive</w:t>
      </w:r>
      <w:r>
        <w:rPr>
          <w:rFonts w:hint="eastAsia" w:ascii="Times New Roman" w:hAnsi="Times New Roman" w:eastAsia="宋体" w:cs="Times New Roman"/>
          <w:kern w:val="0"/>
          <w:sz w:val="22"/>
        </w:rPr>
        <w:t xml:space="preserve"> better</w:t>
      </w:r>
      <w:r>
        <w:rPr>
          <w:rFonts w:ascii="Times New Roman" w:hAnsi="Times New Roman" w:eastAsia="宋体" w:cs="Times New Roman"/>
          <w:kern w:val="0"/>
          <w:sz w:val="22"/>
        </w:rPr>
        <w:t>, but failed to reach statistical significance</w:t>
      </w:r>
      <w:r>
        <w:rPr>
          <w:rFonts w:hint="eastAsia" w:ascii="Times New Roman" w:hAnsi="Times New Roman" w:eastAsia="宋体" w:cs="Times New Roman"/>
          <w:kern w:val="0"/>
          <w:sz w:val="22"/>
          <w:lang w:val="en-US" w:eastAsia="zh-CN"/>
        </w:rPr>
        <w:t>.</w:t>
      </w:r>
      <w:r>
        <w:rPr>
          <w:rFonts w:ascii="Times New Roman" w:hAnsi="Times New Roman" w:eastAsia="宋体" w:cs="Times New Roman"/>
          <w:kern w:val="0"/>
          <w:sz w:val="22"/>
        </w:rPr>
        <w:t xml:space="preserve"> </w:t>
      </w:r>
      <w:r>
        <w:rPr>
          <w:rFonts w:hint="eastAsia" w:ascii="Times New Roman" w:hAnsi="Times New Roman" w:eastAsia="宋体" w:cs="Times New Roman"/>
          <w:kern w:val="0"/>
          <w:sz w:val="22"/>
          <w:lang w:val="en-US" w:eastAsia="zh-CN"/>
        </w:rPr>
        <w:t>I</w:t>
      </w:r>
      <w:r>
        <w:rPr>
          <w:rFonts w:hint="default" w:ascii="Times New Roman" w:hAnsi="Times New Roman" w:eastAsia="宋体" w:cs="Times New Roman"/>
          <w:kern w:val="0"/>
          <w:sz w:val="22"/>
          <w:lang w:val="en-US"/>
        </w:rPr>
        <w:t>n &lt;60-</w:t>
      </w:r>
      <w:r>
        <w:rPr>
          <w:rFonts w:ascii="Times New Roman" w:hAnsi="Times New Roman" w:eastAsia="宋体" w:cs="Times New Roman"/>
          <w:kern w:val="0"/>
          <w:sz w:val="22"/>
        </w:rPr>
        <w:t>years</w:t>
      </w:r>
      <w:r>
        <w:rPr>
          <w:rFonts w:hint="default" w:ascii="Times New Roman" w:hAnsi="Times New Roman" w:eastAsia="宋体" w:cs="Times New Roman"/>
          <w:kern w:val="0"/>
          <w:sz w:val="22"/>
          <w:lang w:val="en-US"/>
        </w:rPr>
        <w:t>-</w:t>
      </w:r>
      <w:r>
        <w:rPr>
          <w:rFonts w:ascii="Times New Roman" w:hAnsi="Times New Roman" w:eastAsia="宋体" w:cs="Times New Roman"/>
          <w:kern w:val="0"/>
          <w:sz w:val="22"/>
        </w:rPr>
        <w:t>old</w:t>
      </w:r>
      <w:r>
        <w:rPr>
          <w:rFonts w:hint="default" w:ascii="Times New Roman" w:hAnsi="Times New Roman" w:eastAsia="宋体" w:cs="Times New Roman"/>
          <w:kern w:val="0"/>
          <w:sz w:val="22"/>
          <w:lang w:val="en-US"/>
        </w:rPr>
        <w:t xml:space="preserve"> subgroup, PD</w:t>
      </w:r>
      <w:r>
        <w:rPr>
          <w:rFonts w:ascii="Times New Roman" w:hAnsi="Times New Roman" w:eastAsia="宋体" w:cs="Times New Roman"/>
          <w:kern w:val="0"/>
          <w:sz w:val="22"/>
        </w:rPr>
        <w:t xml:space="preserve"> had survival advantages, </w:t>
      </w:r>
      <w:r>
        <w:rPr>
          <w:rFonts w:hint="default" w:ascii="Times New Roman" w:hAnsi="Times New Roman" w:eastAsia="宋体" w:cs="Times New Roman"/>
          <w:kern w:val="0"/>
          <w:sz w:val="22"/>
          <w:lang w:val="en-US"/>
        </w:rPr>
        <w:t>but</w:t>
      </w:r>
      <w:r>
        <w:rPr>
          <w:rFonts w:ascii="Times New Roman" w:hAnsi="Times New Roman" w:eastAsia="宋体" w:cs="Times New Roman"/>
          <w:kern w:val="0"/>
          <w:sz w:val="22"/>
        </w:rPr>
        <w:t xml:space="preserve"> the </w:t>
      </w:r>
      <w:r>
        <w:rPr>
          <w:rFonts w:hint="eastAsia" w:ascii="Times New Roman" w:hAnsi="Times New Roman" w:eastAsia="宋体" w:cs="Times New Roman"/>
          <w:kern w:val="0"/>
          <w:sz w:val="22"/>
          <w:lang w:val="en-US" w:eastAsia="zh-CN"/>
        </w:rPr>
        <w:t xml:space="preserve">other </w:t>
      </w:r>
      <w:r>
        <w:rPr>
          <w:rFonts w:ascii="Times New Roman" w:hAnsi="Times New Roman" w:eastAsia="宋体" w:cs="Times New Roman"/>
          <w:kern w:val="0"/>
          <w:sz w:val="22"/>
        </w:rPr>
        <w:t xml:space="preserve">subgroups did not find </w:t>
      </w:r>
      <w:r>
        <w:rPr>
          <w:rFonts w:hint="eastAsia" w:ascii="Times New Roman" w:hAnsi="Times New Roman" w:eastAsia="宋体" w:cs="Times New Roman"/>
          <w:kern w:val="0"/>
          <w:sz w:val="22"/>
        </w:rPr>
        <w:t>s</w:t>
      </w:r>
      <w:r>
        <w:rPr>
          <w:rFonts w:ascii="Times New Roman" w:hAnsi="Times New Roman" w:eastAsia="宋体" w:cs="Times New Roman"/>
          <w:kern w:val="0"/>
          <w:sz w:val="22"/>
        </w:rPr>
        <w:t xml:space="preserve">imilar </w:t>
      </w:r>
      <w:r>
        <w:rPr>
          <w:rFonts w:hint="eastAsia" w:ascii="Times New Roman" w:hAnsi="Times New Roman" w:eastAsia="宋体" w:cs="Times New Roman"/>
          <w:kern w:val="0"/>
          <w:sz w:val="22"/>
        </w:rPr>
        <w:t>advantages</w:t>
      </w:r>
      <w:r>
        <w:rPr>
          <w:rFonts w:ascii="Times New Roman" w:hAnsi="Times New Roman" w:eastAsia="宋体" w:cs="Times New Roman"/>
          <w:kern w:val="0"/>
          <w:sz w:val="22"/>
        </w:rPr>
        <w:t>. After</w:t>
      </w:r>
      <w:r>
        <w:rPr>
          <w:rFonts w:hint="eastAsia" w:ascii="Times New Roman" w:hAnsi="Times New Roman" w:eastAsia="宋体" w:cs="Times New Roman"/>
          <w:kern w:val="0"/>
          <w:sz w:val="22"/>
          <w:lang w:val="en-US" w:eastAsia="zh-CN"/>
        </w:rPr>
        <w:t xml:space="preserve"> the second</w:t>
      </w:r>
      <w:r>
        <w:rPr>
          <w:rFonts w:ascii="Times New Roman" w:hAnsi="Times New Roman" w:eastAsia="宋体" w:cs="Times New Roman"/>
          <w:kern w:val="0"/>
          <w:sz w:val="22"/>
        </w:rPr>
        <w:t xml:space="preserve"> </w:t>
      </w:r>
      <w:r>
        <w:rPr>
          <w:rFonts w:hint="eastAsia" w:ascii="Times New Roman" w:hAnsi="Times New Roman" w:eastAsia="宋体" w:cs="Times New Roman"/>
          <w:kern w:val="0"/>
          <w:sz w:val="22"/>
          <w:lang w:val="en-US" w:eastAsia="zh-CN"/>
        </w:rPr>
        <w:t xml:space="preserve">year </w:t>
      </w:r>
      <w:r>
        <w:rPr>
          <w:rFonts w:ascii="Times New Roman" w:hAnsi="Times New Roman" w:eastAsia="宋体" w:cs="Times New Roman"/>
          <w:kern w:val="0"/>
          <w:sz w:val="22"/>
        </w:rPr>
        <w:t xml:space="preserve">of follow-up, no differences in survival were found between the two dialysis methods. </w:t>
      </w:r>
      <w:r>
        <w:rPr>
          <w:rFonts w:hint="default" w:ascii="Times New Roman" w:hAnsi="Times New Roman" w:eastAsia="宋体" w:cs="Times New Roman"/>
          <w:kern w:val="0"/>
          <w:sz w:val="22"/>
          <w:lang w:val="en-US" w:eastAsia="zh-CN"/>
        </w:rPr>
        <w:t>Kaplan–Meier curves</w:t>
      </w:r>
      <w:r>
        <w:rPr>
          <w:rFonts w:hint="eastAsia" w:ascii="Times New Roman" w:hAnsi="Times New Roman" w:eastAsia="宋体" w:cs="Times New Roman"/>
          <w:kern w:val="0"/>
          <w:sz w:val="22"/>
          <w:lang w:val="en-US" w:eastAsia="zh-CN"/>
        </w:rPr>
        <w:t xml:space="preserve"> and Cox regression model result will be showed below.</w:t>
      </w:r>
    </w:p>
    <w:p>
      <w:pPr>
        <w:rPr>
          <w:rFonts w:hint="default" w:ascii="Times New Roman" w:hAnsi="Times New Roman" w:eastAsia="宋体" w:cs="Times New Roman"/>
          <w:b/>
          <w:bCs/>
          <w:kern w:val="0"/>
          <w:sz w:val="24"/>
          <w:szCs w:val="24"/>
          <w:lang w:val="en-US" w:eastAsia="zh-CN"/>
        </w:rPr>
      </w:pPr>
      <w:r>
        <w:rPr>
          <w:rFonts w:hint="default" w:ascii="Times New Roman" w:hAnsi="Times New Roman" w:eastAsia="宋体" w:cs="Times New Roman"/>
          <w:b/>
          <w:bCs/>
          <w:kern w:val="0"/>
          <w:sz w:val="24"/>
          <w:szCs w:val="24"/>
          <w:lang w:val="en-US" w:eastAsia="zh-CN"/>
        </w:rPr>
        <w:t xml:space="preserve">Kaplan–Meier curves </w:t>
      </w:r>
      <w:r>
        <w:rPr>
          <w:rFonts w:hint="eastAsia" w:ascii="Times New Roman" w:hAnsi="Times New Roman" w:eastAsia="宋体" w:cs="Times New Roman"/>
          <w:b/>
          <w:bCs/>
          <w:kern w:val="0"/>
          <w:sz w:val="24"/>
          <w:szCs w:val="24"/>
          <w:lang w:val="en-US" w:eastAsia="zh-CN"/>
        </w:rPr>
        <w:t xml:space="preserve">for &lt;2-years after dialysis initiation </w:t>
      </w:r>
      <w:bookmarkStart w:id="1" w:name="_GoBack"/>
      <w:bookmarkEnd w:id="1"/>
    </w:p>
    <w:p>
      <w:pPr>
        <w:spacing w:after="120" w:line="360" w:lineRule="auto"/>
        <w:ind w:firstLine="420"/>
        <w:rPr>
          <w:rFonts w:ascii="Times New Roman" w:hAnsi="Times New Roman" w:eastAsia="宋体" w:cs="Times New Roman"/>
          <w:kern w:val="0"/>
          <w:sz w:val="22"/>
        </w:rPr>
      </w:pPr>
      <w:r>
        <w:rPr>
          <w:rFonts w:hint="eastAsia" w:ascii="Times New Roman" w:hAnsi="Times New Roman" w:eastAsia="宋体" w:cs="Times New Roman"/>
          <w:kern w:val="0"/>
          <w:sz w:val="22"/>
        </w:rPr>
        <w:drawing>
          <wp:inline distT="0" distB="0" distL="114300" distR="114300">
            <wp:extent cx="3865880" cy="2159635"/>
            <wp:effectExtent l="0" t="0" r="5080" b="4445"/>
            <wp:docPr id="7" name="图片 7" descr="2_years_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_years_ALL"/>
                    <pic:cNvPicPr>
                      <a:picLocks noChangeAspect="1"/>
                    </pic:cNvPicPr>
                  </pic:nvPicPr>
                  <pic:blipFill>
                    <a:blip r:embed="rId4"/>
                    <a:stretch>
                      <a:fillRect/>
                    </a:stretch>
                  </pic:blipFill>
                  <pic:spPr>
                    <a:xfrm>
                      <a:off x="0" y="0"/>
                      <a:ext cx="3866247" cy="2160000"/>
                    </a:xfrm>
                    <a:prstGeom prst="rect">
                      <a:avLst/>
                    </a:prstGeom>
                  </pic:spPr>
                </pic:pic>
              </a:graphicData>
            </a:graphic>
          </wp:inline>
        </w:drawing>
      </w:r>
    </w:p>
    <w:p>
      <w:pPr>
        <w:spacing w:after="120" w:line="360" w:lineRule="auto"/>
        <w:ind w:firstLine="420"/>
        <w:rPr>
          <w:rFonts w:hint="eastAsia" w:ascii="Times New Roman" w:hAnsi="Times New Roman" w:eastAsia="宋体" w:cs="Times New Roman"/>
          <w:kern w:val="0"/>
          <w:sz w:val="22"/>
        </w:rPr>
      </w:pPr>
      <w:r>
        <w:rPr>
          <w:rFonts w:hint="eastAsia" w:ascii="Times New Roman" w:hAnsi="Times New Roman" w:eastAsia="宋体" w:cs="Times New Roman"/>
          <w:kern w:val="0"/>
          <w:sz w:val="22"/>
        </w:rPr>
        <w:drawing>
          <wp:inline distT="0" distB="0" distL="114300" distR="114300">
            <wp:extent cx="5039995" cy="1697355"/>
            <wp:effectExtent l="0" t="0" r="4445" b="9525"/>
            <wp:docPr id="8" name="图片 8" descr="2_years_Age_Subgrou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_years_Age_Subgroups"/>
                    <pic:cNvPicPr>
                      <a:picLocks noChangeAspect="1"/>
                    </pic:cNvPicPr>
                  </pic:nvPicPr>
                  <pic:blipFill>
                    <a:blip r:embed="rId5"/>
                    <a:stretch>
                      <a:fillRect/>
                    </a:stretch>
                  </pic:blipFill>
                  <pic:spPr>
                    <a:xfrm>
                      <a:off x="0" y="0"/>
                      <a:ext cx="5039995" cy="1697355"/>
                    </a:xfrm>
                    <a:prstGeom prst="rect">
                      <a:avLst/>
                    </a:prstGeom>
                  </pic:spPr>
                </pic:pic>
              </a:graphicData>
            </a:graphic>
          </wp:inline>
        </w:drawing>
      </w:r>
    </w:p>
    <w:p>
      <w:pPr>
        <w:spacing w:after="120" w:line="360" w:lineRule="auto"/>
        <w:ind w:firstLine="420"/>
        <w:rPr>
          <w:rFonts w:hint="default" w:ascii="Times New Roman" w:hAnsi="Times New Roman" w:eastAsia="宋体" w:cs="Times New Roman"/>
          <w:kern w:val="0"/>
          <w:sz w:val="22"/>
          <w:lang w:val="en-US"/>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3"/>
        <w:tblW w:w="0" w:type="auto"/>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Layout w:type="autofit"/>
        <w:tblCellMar>
          <w:top w:w="0" w:type="dxa"/>
          <w:left w:w="108" w:type="dxa"/>
          <w:bottom w:w="0" w:type="dxa"/>
          <w:right w:w="108" w:type="dxa"/>
        </w:tblCellMar>
      </w:tblPr>
      <w:tblGrid>
        <w:gridCol w:w="2726"/>
        <w:gridCol w:w="1637"/>
        <w:gridCol w:w="1929"/>
        <w:gridCol w:w="1929"/>
        <w:gridCol w:w="1929"/>
        <w:gridCol w:w="1929"/>
        <w:gridCol w:w="193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14010" w:type="dxa"/>
            <w:gridSpan w:val="7"/>
            <w:tcBorders>
              <w:top w:val="nil"/>
              <w:left w:val="nil"/>
              <w:bottom w:val="single" w:color="000000" w:sz="4" w:space="0"/>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ascii="Times New Roman" w:hAnsi="Times New Roman" w:eastAsia="Arial Unicode MS" w:cs="Arial Unicode MS"/>
                <w:color w:val="000000"/>
                <w:kern w:val="0"/>
                <w:sz w:val="20"/>
                <w:szCs w:val="20"/>
                <w:u w:color="000000"/>
                <w:lang w:val="en-US" w:eastAsia="zh-CN" w:bidi="ar"/>
              </w:rPr>
            </w:pPr>
            <w:r>
              <w:rPr>
                <w:rFonts w:hint="default" w:ascii="Times New Roman" w:hAnsi="Times New Roman" w:eastAsia="Arial Unicode MS" w:cs="Arial Unicode MS"/>
                <w:color w:val="000000"/>
                <w:kern w:val="0"/>
                <w:sz w:val="20"/>
                <w:szCs w:val="20"/>
                <w:u w:color="000000"/>
                <w:lang w:val="en-US" w:eastAsia="zh-TW" w:bidi="ar"/>
              </w:rPr>
              <w:t xml:space="preserve">Risk factors for mortality assessed by univariate and multivariate Cox </w:t>
            </w:r>
            <w:r>
              <w:rPr>
                <w:rFonts w:hint="eastAsia" w:ascii="Times New Roman" w:hAnsi="Times New Roman" w:eastAsia="Arial Unicode MS" w:cs="Arial Unicode MS"/>
                <w:color w:val="000000"/>
                <w:kern w:val="0"/>
                <w:sz w:val="20"/>
                <w:szCs w:val="20"/>
                <w:u w:color="000000"/>
                <w:lang w:val="en-US" w:eastAsia="zh-CN" w:bidi="ar"/>
              </w:rPr>
              <w:t>regression</w:t>
            </w:r>
            <w:r>
              <w:rPr>
                <w:rFonts w:hint="default" w:ascii="Times New Roman" w:hAnsi="Times New Roman" w:eastAsia="Arial Unicode MS" w:cs="Arial Unicode MS"/>
                <w:color w:val="000000"/>
                <w:kern w:val="0"/>
                <w:sz w:val="20"/>
                <w:szCs w:val="20"/>
                <w:u w:color="000000"/>
                <w:lang w:val="en-US" w:eastAsia="zh-TW" w:bidi="ar"/>
              </w:rPr>
              <w:t xml:space="preserve"> model</w:t>
            </w:r>
            <w:r>
              <w:rPr>
                <w:rFonts w:hint="eastAsia" w:ascii="Times New Roman" w:hAnsi="Times New Roman" w:eastAsia="Arial Unicode MS" w:cs="Arial Unicode MS"/>
                <w:color w:val="000000"/>
                <w:kern w:val="0"/>
                <w:sz w:val="20"/>
                <w:szCs w:val="20"/>
                <w:u w:color="000000"/>
                <w:lang w:val="en-US" w:eastAsia="zh-CN" w:bidi="ar"/>
              </w:rPr>
              <w:t xml:space="preserve"> for &lt;2-years after dialysis initiation</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74" w:hRule="atLeast"/>
        </w:trPr>
        <w:tc>
          <w:tcPr>
            <w:tcW w:w="2726"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p>
        </w:tc>
        <w:tc>
          <w:tcPr>
            <w:tcW w:w="5495" w:type="dxa"/>
            <w:gridSpan w:val="3"/>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Patients younger than 60 years old</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424242"/>
                <w:kern w:val="0"/>
                <w:sz w:val="20"/>
                <w:szCs w:val="20"/>
                <w:u w:color="000000"/>
                <w:lang w:val="en-US" w:eastAsia="zh-TW" w:bidi="ar"/>
              </w:rPr>
              <w:t xml:space="preserve">PD (n = </w:t>
            </w:r>
            <w:r>
              <w:rPr>
                <w:rFonts w:hint="default" w:ascii="Times New Roman" w:hAnsi="Times New Roman" w:eastAsia="Arial Unicode MS" w:cs="Arial Unicode MS"/>
                <w:color w:val="424242"/>
                <w:kern w:val="0"/>
                <w:sz w:val="20"/>
                <w:szCs w:val="20"/>
                <w:u w:color="000000"/>
                <w:lang w:val="en-US" w:eastAsia="zh-CN" w:bidi="ar"/>
              </w:rPr>
              <w:t>352</w:t>
            </w:r>
            <w:r>
              <w:rPr>
                <w:rFonts w:hint="default" w:ascii="Times New Roman" w:hAnsi="Times New Roman" w:eastAsia="Arial Unicode MS" w:cs="Arial Unicode MS"/>
                <w:color w:val="424242"/>
                <w:kern w:val="0"/>
                <w:sz w:val="20"/>
                <w:szCs w:val="20"/>
                <w:u w:color="000000"/>
                <w:lang w:val="en-US" w:eastAsia="zh-TW" w:bidi="ar"/>
              </w:rPr>
              <w:t>), HD (n = 233)</w:t>
            </w:r>
          </w:p>
        </w:tc>
        <w:tc>
          <w:tcPr>
            <w:tcW w:w="5789" w:type="dxa"/>
            <w:gridSpan w:val="3"/>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Patients older than 70 years old</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424242"/>
                <w:kern w:val="0"/>
                <w:sz w:val="20"/>
                <w:szCs w:val="20"/>
                <w:u w:color="000000"/>
                <w:lang w:val="en-US" w:eastAsia="zh-TW" w:bidi="ar"/>
              </w:rPr>
              <w:t xml:space="preserve">PD(n = </w:t>
            </w:r>
            <w:r>
              <w:rPr>
                <w:rFonts w:hint="default" w:ascii="Times New Roman" w:hAnsi="Times New Roman" w:eastAsia="Arial Unicode MS" w:cs="Arial Unicode MS"/>
                <w:color w:val="424242"/>
                <w:kern w:val="0"/>
                <w:sz w:val="20"/>
                <w:szCs w:val="20"/>
                <w:u w:color="000000"/>
                <w:lang w:val="en-US" w:eastAsia="zh-CN" w:bidi="ar"/>
              </w:rPr>
              <w:t>48</w:t>
            </w:r>
            <w:r>
              <w:rPr>
                <w:rFonts w:hint="default" w:ascii="Times New Roman" w:hAnsi="Times New Roman" w:eastAsia="Arial Unicode MS" w:cs="Arial Unicode MS"/>
                <w:color w:val="424242"/>
                <w:kern w:val="0"/>
                <w:sz w:val="20"/>
                <w:szCs w:val="20"/>
                <w:u w:color="000000"/>
                <w:lang w:val="en-US" w:eastAsia="zh-TW" w:bidi="ar"/>
              </w:rPr>
              <w:t xml:space="preserve">), HD(n = </w:t>
            </w:r>
            <w:r>
              <w:rPr>
                <w:rFonts w:hint="default" w:ascii="Times New Roman" w:hAnsi="Times New Roman" w:eastAsia="Arial Unicode MS" w:cs="Arial Unicode MS"/>
                <w:color w:val="424242"/>
                <w:kern w:val="0"/>
                <w:sz w:val="20"/>
                <w:szCs w:val="20"/>
                <w:u w:color="000000"/>
                <w:lang w:val="en-US" w:eastAsia="zh-CN" w:bidi="ar"/>
              </w:rPr>
              <w:t>92</w:t>
            </w:r>
            <w:r>
              <w:rPr>
                <w:rFonts w:hint="default" w:ascii="Times New Roman" w:hAnsi="Times New Roman" w:eastAsia="Arial Unicode MS" w:cs="Arial Unicode MS"/>
                <w:color w:val="424242"/>
                <w:kern w:val="0"/>
                <w:sz w:val="20"/>
                <w:szCs w:val="20"/>
                <w:u w:color="000000"/>
                <w:lang w:val="en-US" w:eastAsia="zh-TW" w:bidi="ar"/>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404" w:hRule="atLeast"/>
        </w:trPr>
        <w:tc>
          <w:tcPr>
            <w:tcW w:w="2726"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p>
        </w:tc>
        <w:tc>
          <w:tcPr>
            <w:tcW w:w="1637"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Univariate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929"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929"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PSM-</w:t>
            </w:r>
            <w:r>
              <w:rPr>
                <w:rFonts w:hint="default" w:ascii="Times New Roman" w:hAnsi="Times New Roman" w:eastAsia="Arial Unicode MS" w:cs="Arial Unicode MS"/>
                <w:color w:val="424242"/>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929"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Univariate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929"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931"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PSM-</w:t>
            </w:r>
            <w:r>
              <w:rPr>
                <w:rFonts w:hint="default" w:ascii="Times New Roman" w:hAnsi="Times New Roman" w:eastAsia="Arial Unicode MS" w:cs="Arial Unicode MS"/>
                <w:color w:val="424242"/>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726" w:type="dxa"/>
            <w:tcBorders>
              <w:top w:val="single" w:color="000000" w:sz="4" w:space="0"/>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Dialysis begin age(per 1 year)</w:t>
            </w:r>
          </w:p>
        </w:tc>
        <w:tc>
          <w:tcPr>
            <w:tcW w:w="1637"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1.01(0.98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1.05)</w:t>
            </w:r>
          </w:p>
        </w:tc>
        <w:tc>
          <w:tcPr>
            <w:tcW w:w="1929"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1.01(0.97</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1.05)</w:t>
            </w:r>
          </w:p>
        </w:tc>
        <w:tc>
          <w:tcPr>
            <w:tcW w:w="1929"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1.02(0.97</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1.07)</w:t>
            </w:r>
          </w:p>
        </w:tc>
        <w:tc>
          <w:tcPr>
            <w:tcW w:w="1929"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1.08(0.99-1.19)</w:t>
            </w:r>
          </w:p>
        </w:tc>
        <w:tc>
          <w:tcPr>
            <w:tcW w:w="1929"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1.08(0.98-1.19)</w:t>
            </w:r>
          </w:p>
        </w:tc>
        <w:tc>
          <w:tcPr>
            <w:tcW w:w="1931"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1.17(1.01-1.36)</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Sex(female vs male)</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0.41(0.16</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b/>
                <w:bCs/>
                <w:color w:val="000000"/>
                <w:kern w:val="0"/>
                <w:sz w:val="20"/>
                <w:szCs w:val="20"/>
                <w:u w:color="000000"/>
                <w:lang w:val="en-US" w:eastAsia="zh-CN" w:bidi="ar"/>
              </w:rPr>
              <w:t>0.38(0.15</w:t>
            </w:r>
            <w:r>
              <w:rPr>
                <w:rFonts w:hint="eastAsia" w:ascii="Times New Roman" w:hAnsi="Times New Roman" w:eastAsia="Arial Unicode MS" w:cs="Arial Unicode MS"/>
                <w:b/>
                <w:bCs/>
                <w:color w:val="000000"/>
                <w:kern w:val="0"/>
                <w:sz w:val="20"/>
                <w:szCs w:val="20"/>
                <w:u w:color="000000"/>
                <w:lang w:val="en-US" w:eastAsia="zh-CN" w:bidi="ar"/>
              </w:rPr>
              <w:t>-</w:t>
            </w:r>
            <w:r>
              <w:rPr>
                <w:rFonts w:hint="default" w:ascii="Times New Roman" w:hAnsi="Times New Roman" w:eastAsia="Arial Unicode MS" w:cs="Arial Unicode MS"/>
                <w:b/>
                <w:bCs/>
                <w:color w:val="000000"/>
                <w:kern w:val="0"/>
                <w:sz w:val="20"/>
                <w:szCs w:val="20"/>
                <w:u w:color="000000"/>
                <w:lang w:val="en-US" w:eastAsia="zh-CN" w:bidi="ar"/>
              </w:rPr>
              <w:t>0.99)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0.52(0.19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1.40)</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0.76(0.33-1.72)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0.73(0.29-1.79)</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2.80(0.69-11.34)</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Diabetes(n)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1.74(0.78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3.88)</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1.47(0.33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6.58)</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2.01(0.46</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8.79)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1.06(0.47-2.43)</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1.12(0.37-3.38)</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0.81(0.18-3.53)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Hypertension(n)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0.86(0.30</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2.51)</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0.75(0.23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2.39)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0.67(0.18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2.45)</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0.50(0.07-3.68)</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0.45(0.04-4.61)</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0.40(0.03-6.12)</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Charlson Comorbidities Index(CCI)</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1.14(0.93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1.41)</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0.53(0.14</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1.93)</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0.48(0.12</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1.99)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1.14(0.85-1.54)</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0.94(0.54-1.64)</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1.02(0.48-2.18)</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Congestive heart failure(n)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1.70(0.75</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3.84)</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1.60(0.53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4.86)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1.49(0.47</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4.76)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2.07(0.88-4.88)</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1.57(0.53-4.67)</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5.99(0.87-40.97)</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Cerebrovascular disease(n)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1.59(0.48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5.32)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1.64(0.36</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7.52)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1.68(0.35</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8.09)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0.87(0.37-2.05)</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0.80(0.25-2.57)</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0.16(0.02-1.30)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134"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Chronic pulmonary disease(n)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1.73(0.41</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7.34)</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1.36(0.27</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6.82)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1.60(0.32</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8.12)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2.43(0.96-6.16)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3.08(0.97-9.79)</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2.46(0.37-16.51)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Cardiovascular disease(n)</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2.70(0.93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7.86)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2.54(0.77</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8.35)</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1.55(0.39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6.07)</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2.82(1.24-6.39)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2.92(1.03-8.25)</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4.30(0.90-20.51)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r>
              <w:rPr>
                <w:rFonts w:hint="default" w:ascii="Times New Roman" w:hAnsi="Times New Roman" w:eastAsia="Arial Unicode MS" w:cs="Arial Unicode MS"/>
                <w:color w:val="000000"/>
                <w:kern w:val="0"/>
                <w:sz w:val="20"/>
                <w:szCs w:val="20"/>
                <w:lang w:val="en-US" w:eastAsia="zh-CN" w:bidi="ar"/>
              </w:rPr>
              <w:t>Body mass index(per 1kg/m2)</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1.02(0.93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1.12)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1.00(0.89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1.11)</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0.99(0.88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1.11)</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0.98(0.88-1.10)</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1.00(0.87-1.14)</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0.90(0.74-1.10)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Hemoglobin(per 1g/L)</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1.00(0.98-1.02)</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1.00(0.98-1.03)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Plasma albumin(per 1g/L)</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0.95(0.89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1.02)</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0.98(0.91</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0.97(0.89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1.06)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0.96(0.87-1.05)</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0.97(0.88-1.06)</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1.18(0.98-1.42)</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4"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Triglyceride(per 1mmol/L)</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1.50(1.04</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2.16)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1.32(0.83</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2.10)</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1.46(0.89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2.40)</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0.90(0.49-1.64)</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0.88(0.43-1.79)</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0.87(0.30-2.51)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Cholesterol(per 1mmol/L)</w:t>
            </w:r>
          </w:p>
        </w:tc>
        <w:tc>
          <w:tcPr>
            <w:tcW w:w="163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1.24(0.99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1.56)</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1.25(0.98</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1.60)</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1.11(0.79</w:t>
            </w:r>
            <w:r>
              <w:rPr>
                <w:rFonts w:hint="eastAsia" w:ascii="Times New Roman" w:hAnsi="Times New Roman" w:eastAsia="Arial Unicode MS" w:cs="Arial Unicode MS"/>
                <w:color w:val="000000"/>
                <w:kern w:val="0"/>
                <w:sz w:val="20"/>
                <w:szCs w:val="20"/>
                <w:u w:color="000000"/>
                <w:lang w:val="en-US" w:eastAsia="zh-CN" w:bidi="ar"/>
              </w:rPr>
              <w:t>-</w:t>
            </w:r>
            <w:r>
              <w:rPr>
                <w:rFonts w:hint="default" w:ascii="Times New Roman" w:hAnsi="Times New Roman" w:eastAsia="Arial Unicode MS" w:cs="Arial Unicode MS"/>
                <w:color w:val="000000"/>
                <w:kern w:val="0"/>
                <w:sz w:val="20"/>
                <w:szCs w:val="20"/>
                <w:u w:color="000000"/>
                <w:lang w:val="en-US" w:eastAsia="zh-CN" w:bidi="ar"/>
              </w:rPr>
              <w:t>1.55)</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1.09(0.75-1.59)</w:t>
            </w:r>
          </w:p>
        </w:tc>
        <w:tc>
          <w:tcPr>
            <w:tcW w:w="1929"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1.18(0.77-1.79)</w:t>
            </w:r>
          </w:p>
        </w:tc>
        <w:tc>
          <w:tcPr>
            <w:tcW w:w="1931"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1.28(0.77-2.12)</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726" w:type="dxa"/>
            <w:tcBorders>
              <w:top w:val="nil"/>
              <w:left w:val="nil"/>
              <w:bottom w:val="single" w:color="000000" w:sz="4" w:space="0"/>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Dialysis Methods(HDvsPD)</w:t>
            </w:r>
          </w:p>
        </w:tc>
        <w:tc>
          <w:tcPr>
            <w:tcW w:w="1637"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Times New Roman" w:hAnsi="Times New Roman" w:eastAsia="Arial Unicode MS" w:cs="Arial Unicode MS"/>
                <w:b/>
                <w:bCs/>
                <w:color w:val="000000"/>
                <w:kern w:val="0"/>
                <w:sz w:val="20"/>
                <w:szCs w:val="20"/>
                <w:u w:color="000000"/>
                <w:lang w:val="en-US" w:eastAsia="zh-CN" w:bidi="ar"/>
              </w:rPr>
              <w:t>2.68(1.18</w:t>
            </w:r>
            <w:r>
              <w:rPr>
                <w:rFonts w:hint="eastAsia" w:ascii="Times New Roman" w:hAnsi="Times New Roman" w:eastAsia="Arial Unicode MS" w:cs="Arial Unicode MS"/>
                <w:b/>
                <w:bCs/>
                <w:color w:val="000000"/>
                <w:kern w:val="0"/>
                <w:sz w:val="20"/>
                <w:szCs w:val="20"/>
                <w:u w:color="000000"/>
                <w:lang w:val="en-US" w:eastAsia="zh-CN" w:bidi="ar"/>
              </w:rPr>
              <w:t>-</w:t>
            </w:r>
            <w:r>
              <w:rPr>
                <w:rFonts w:hint="default" w:ascii="Times New Roman" w:hAnsi="Times New Roman" w:eastAsia="Arial Unicode MS" w:cs="Arial Unicode MS"/>
                <w:b/>
                <w:bCs/>
                <w:color w:val="000000"/>
                <w:kern w:val="0"/>
                <w:sz w:val="20"/>
                <w:szCs w:val="20"/>
                <w:u w:color="000000"/>
                <w:lang w:val="en-US" w:eastAsia="zh-CN" w:bidi="ar"/>
              </w:rPr>
              <w:t>6.06)</w:t>
            </w:r>
          </w:p>
        </w:tc>
        <w:tc>
          <w:tcPr>
            <w:tcW w:w="1929"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Times New Roman" w:hAnsi="Times New Roman" w:eastAsia="Arial Unicode MS" w:cs="Arial Unicode MS"/>
                <w:b/>
                <w:bCs/>
                <w:color w:val="000000"/>
                <w:kern w:val="0"/>
                <w:sz w:val="20"/>
                <w:szCs w:val="20"/>
                <w:u w:color="000000"/>
                <w:lang w:val="en-US" w:eastAsia="zh-CN" w:bidi="ar"/>
              </w:rPr>
              <w:t>2.85(1.22</w:t>
            </w:r>
            <w:r>
              <w:rPr>
                <w:rFonts w:hint="eastAsia" w:ascii="Times New Roman" w:hAnsi="Times New Roman" w:eastAsia="Arial Unicode MS" w:cs="Arial Unicode MS"/>
                <w:b/>
                <w:bCs/>
                <w:color w:val="000000"/>
                <w:kern w:val="0"/>
                <w:sz w:val="20"/>
                <w:szCs w:val="20"/>
                <w:u w:color="000000"/>
                <w:lang w:val="en-US" w:eastAsia="zh-CN" w:bidi="ar"/>
              </w:rPr>
              <w:t>-</w:t>
            </w:r>
            <w:r>
              <w:rPr>
                <w:rFonts w:hint="default" w:ascii="Times New Roman" w:hAnsi="Times New Roman" w:eastAsia="Arial Unicode MS" w:cs="Arial Unicode MS"/>
                <w:b/>
                <w:bCs/>
                <w:color w:val="000000"/>
                <w:kern w:val="0"/>
                <w:sz w:val="20"/>
                <w:szCs w:val="20"/>
                <w:u w:color="000000"/>
                <w:lang w:val="en-US" w:eastAsia="zh-CN" w:bidi="ar"/>
              </w:rPr>
              <w:t>6.64)</w:t>
            </w:r>
          </w:p>
        </w:tc>
        <w:tc>
          <w:tcPr>
            <w:tcW w:w="1929"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Times New Roman" w:hAnsi="Times New Roman" w:eastAsia="Arial Unicode MS" w:cs="Arial Unicode MS"/>
                <w:b/>
                <w:bCs/>
                <w:color w:val="000000"/>
                <w:kern w:val="0"/>
                <w:sz w:val="20"/>
                <w:szCs w:val="20"/>
                <w:u w:color="000000"/>
                <w:lang w:val="en-US" w:eastAsia="zh-CN" w:bidi="ar"/>
              </w:rPr>
              <w:t>2.61(1.01</w:t>
            </w:r>
            <w:r>
              <w:rPr>
                <w:rFonts w:hint="eastAsia" w:ascii="Times New Roman" w:hAnsi="Times New Roman" w:eastAsia="Arial Unicode MS" w:cs="Arial Unicode MS"/>
                <w:b/>
                <w:bCs/>
                <w:color w:val="000000"/>
                <w:kern w:val="0"/>
                <w:sz w:val="20"/>
                <w:szCs w:val="20"/>
                <w:u w:color="000000"/>
                <w:lang w:val="en-US" w:eastAsia="zh-CN" w:bidi="ar"/>
              </w:rPr>
              <w:t>-</w:t>
            </w:r>
            <w:r>
              <w:rPr>
                <w:rFonts w:hint="default" w:ascii="Times New Roman" w:hAnsi="Times New Roman" w:eastAsia="Arial Unicode MS" w:cs="Arial Unicode MS"/>
                <w:b/>
                <w:bCs/>
                <w:color w:val="000000"/>
                <w:kern w:val="0"/>
                <w:sz w:val="20"/>
                <w:szCs w:val="20"/>
                <w:u w:color="000000"/>
                <w:lang w:val="en-US" w:eastAsia="zh-CN" w:bidi="ar"/>
              </w:rPr>
              <w:t>6.74)</w:t>
            </w:r>
          </w:p>
        </w:tc>
        <w:tc>
          <w:tcPr>
            <w:tcW w:w="1929"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0.57(0.25-1.30)</w:t>
            </w:r>
          </w:p>
        </w:tc>
        <w:tc>
          <w:tcPr>
            <w:tcW w:w="1929"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0.52(0.20-1.32)</w:t>
            </w:r>
          </w:p>
        </w:tc>
        <w:tc>
          <w:tcPr>
            <w:tcW w:w="1931"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Times New Roman" w:hAnsi="Times New Roman" w:eastAsia="Arial Unicode MS" w:cs="Arial Unicode MS"/>
                <w:color w:val="000000"/>
                <w:kern w:val="0"/>
                <w:sz w:val="20"/>
                <w:szCs w:val="20"/>
                <w:u w:color="000000"/>
                <w:lang w:val="en-US" w:eastAsia="zh-CN" w:bidi="ar"/>
              </w:rPr>
              <w:t>0.66(0.19-2.30)</w:t>
            </w:r>
          </w:p>
        </w:tc>
      </w:tr>
    </w:tbl>
    <w:p>
      <w:pPr>
        <w:pStyle w:val="6"/>
        <w:widowControl/>
        <w:numPr>
          <w:ilvl w:val="0"/>
          <w:numId w:val="1"/>
        </w:numPr>
        <w:ind w:left="360" w:hanging="360"/>
        <w:rPr>
          <w:rFonts w:hint="default" w:ascii="Times New Roman" w:hAnsi="Times New Roman" w:eastAsia="Times New Roman" w:cs="Times New Roman"/>
          <w:lang w:val="en-US"/>
        </w:rPr>
      </w:pPr>
      <w:r>
        <w:rPr>
          <w:rFonts w:hint="default" w:ascii="Times New Roman" w:hAnsi="Times New Roman" w:cs="Arial Unicode MS"/>
          <w:lang w:val="en-US"/>
        </w:rPr>
        <w:t>PSM, Propensity score matching; HR, hazard ratio; 95% CI, 95% confidence interval; PD, Peritoneal dialysis; HD, Hemodialysis.</w:t>
      </w:r>
    </w:p>
    <w:p>
      <w:pPr>
        <w:pStyle w:val="7"/>
        <w:widowControl/>
        <w:numPr>
          <w:ilvl w:val="0"/>
          <w:numId w:val="1"/>
        </w:numPr>
        <w:ind w:left="360" w:hanging="360"/>
        <w:rPr>
          <w:sz w:val="22"/>
          <w:szCs w:val="22"/>
          <w:highlight w:val="yellow"/>
          <w:lang w:val="en-US"/>
        </w:rPr>
      </w:pPr>
      <w:r>
        <w:rPr>
          <w:sz w:val="22"/>
          <w:szCs w:val="22"/>
          <w:lang w:val="en-US"/>
        </w:rPr>
        <w:t>Variables adjusted in m</w:t>
      </w:r>
      <w:r>
        <w:rPr>
          <w:sz w:val="22"/>
          <w:szCs w:val="22"/>
          <w:lang w:val="zh-TW" w:eastAsia="zh-TW"/>
        </w:rPr>
        <w:t>ultivariate</w:t>
      </w:r>
      <w:r>
        <w:rPr>
          <w:sz w:val="22"/>
          <w:szCs w:val="22"/>
          <w:lang w:val="en-US"/>
        </w:rPr>
        <w:t xml:space="preserve"> Cox regression model for both subgroups: </w:t>
      </w:r>
      <w:r>
        <w:rPr>
          <w:rFonts w:eastAsia="宋体" w:cs="Times New Roman"/>
          <w:sz w:val="22"/>
          <w:szCs w:val="22"/>
          <w:lang w:val="en-US" w:bidi="ar"/>
        </w:rPr>
        <w:t>sex, age of dialysis initiation, cerebrovascular disease, congestive heart failure, chronic pulmonary disease, cardiovascular diseases, CCI, primary disease of renal failure (glomerulonephritis or polycystic kidney disease), body mass index, plasma albumin, cholesterol, and hemoglobin.</w:t>
      </w:r>
    </w:p>
    <w:p>
      <w:pPr>
        <w:pStyle w:val="7"/>
        <w:widowControl/>
        <w:numPr>
          <w:ilvl w:val="0"/>
          <w:numId w:val="1"/>
        </w:numPr>
        <w:ind w:left="360" w:hanging="360"/>
        <w:jc w:val="left"/>
        <w:rPr>
          <w:color w:val="000000"/>
          <w:sz w:val="22"/>
          <w:szCs w:val="22"/>
          <w:lang w:val="en-US"/>
        </w:rPr>
      </w:pPr>
      <w:r>
        <w:rPr>
          <w:color w:val="000000"/>
          <w:sz w:val="22"/>
          <w:szCs w:val="22"/>
          <w:lang w:val="en-US"/>
        </w:rPr>
        <w:t xml:space="preserve">The characteristics used in PSM included: </w:t>
      </w:r>
      <w:bookmarkStart w:id="0" w:name="OLE_LINK6"/>
      <w:r>
        <w:rPr>
          <w:color w:val="000000"/>
          <w:sz w:val="22"/>
          <w:szCs w:val="22"/>
          <w:lang w:val="en-US"/>
        </w:rPr>
        <w:t>sex, age of dialysis initiation, cerebrovascular disease, congestive heart failure, chronic pulmonary disease, cardiovascular diseases, CCI, primary disease of renal failure (glomerulonephritis or polycystic kidney disease), body mass index, plasma albumin, cholesterol, and hemoglobin.</w:t>
      </w:r>
      <w:bookmarkEnd w:id="0"/>
    </w:p>
    <w:p>
      <w:pPr>
        <w:pStyle w:val="7"/>
        <w:widowControl/>
        <w:numPr>
          <w:ilvl w:val="0"/>
          <w:numId w:val="1"/>
        </w:numPr>
        <w:ind w:left="360" w:hanging="360"/>
        <w:jc w:val="left"/>
        <w:rPr>
          <w:rFonts w:hint="default"/>
          <w:color w:val="000000"/>
          <w:sz w:val="22"/>
          <w:szCs w:val="22"/>
          <w:lang w:val="en-US"/>
        </w:rPr>
        <w:sectPr>
          <w:pgSz w:w="16838" w:h="11906" w:orient="landscape"/>
          <w:pgMar w:top="567" w:right="1440" w:bottom="567" w:left="1440" w:header="851" w:footer="992" w:gutter="0"/>
          <w:pgBorders>
            <w:top w:val="none" w:sz="0" w:space="0"/>
            <w:left w:val="none" w:sz="0" w:space="0"/>
            <w:bottom w:val="none" w:sz="0" w:space="0"/>
            <w:right w:val="none" w:sz="0" w:space="0"/>
          </w:pgBorders>
          <w:cols w:space="425" w:num="1"/>
          <w:docGrid w:type="lines" w:linePitch="312" w:charSpace="0"/>
        </w:sectPr>
      </w:pPr>
    </w:p>
    <w:p>
      <w:pPr>
        <w:spacing w:after="120" w:line="360" w:lineRule="auto"/>
        <w:rPr>
          <w:rFonts w:hint="default" w:ascii="Times New Roman" w:hAnsi="Times New Roman" w:eastAsia="宋体" w:cs="Times New Roman"/>
          <w:kern w:val="0"/>
          <w:sz w:val="22"/>
          <w:lang w:val="en-US"/>
        </w:rPr>
      </w:pPr>
      <w:r>
        <w:rPr>
          <w:rFonts w:hint="default" w:ascii="Times New Roman" w:hAnsi="Times New Roman" w:eastAsia="宋体" w:cs="Times New Roman"/>
          <w:b/>
          <w:bCs/>
          <w:kern w:val="0"/>
          <w:sz w:val="24"/>
          <w:szCs w:val="24"/>
          <w:lang w:val="en-US" w:eastAsia="zh-CN"/>
        </w:rPr>
        <w:t xml:space="preserve">Kaplan–Meier curves </w:t>
      </w:r>
      <w:r>
        <w:rPr>
          <w:rFonts w:hint="eastAsia" w:ascii="Times New Roman" w:hAnsi="Times New Roman" w:eastAsia="宋体" w:cs="Times New Roman"/>
          <w:b/>
          <w:bCs/>
          <w:kern w:val="0"/>
          <w:sz w:val="24"/>
          <w:szCs w:val="24"/>
          <w:lang w:val="en-US" w:eastAsia="zh-CN"/>
        </w:rPr>
        <w:t xml:space="preserve">for &gt;2-years after dialysis initiation </w:t>
      </w:r>
    </w:p>
    <w:p>
      <w:pPr>
        <w:spacing w:after="120" w:line="360" w:lineRule="auto"/>
        <w:ind w:firstLine="420"/>
        <w:rPr>
          <w:rFonts w:ascii="Times New Roman" w:hAnsi="Times New Roman" w:eastAsia="宋体" w:cs="Times New Roman"/>
          <w:kern w:val="0"/>
          <w:sz w:val="22"/>
        </w:rPr>
      </w:pPr>
      <w:r>
        <w:rPr>
          <w:rFonts w:hint="eastAsia" w:ascii="Times New Roman" w:hAnsi="Times New Roman" w:eastAsia="宋体" w:cs="Times New Roman"/>
          <w:kern w:val="0"/>
          <w:sz w:val="22"/>
        </w:rPr>
        <w:drawing>
          <wp:inline distT="0" distB="0" distL="0" distR="0">
            <wp:extent cx="3599815" cy="2358390"/>
            <wp:effectExtent l="0" t="0" r="1206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99815" cy="2358390"/>
                    </a:xfrm>
                    <a:prstGeom prst="rect">
                      <a:avLst/>
                    </a:prstGeom>
                  </pic:spPr>
                </pic:pic>
              </a:graphicData>
            </a:graphic>
          </wp:inline>
        </w:drawing>
      </w:r>
    </w:p>
    <w:p>
      <w:pPr>
        <w:spacing w:after="120" w:line="360" w:lineRule="auto"/>
        <w:ind w:firstLine="420"/>
        <w:rPr>
          <w:rFonts w:ascii="Times New Roman" w:hAnsi="Times New Roman" w:eastAsia="宋体" w:cs="Times New Roman"/>
          <w:kern w:val="0"/>
          <w:sz w:val="22"/>
        </w:rPr>
      </w:pPr>
      <w:r>
        <w:rPr>
          <w:rFonts w:hint="eastAsia" w:ascii="Times New Roman" w:hAnsi="Times New Roman" w:eastAsia="宋体" w:cs="Times New Roman"/>
          <w:kern w:val="0"/>
          <w:sz w:val="22"/>
        </w:rPr>
        <w:drawing>
          <wp:inline distT="0" distB="0" distL="0" distR="0">
            <wp:extent cx="5039995" cy="1701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39995" cy="1701800"/>
                    </a:xfrm>
                    <a:prstGeom prst="rect">
                      <a:avLst/>
                    </a:prstGeom>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3"/>
        <w:tblW w:w="0" w:type="auto"/>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Layout w:type="autofit"/>
        <w:tblCellMar>
          <w:top w:w="0" w:type="dxa"/>
          <w:left w:w="108" w:type="dxa"/>
          <w:bottom w:w="0" w:type="dxa"/>
          <w:right w:w="108" w:type="dxa"/>
        </w:tblCellMar>
      </w:tblPr>
      <w:tblGrid>
        <w:gridCol w:w="2548"/>
        <w:gridCol w:w="1623"/>
        <w:gridCol w:w="1864"/>
        <w:gridCol w:w="1874"/>
        <w:gridCol w:w="1845"/>
        <w:gridCol w:w="1845"/>
        <w:gridCol w:w="241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14010" w:type="dxa"/>
            <w:gridSpan w:val="7"/>
            <w:tcBorders>
              <w:top w:val="nil"/>
              <w:left w:val="nil"/>
              <w:bottom w:val="single" w:color="000000" w:sz="4" w:space="0"/>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both"/>
              <w:textAlignment w:val="auto"/>
              <w:rPr>
                <w:rFonts w:hint="default" w:ascii="Times New Roman" w:hAnsi="Times New Roman" w:eastAsia="Arial Unicode MS" w:cs="Arial Unicode MS"/>
                <w:color w:val="000000"/>
                <w:kern w:val="0"/>
                <w:sz w:val="20"/>
                <w:szCs w:val="20"/>
                <w:u w:color="000000"/>
                <w:lang w:val="en-US" w:eastAsia="zh-CN" w:bidi="ar"/>
              </w:rPr>
            </w:pPr>
            <w:r>
              <w:rPr>
                <w:rFonts w:hint="default" w:ascii="Times New Roman" w:hAnsi="Times New Roman" w:eastAsia="Arial Unicode MS" w:cs="Arial Unicode MS"/>
                <w:color w:val="000000"/>
                <w:kern w:val="0"/>
                <w:sz w:val="20"/>
                <w:szCs w:val="20"/>
                <w:u w:color="000000"/>
                <w:lang w:val="en-US" w:eastAsia="zh-TW" w:bidi="ar"/>
              </w:rPr>
              <w:t xml:space="preserve">Risk factors for mortality assessed by univariate and multivariate Cox </w:t>
            </w:r>
            <w:r>
              <w:rPr>
                <w:rFonts w:hint="eastAsia" w:ascii="Times New Roman" w:hAnsi="Times New Roman" w:eastAsia="Arial Unicode MS" w:cs="Arial Unicode MS"/>
                <w:color w:val="000000"/>
                <w:kern w:val="0"/>
                <w:sz w:val="20"/>
                <w:szCs w:val="20"/>
                <w:u w:color="000000"/>
                <w:lang w:val="en-US" w:eastAsia="zh-CN" w:bidi="ar"/>
              </w:rPr>
              <w:t>regression</w:t>
            </w:r>
            <w:r>
              <w:rPr>
                <w:rFonts w:hint="default" w:ascii="Times New Roman" w:hAnsi="Times New Roman" w:eastAsia="Arial Unicode MS" w:cs="Arial Unicode MS"/>
                <w:color w:val="000000"/>
                <w:kern w:val="0"/>
                <w:sz w:val="20"/>
                <w:szCs w:val="20"/>
                <w:u w:color="000000"/>
                <w:lang w:val="en-US" w:eastAsia="zh-TW" w:bidi="ar"/>
              </w:rPr>
              <w:t xml:space="preserve"> model</w:t>
            </w:r>
            <w:r>
              <w:rPr>
                <w:rFonts w:hint="eastAsia" w:ascii="Times New Roman" w:hAnsi="Times New Roman" w:eastAsia="Arial Unicode MS" w:cs="Arial Unicode MS"/>
                <w:color w:val="000000"/>
                <w:kern w:val="0"/>
                <w:sz w:val="20"/>
                <w:szCs w:val="20"/>
                <w:u w:color="000000"/>
                <w:lang w:val="en-US" w:eastAsia="zh-CN" w:bidi="ar"/>
              </w:rPr>
              <w:t xml:space="preserve"> for &gt;2-years after dialysis initiation</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274" w:hRule="atLeast"/>
        </w:trPr>
        <w:tc>
          <w:tcPr>
            <w:tcW w:w="2553"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p>
        </w:tc>
        <w:tc>
          <w:tcPr>
            <w:tcW w:w="5363" w:type="dxa"/>
            <w:gridSpan w:val="3"/>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Patients younger than 60 years old</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424242"/>
                <w:kern w:val="0"/>
                <w:sz w:val="20"/>
                <w:szCs w:val="20"/>
                <w:u w:color="000000"/>
                <w:lang w:val="en-US" w:eastAsia="zh-TW" w:bidi="ar"/>
              </w:rPr>
              <w:t xml:space="preserve">PD (n = </w:t>
            </w:r>
            <w:r>
              <w:rPr>
                <w:rFonts w:hint="eastAsia" w:ascii="Times New Roman" w:hAnsi="Times New Roman" w:eastAsia="Arial Unicode MS" w:cs="Arial Unicode MS"/>
                <w:color w:val="424242"/>
                <w:kern w:val="0"/>
                <w:sz w:val="20"/>
                <w:szCs w:val="20"/>
                <w:u w:color="000000"/>
                <w:lang w:val="en-US" w:eastAsia="zh-CN" w:bidi="ar"/>
              </w:rPr>
              <w:t>204</w:t>
            </w:r>
            <w:r>
              <w:rPr>
                <w:rFonts w:hint="default" w:ascii="Times New Roman" w:hAnsi="Times New Roman" w:eastAsia="Arial Unicode MS" w:cs="Arial Unicode MS"/>
                <w:color w:val="424242"/>
                <w:kern w:val="0"/>
                <w:sz w:val="20"/>
                <w:szCs w:val="20"/>
                <w:u w:color="000000"/>
                <w:lang w:val="en-US" w:eastAsia="zh-TW" w:bidi="ar"/>
              </w:rPr>
              <w:t xml:space="preserve">), HD (n = </w:t>
            </w:r>
            <w:r>
              <w:rPr>
                <w:rFonts w:hint="eastAsia" w:ascii="Times New Roman" w:hAnsi="Times New Roman" w:eastAsia="Arial Unicode MS" w:cs="Arial Unicode MS"/>
                <w:color w:val="424242"/>
                <w:kern w:val="0"/>
                <w:sz w:val="20"/>
                <w:szCs w:val="20"/>
                <w:u w:color="000000"/>
                <w:lang w:val="en-US" w:eastAsia="zh-CN" w:bidi="ar"/>
              </w:rPr>
              <w:t>153</w:t>
            </w:r>
            <w:r>
              <w:rPr>
                <w:rFonts w:hint="default" w:ascii="Times New Roman" w:hAnsi="Times New Roman" w:eastAsia="Arial Unicode MS" w:cs="Arial Unicode MS"/>
                <w:color w:val="424242"/>
                <w:kern w:val="0"/>
                <w:sz w:val="20"/>
                <w:szCs w:val="20"/>
                <w:u w:color="000000"/>
                <w:lang w:val="en-US" w:eastAsia="zh-TW" w:bidi="ar"/>
              </w:rPr>
              <w:t>)</w:t>
            </w:r>
          </w:p>
        </w:tc>
        <w:tc>
          <w:tcPr>
            <w:tcW w:w="6094" w:type="dxa"/>
            <w:gridSpan w:val="3"/>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Patients older than 70 years old</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424242"/>
                <w:kern w:val="0"/>
                <w:sz w:val="20"/>
                <w:szCs w:val="20"/>
                <w:u w:color="000000"/>
                <w:lang w:val="en-US" w:eastAsia="zh-TW" w:bidi="ar"/>
              </w:rPr>
              <w:t xml:space="preserve">PD(n = </w:t>
            </w:r>
            <w:r>
              <w:rPr>
                <w:rFonts w:hint="eastAsia" w:ascii="Times New Roman" w:hAnsi="Times New Roman" w:eastAsia="Arial Unicode MS" w:cs="Arial Unicode MS"/>
                <w:color w:val="424242"/>
                <w:kern w:val="0"/>
                <w:sz w:val="20"/>
                <w:szCs w:val="20"/>
                <w:u w:color="000000"/>
                <w:lang w:val="en-US" w:eastAsia="zh-CN" w:bidi="ar"/>
              </w:rPr>
              <w:t>19</w:t>
            </w:r>
            <w:r>
              <w:rPr>
                <w:rFonts w:hint="default" w:ascii="Times New Roman" w:hAnsi="Times New Roman" w:eastAsia="Arial Unicode MS" w:cs="Arial Unicode MS"/>
                <w:color w:val="424242"/>
                <w:kern w:val="0"/>
                <w:sz w:val="20"/>
                <w:szCs w:val="20"/>
                <w:u w:color="000000"/>
                <w:lang w:val="en-US" w:eastAsia="zh-TW" w:bidi="ar"/>
              </w:rPr>
              <w:t xml:space="preserve">), HD(n = </w:t>
            </w:r>
            <w:r>
              <w:rPr>
                <w:rFonts w:hint="eastAsia" w:ascii="Times New Roman" w:hAnsi="Times New Roman" w:eastAsia="Arial Unicode MS" w:cs="Arial Unicode MS"/>
                <w:color w:val="424242"/>
                <w:kern w:val="0"/>
                <w:sz w:val="20"/>
                <w:szCs w:val="20"/>
                <w:u w:color="000000"/>
                <w:lang w:val="en-US" w:eastAsia="zh-CN" w:bidi="ar"/>
              </w:rPr>
              <w:t>55</w:t>
            </w:r>
            <w:r>
              <w:rPr>
                <w:rFonts w:hint="default" w:ascii="Times New Roman" w:hAnsi="Times New Roman" w:eastAsia="Arial Unicode MS" w:cs="Arial Unicode MS"/>
                <w:color w:val="424242"/>
                <w:kern w:val="0"/>
                <w:sz w:val="20"/>
                <w:szCs w:val="20"/>
                <w:u w:color="000000"/>
                <w:lang w:val="en-US" w:eastAsia="zh-TW" w:bidi="ar"/>
              </w:rPr>
              <w: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404" w:hRule="atLeast"/>
        </w:trPr>
        <w:tc>
          <w:tcPr>
            <w:tcW w:w="2553"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p>
        </w:tc>
        <w:tc>
          <w:tcPr>
            <w:tcW w:w="1623"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Univariate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865"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875"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PSM-</w:t>
            </w:r>
            <w:r>
              <w:rPr>
                <w:rFonts w:hint="default" w:ascii="Times New Roman" w:hAnsi="Times New Roman" w:eastAsia="Arial Unicode MS" w:cs="Arial Unicode MS"/>
                <w:color w:val="424242"/>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847"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en-US" w:eastAsia="zh-TW" w:bidi="ar"/>
              </w:rPr>
              <w:t>Univariate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1847"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sz w:val="20"/>
                <w:szCs w:val="20"/>
                <w:lang w:eastAsia="zh-TW"/>
              </w:rPr>
            </w:pPr>
            <w:r>
              <w:rPr>
                <w:rFonts w:hint="default" w:ascii="Times New Roman" w:hAnsi="Times New Roman" w:eastAsia="Arial Unicode MS" w:cs="Arial Unicode MS"/>
                <w:color w:val="000000"/>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c>
          <w:tcPr>
            <w:tcW w:w="2400" w:type="dxa"/>
            <w:tcBorders>
              <w:top w:val="single" w:color="000000" w:sz="4" w:space="0"/>
              <w:left w:val="nil"/>
              <w:bottom w:val="single" w:color="000000" w:sz="4" w:space="0"/>
              <w:right w:val="nil"/>
            </w:tcBorders>
            <w:shd w:val="clear" w:color="auto" w:fill="auto"/>
            <w:tcMar>
              <w:top w:w="80" w:type="dxa"/>
              <w:left w:w="80" w:type="dxa"/>
              <w:bottom w:w="80" w:type="dxa"/>
              <w:right w:w="80"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ascii="Times New Roman" w:hAnsi="Times New Roman" w:eastAsia="Times New Roman" w:cs="Times New Roman"/>
                <w:color w:val="424242"/>
                <w:sz w:val="20"/>
                <w:szCs w:val="20"/>
                <w:lang w:eastAsia="zh-TW"/>
              </w:rPr>
            </w:pPr>
            <w:r>
              <w:rPr>
                <w:rFonts w:hint="default" w:ascii="Times New Roman" w:hAnsi="Times New Roman" w:eastAsia="Arial Unicode MS" w:cs="Arial Unicode MS"/>
                <w:color w:val="424242"/>
                <w:kern w:val="0"/>
                <w:sz w:val="20"/>
                <w:szCs w:val="20"/>
                <w:u w:color="000000"/>
                <w:lang w:val="en-US" w:eastAsia="zh-TW" w:bidi="ar"/>
              </w:rPr>
              <w:t>PSM-</w:t>
            </w:r>
            <w:r>
              <w:rPr>
                <w:rFonts w:hint="default" w:ascii="Times New Roman" w:hAnsi="Times New Roman" w:eastAsia="Arial Unicode MS" w:cs="Arial Unicode MS"/>
                <w:color w:val="424242"/>
                <w:kern w:val="0"/>
                <w:sz w:val="20"/>
                <w:szCs w:val="20"/>
                <w:u w:color="000000"/>
                <w:lang w:val="zh-CN" w:eastAsia="zh-CN" w:bidi="ar"/>
              </w:rPr>
              <w:t>Multivariate</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center"/>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HR(95% CI)</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single" w:color="000000" w:sz="4" w:space="0"/>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Dialysis begin age(per 1 year)</w:t>
            </w:r>
          </w:p>
        </w:tc>
        <w:tc>
          <w:tcPr>
            <w:tcW w:w="1623"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1.04(1.01-1.09)</w:t>
            </w:r>
          </w:p>
        </w:tc>
        <w:tc>
          <w:tcPr>
            <w:tcW w:w="1865"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1.04(1.00-1.08)</w:t>
            </w:r>
          </w:p>
        </w:tc>
        <w:tc>
          <w:tcPr>
            <w:tcW w:w="1875"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1.04(0.99-1.08)</w:t>
            </w:r>
          </w:p>
        </w:tc>
        <w:tc>
          <w:tcPr>
            <w:tcW w:w="1847"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1.02(0.94-1.10)</w:t>
            </w:r>
          </w:p>
        </w:tc>
        <w:tc>
          <w:tcPr>
            <w:tcW w:w="1847"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1.01(0.92-1.11)</w:t>
            </w:r>
          </w:p>
        </w:tc>
        <w:tc>
          <w:tcPr>
            <w:tcW w:w="2400" w:type="dxa"/>
            <w:tcBorders>
              <w:top w:val="single" w:color="000000" w:sz="4" w:space="0"/>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0.82(0.56-1.19)</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Sex(female vs male)</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0.78(0.39-1.57)</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0.66(0.30-1.44)</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0.63(0.26-1.49)</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0.88(0.43-1.79)</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1.32(0.54-3.22)</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0.01(0.00-0.41)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Diabetes(n)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2.15(1.09-4.26)</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0.89(0.26-3.06)</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1.00(0.22-4.56)</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0.95(0.47-1.94)</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1.83(0.58-5.80)</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1823.64(1.85-1796116.29)</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Hypertension(n)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5.07(0.69-37.08)</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3.31(0.43-25.41)</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eastAsia" w:ascii="Helvetica" w:hAnsi="Helvetica" w:eastAsia="Helvetica" w:cs="Helvetica"/>
                <w:i w:val="0"/>
                <w:color w:val="333333"/>
                <w:spacing w:val="0"/>
                <w:kern w:val="0"/>
                <w:sz w:val="19"/>
                <w:szCs w:val="19"/>
                <w:lang w:val="en-US" w:eastAsia="zh-CN" w:bidi="ar"/>
              </w:rPr>
              <w:t>(0-I</w:t>
            </w:r>
            <w:r>
              <w:rPr>
                <w:rFonts w:hint="eastAsia" w:ascii="Helvetica" w:hAnsi="Helvetica" w:eastAsia="Helvetica" w:cs="Helvetica"/>
                <w:i w:val="0"/>
                <w:caps w:val="0"/>
                <w:color w:val="333333"/>
                <w:spacing w:val="0"/>
                <w:kern w:val="0"/>
                <w:sz w:val="19"/>
                <w:szCs w:val="19"/>
                <w:lang w:val="en-US" w:eastAsia="zh-CN" w:bidi="ar"/>
              </w:rPr>
              <w:t>nf)</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eastAsia" w:ascii="Helvetica" w:hAnsi="Helvetica" w:eastAsia="Helvetica" w:cs="Helvetica"/>
                <w:i w:val="0"/>
                <w:color w:val="333333"/>
                <w:spacing w:val="0"/>
                <w:kern w:val="0"/>
                <w:sz w:val="19"/>
                <w:szCs w:val="19"/>
                <w:lang w:val="en-US" w:eastAsia="zh-CN" w:bidi="ar"/>
              </w:rPr>
              <w:t>(0-I</w:t>
            </w:r>
            <w:r>
              <w:rPr>
                <w:rFonts w:hint="eastAsia" w:ascii="Helvetica" w:hAnsi="Helvetica" w:eastAsia="Helvetica" w:cs="Helvetica"/>
                <w:i w:val="0"/>
                <w:caps w:val="0"/>
                <w:color w:val="333333"/>
                <w:spacing w:val="0"/>
                <w:kern w:val="0"/>
                <w:sz w:val="19"/>
                <w:szCs w:val="19"/>
                <w:lang w:val="en-US" w:eastAsia="zh-CN" w:bidi="ar"/>
              </w:rPr>
              <w:t>nf)</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eastAsia" w:ascii="Helvetica" w:hAnsi="Helvetica" w:eastAsia="Helvetica" w:cs="Helvetica"/>
                <w:i w:val="0"/>
                <w:color w:val="333333"/>
                <w:spacing w:val="0"/>
                <w:kern w:val="0"/>
                <w:sz w:val="19"/>
                <w:szCs w:val="19"/>
                <w:lang w:val="en-US" w:eastAsia="zh-CN" w:bidi="ar"/>
              </w:rPr>
              <w:t>(0-I</w:t>
            </w:r>
            <w:r>
              <w:rPr>
                <w:rFonts w:hint="eastAsia" w:ascii="Helvetica" w:hAnsi="Helvetica" w:eastAsia="Helvetica" w:cs="Helvetica"/>
                <w:i w:val="0"/>
                <w:caps w:val="0"/>
                <w:color w:val="333333"/>
                <w:spacing w:val="0"/>
                <w:kern w:val="0"/>
                <w:sz w:val="19"/>
                <w:szCs w:val="19"/>
                <w:lang w:val="en-US" w:eastAsia="zh-CN" w:bidi="ar"/>
              </w:rPr>
              <w:t>nf)</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eastAsia" w:ascii="Helvetica" w:hAnsi="Helvetica" w:eastAsia="Helvetica" w:cs="Helvetica"/>
                <w:i w:val="0"/>
                <w:color w:val="333333"/>
                <w:spacing w:val="0"/>
                <w:kern w:val="0"/>
                <w:sz w:val="19"/>
                <w:szCs w:val="19"/>
                <w:lang w:val="en-US" w:eastAsia="zh-CN" w:bidi="ar"/>
              </w:rPr>
              <w:t>(0-I</w:t>
            </w:r>
            <w:r>
              <w:rPr>
                <w:rFonts w:hint="eastAsia" w:ascii="Helvetica" w:hAnsi="Helvetica" w:eastAsia="Helvetica" w:cs="Helvetica"/>
                <w:i w:val="0"/>
                <w:caps w:val="0"/>
                <w:color w:val="333333"/>
                <w:spacing w:val="0"/>
                <w:kern w:val="0"/>
                <w:sz w:val="19"/>
                <w:szCs w:val="19"/>
                <w:lang w:val="en-US" w:eastAsia="zh-CN" w:bidi="ar"/>
              </w:rPr>
              <w:t>nf)</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Charlson Comorbidities Index(CCI)</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1.31(1.09-1.58)</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0.68(0.21-2.20)</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0.74(0.20-2.74)</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0.91(0.68-1.22)</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0.84(0.46-1.53)</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0.30(0.06-1.53)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Congestive heart failure(n)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1.32(0.63-2.77)</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0.69(0.26-1.81)</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0.82(0.29-2.27)</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0.66(0.31-1.38)</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1.05(0.38-2.94)</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5.82(0.32-106.22)</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Cerebrovascular disease(n)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1.76(0.61-5.03)</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0.83(0.22-3.10)</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0.73(0.15-3.52)</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1.18(0.58-2.42)</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0.96(0.32-2.87)</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8.17(0.72-92.63)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134"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Chronic pulmonary disease(n)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1.17(0.28-4.88)</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0.82(0.17-3.95)</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0.83(0.15-4.55)</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1.46(0.60-3.58)</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1.18(0.39-3.60)</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0.60(0.08-4.46)</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Cardiovascular disease(n)</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3.52(1.45-8.55)</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2.79(0.98-7.90)</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2.41(0.75-7.73)</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0.59(0.24-1.47)</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0.56(0.16-1.99)</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0.70(0.07-6.81)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18"/>
                <w:szCs w:val="20"/>
                <w:lang w:val="en-US"/>
              </w:rPr>
            </w:pPr>
            <w:r>
              <w:rPr>
                <w:rFonts w:hint="default" w:ascii="Times New Roman" w:hAnsi="Times New Roman" w:eastAsia="Arial Unicode MS" w:cs="Arial Unicode MS"/>
                <w:color w:val="000000"/>
                <w:kern w:val="0"/>
                <w:sz w:val="20"/>
                <w:szCs w:val="20"/>
                <w:lang w:val="en-US" w:eastAsia="zh-CN" w:bidi="ar"/>
              </w:rPr>
              <w:t>Body mass index(per 1kg/m2)</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1.06(0.98-1.15)</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1.02(0.93-1.12)</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1.00(0.90-1.11)</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0.86(0.76-0.97)</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0.83(0.71-0.97)</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0.53(0.32-0.88)</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Hemoglobin(per 1g/L)</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1.01(0.99-1.02)</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1.01(0.99-1.03)</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1.01(0.99-1.03)</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1.00(0.98-1.01)</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1.00(0.98-1.02)</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1.11(1.02-1.22)</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Plasma albumin(per 1g/L)</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0.99(0.93-1.05)</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0.99(0.92-1.06)</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0.98(0.90-1.05)</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0.96(0.89-1.04)</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0.97(0.88-1.06)</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1.14(0.93-1.41)</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8" w:type="dxa"/>
            <w:bottom w:w="0" w:type="dxa"/>
            <w:right w:w="108" w:type="dxa"/>
          </w:tblCellMar>
        </w:tblPrEx>
        <w:trPr>
          <w:trHeight w:val="94"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Triglyceride(per 1mmol/L)</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1.19(0.72-1.96)</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0.77(0.39-1.53)</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0.95(0.48-1.90)</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1.18(0.81-1.72)</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1.44(0.84-2.48)</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8.60(1.72-43.09)</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nil"/>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Cholesterol(per 1mmol/L)</w:t>
            </w:r>
          </w:p>
        </w:tc>
        <w:tc>
          <w:tcPr>
            <w:tcW w:w="1623"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1.39(1.10-1.75)</w:t>
            </w:r>
          </w:p>
        </w:tc>
        <w:tc>
          <w:tcPr>
            <w:tcW w:w="186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1.52(1.17-1.97)</w:t>
            </w:r>
          </w:p>
        </w:tc>
        <w:tc>
          <w:tcPr>
            <w:tcW w:w="1875"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b/>
                <w:bCs/>
                <w:i w:val="0"/>
                <w:caps w:val="0"/>
                <w:color w:val="333333"/>
                <w:spacing w:val="0"/>
                <w:kern w:val="0"/>
                <w:sz w:val="19"/>
                <w:szCs w:val="19"/>
                <w:lang w:val="en-US" w:eastAsia="zh-CN" w:bidi="ar"/>
              </w:rPr>
              <w:t>1.46(1.10-1.94)</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1.01(0.67-1.51)</w:t>
            </w:r>
          </w:p>
        </w:tc>
        <w:tc>
          <w:tcPr>
            <w:tcW w:w="1847"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1.12(0.68-1.83)</w:t>
            </w:r>
          </w:p>
        </w:tc>
        <w:tc>
          <w:tcPr>
            <w:tcW w:w="2400" w:type="dxa"/>
            <w:tcBorders>
              <w:top w:val="nil"/>
              <w:left w:val="nil"/>
              <w:bottom w:val="nil"/>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1.87(0.78-4.47)</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DEB"/>
          <w:tblCellMar>
            <w:top w:w="0" w:type="dxa"/>
            <w:left w:w="108" w:type="dxa"/>
            <w:bottom w:w="0" w:type="dxa"/>
            <w:right w:w="108" w:type="dxa"/>
          </w:tblCellMar>
        </w:tblPrEx>
        <w:trPr>
          <w:trHeight w:val="90" w:hRule="atLeast"/>
        </w:trPr>
        <w:tc>
          <w:tcPr>
            <w:tcW w:w="2553" w:type="dxa"/>
            <w:tcBorders>
              <w:top w:val="nil"/>
              <w:left w:val="nil"/>
              <w:bottom w:val="single" w:color="000000" w:sz="4" w:space="0"/>
              <w:right w:val="nil"/>
            </w:tcBorders>
            <w:shd w:val="clear" w:color="auto" w:fill="auto"/>
            <w:tcMar>
              <w:top w:w="80" w:type="dxa"/>
              <w:left w:w="80" w:type="dxa"/>
              <w:bottom w:w="80" w:type="dxa"/>
              <w:right w:w="80" w:type="dxa"/>
            </w:tcMar>
            <w:vAlign w:val="top"/>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right="0"/>
              <w:jc w:val="left"/>
              <w:textAlignment w:val="auto"/>
              <w:rPr>
                <w:rFonts w:hint="default"/>
                <w:sz w:val="21"/>
                <w:szCs w:val="20"/>
                <w:lang w:eastAsia="zh-TW"/>
              </w:rPr>
            </w:pPr>
            <w:r>
              <w:rPr>
                <w:rFonts w:hint="default" w:ascii="Times New Roman" w:hAnsi="Times New Roman" w:eastAsia="Arial Unicode MS" w:cs="Arial Unicode MS"/>
                <w:color w:val="000000"/>
                <w:kern w:val="0"/>
                <w:sz w:val="20"/>
                <w:szCs w:val="20"/>
                <w:u w:color="000000"/>
                <w:lang w:val="en-US" w:eastAsia="zh-TW" w:bidi="ar"/>
              </w:rPr>
              <w:t>Dialysis Methods(HDvsPD)</w:t>
            </w:r>
          </w:p>
        </w:tc>
        <w:tc>
          <w:tcPr>
            <w:tcW w:w="1623"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1.31(0.66-2.58)</w:t>
            </w:r>
          </w:p>
        </w:tc>
        <w:tc>
          <w:tcPr>
            <w:tcW w:w="1865"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1.38(0.66-2.87)</w:t>
            </w:r>
          </w:p>
        </w:tc>
        <w:tc>
          <w:tcPr>
            <w:tcW w:w="1875"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b/>
                <w:bC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1.38(0.63-3.03)</w:t>
            </w:r>
          </w:p>
        </w:tc>
        <w:tc>
          <w:tcPr>
            <w:tcW w:w="1847"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0.60(0.27-1.32)</w:t>
            </w:r>
          </w:p>
        </w:tc>
        <w:tc>
          <w:tcPr>
            <w:tcW w:w="1847"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0.40(0.13-1.21)</w:t>
            </w:r>
          </w:p>
        </w:tc>
        <w:tc>
          <w:tcPr>
            <w:tcW w:w="2400" w:type="dxa"/>
            <w:tcBorders>
              <w:top w:val="nil"/>
              <w:left w:val="nil"/>
              <w:bottom w:val="single" w:color="000000" w:sz="4" w:space="0"/>
              <w:right w:val="nil"/>
            </w:tcBorders>
            <w:shd w:val="clear" w:color="auto" w:fill="auto"/>
            <w:tcMar>
              <w:top w:w="80" w:type="dxa"/>
              <w:left w:w="80" w:type="dxa"/>
              <w:bottom w:w="80" w:type="dxa"/>
              <w:right w:w="8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0" w:lineRule="atLeast"/>
              <w:ind w:left="0" w:leftChars="0" w:right="0" w:firstLine="0" w:firstLineChars="0"/>
              <w:jc w:val="center"/>
              <w:textAlignment w:val="auto"/>
              <w:rPr>
                <w:rFonts w:hint="default" w:ascii="Times New Roman" w:hAnsi="Times New Roman" w:eastAsia="Arial Unicode MS" w:cs="Arial Unicode MS"/>
                <w:color w:val="000000"/>
                <w:kern w:val="0"/>
                <w:sz w:val="20"/>
                <w:szCs w:val="20"/>
                <w:u w:color="000000"/>
                <w:lang w:val="en-US" w:eastAsia="zh-TW" w:bidi="ar"/>
              </w:rPr>
            </w:pPr>
            <w:r>
              <w:rPr>
                <w:rFonts w:hint="default" w:ascii="Helvetica" w:hAnsi="Helvetica" w:eastAsia="Helvetica" w:cs="Helvetica"/>
                <w:i w:val="0"/>
                <w:caps w:val="0"/>
                <w:color w:val="333333"/>
                <w:spacing w:val="0"/>
                <w:kern w:val="0"/>
                <w:sz w:val="19"/>
                <w:szCs w:val="19"/>
                <w:lang w:val="en-US" w:eastAsia="zh-CN" w:bidi="ar"/>
              </w:rPr>
              <w:t>0.14(0.01-1.42)</w:t>
            </w:r>
          </w:p>
        </w:tc>
      </w:tr>
    </w:tbl>
    <w:p>
      <w:pPr>
        <w:pStyle w:val="7"/>
        <w:widowControl/>
        <w:numPr>
          <w:ilvl w:val="0"/>
          <w:numId w:val="2"/>
        </w:numPr>
        <w:ind w:left="360" w:hanging="360"/>
        <w:jc w:val="left"/>
        <w:rPr>
          <w:rFonts w:hint="default"/>
          <w:color w:val="000000"/>
          <w:sz w:val="22"/>
          <w:szCs w:val="22"/>
          <w:lang w:val="en-US"/>
        </w:rPr>
      </w:pPr>
      <w:r>
        <w:rPr>
          <w:rFonts w:hint="default"/>
          <w:color w:val="000000"/>
          <w:sz w:val="22"/>
          <w:szCs w:val="22"/>
          <w:lang w:val="en-US"/>
        </w:rPr>
        <w:t>PSM, Propensity score matching; HR, hazard ratio; 95% CI, 95% confidence interval; PD, Peritoneal dialysis; HD, Hemodialysis.</w:t>
      </w:r>
    </w:p>
    <w:p>
      <w:pPr>
        <w:pStyle w:val="7"/>
        <w:widowControl/>
        <w:numPr>
          <w:ilvl w:val="0"/>
          <w:numId w:val="2"/>
        </w:numPr>
        <w:ind w:left="360" w:hanging="360"/>
        <w:jc w:val="left"/>
        <w:rPr>
          <w:color w:val="000000"/>
          <w:sz w:val="22"/>
          <w:szCs w:val="22"/>
          <w:lang w:val="en-US"/>
        </w:rPr>
      </w:pPr>
      <w:r>
        <w:rPr>
          <w:color w:val="000000"/>
          <w:sz w:val="22"/>
          <w:szCs w:val="22"/>
          <w:lang w:val="en-US"/>
        </w:rPr>
        <w:t>Variables adjusted in m</w:t>
      </w:r>
      <w:r>
        <w:rPr>
          <w:color w:val="000000"/>
          <w:sz w:val="22"/>
          <w:szCs w:val="22"/>
          <w:lang w:val="zh-TW" w:eastAsia="zh-TW"/>
        </w:rPr>
        <w:t>ultivariate</w:t>
      </w:r>
      <w:r>
        <w:rPr>
          <w:color w:val="000000"/>
          <w:sz w:val="22"/>
          <w:szCs w:val="22"/>
          <w:lang w:val="en-US"/>
        </w:rPr>
        <w:t xml:space="preserve"> Cox regression model for both subgroups: sex, age of dialysis initiation, cerebrovascular disease, congestive heart failure, chronic pulmonary disease, cardiovascular diseases, CCI, primary disease of renal failure (glomerulonephritis or polycystic kidney disease), body mass index, plasma albumin, cholesterol, and hemoglobin.</w:t>
      </w:r>
    </w:p>
    <w:p>
      <w:pPr>
        <w:pStyle w:val="7"/>
        <w:widowControl/>
        <w:numPr>
          <w:ilvl w:val="0"/>
          <w:numId w:val="2"/>
        </w:numPr>
        <w:ind w:left="360" w:hanging="360"/>
        <w:jc w:val="left"/>
      </w:pPr>
      <w:r>
        <w:rPr>
          <w:color w:val="000000"/>
          <w:sz w:val="22"/>
          <w:szCs w:val="22"/>
          <w:lang w:val="en-US"/>
        </w:rPr>
        <w:t>The characteristics used in PSM included: sex, age of dialysis initiation, cerebrovascular disease, congestive heart failure, chronic pulmonary disease, cardiovascular diseases, CCI, primary disease of renal failure (glomerulonephritis or polycystic kidney disease), body mass index, plasma albumin, cholesterol, and hemoglobin.</w:t>
      </w:r>
    </w:p>
    <w:sectPr>
      <w:pgSz w:w="16838" w:h="11906" w:orient="landscape"/>
      <w:pgMar w:top="567" w:right="1440" w:bottom="567"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543E0A"/>
    <w:multiLevelType w:val="multilevel"/>
    <w:tmpl w:val="DE543E0A"/>
    <w:lvl w:ilvl="0" w:tentative="0">
      <w:start w:val="1"/>
      <w:numFmt w:val="decimal"/>
      <w:lvlText w:val="%1."/>
      <w:lvlJc w:val="left"/>
      <w:pPr>
        <w:shd w:val="clear" w:fill="auto"/>
        <w:ind w:left="360" w:hanging="360"/>
        <w:textAlignment w:val="baseline"/>
      </w:pPr>
      <w:rPr>
        <w:rFonts w:hAnsi="Arial Unicode MS"/>
        <w:caps w:val="0"/>
        <w:strike w:val="0"/>
        <w:dstrike w:val="0"/>
        <w:outline w:val="0"/>
        <w:spacing w:val="0"/>
        <w:w w:val="100"/>
        <w:kern w:val="0"/>
        <w:position w:val="0"/>
        <w:highlight w:val="none"/>
        <w:u w:val="none"/>
      </w:rPr>
    </w:lvl>
    <w:lvl w:ilvl="1" w:tentative="0">
      <w:start w:val="1"/>
      <w:numFmt w:val="lowerLetter"/>
      <w:lvlText w:val="%2)"/>
      <w:lvlJc w:val="left"/>
      <w:pPr>
        <w:shd w:val="clear" w:fill="auto"/>
        <w:ind w:left="960" w:hanging="480"/>
        <w:textAlignment w:val="baseline"/>
      </w:pPr>
      <w:rPr>
        <w:rFonts w:hAnsi="Arial Unicode MS"/>
        <w:caps w:val="0"/>
        <w:strike w:val="0"/>
        <w:dstrike w:val="0"/>
        <w:outline w:val="0"/>
        <w:spacing w:val="0"/>
        <w:w w:val="100"/>
        <w:kern w:val="0"/>
        <w:position w:val="0"/>
        <w:highlight w:val="none"/>
        <w:u w:val="none"/>
      </w:rPr>
    </w:lvl>
    <w:lvl w:ilvl="2" w:tentative="0">
      <w:start w:val="1"/>
      <w:numFmt w:val="lowerRoman"/>
      <w:lvlText w:val="%3."/>
      <w:lvlJc w:val="left"/>
      <w:pPr>
        <w:shd w:val="clear" w:fill="auto"/>
        <w:ind w:left="1440" w:hanging="576"/>
        <w:textAlignment w:val="baseline"/>
      </w:pPr>
      <w:rPr>
        <w:rFonts w:hAnsi="Arial Unicode MS"/>
        <w:caps w:val="0"/>
        <w:strike w:val="0"/>
        <w:dstrike w:val="0"/>
        <w:outline w:val="0"/>
        <w:spacing w:val="0"/>
        <w:w w:val="100"/>
        <w:kern w:val="0"/>
        <w:position w:val="0"/>
        <w:highlight w:val="none"/>
        <w:u w:val="none"/>
      </w:rPr>
    </w:lvl>
    <w:lvl w:ilvl="3" w:tentative="0">
      <w:start w:val="1"/>
      <w:numFmt w:val="decimal"/>
      <w:lvlText w:val="%4."/>
      <w:lvlJc w:val="left"/>
      <w:pPr>
        <w:shd w:val="clear" w:fill="auto"/>
        <w:ind w:left="1920" w:hanging="480"/>
        <w:textAlignment w:val="baseline"/>
      </w:pPr>
      <w:rPr>
        <w:rFonts w:hAnsi="Arial Unicode MS"/>
        <w:caps w:val="0"/>
        <w:strike w:val="0"/>
        <w:dstrike w:val="0"/>
        <w:outline w:val="0"/>
        <w:spacing w:val="0"/>
        <w:w w:val="100"/>
        <w:kern w:val="0"/>
        <w:position w:val="0"/>
        <w:highlight w:val="none"/>
        <w:u w:val="none"/>
      </w:rPr>
    </w:lvl>
    <w:lvl w:ilvl="4" w:tentative="0">
      <w:start w:val="1"/>
      <w:numFmt w:val="lowerLetter"/>
      <w:lvlText w:val="%5)"/>
      <w:lvlJc w:val="left"/>
      <w:pPr>
        <w:shd w:val="clear" w:fill="auto"/>
        <w:ind w:left="2400" w:hanging="480"/>
        <w:textAlignment w:val="baseline"/>
      </w:pPr>
      <w:rPr>
        <w:rFonts w:hAnsi="Arial Unicode MS"/>
        <w:caps w:val="0"/>
        <w:strike w:val="0"/>
        <w:dstrike w:val="0"/>
        <w:outline w:val="0"/>
        <w:spacing w:val="0"/>
        <w:w w:val="100"/>
        <w:kern w:val="0"/>
        <w:position w:val="0"/>
        <w:highlight w:val="none"/>
        <w:u w:val="none"/>
      </w:rPr>
    </w:lvl>
    <w:lvl w:ilvl="5" w:tentative="0">
      <w:start w:val="1"/>
      <w:numFmt w:val="lowerRoman"/>
      <w:lvlText w:val="%6."/>
      <w:lvlJc w:val="left"/>
      <w:pPr>
        <w:shd w:val="clear" w:fill="auto"/>
        <w:ind w:left="2880" w:hanging="576"/>
        <w:textAlignment w:val="baseline"/>
      </w:pPr>
      <w:rPr>
        <w:rFonts w:hAnsi="Arial Unicode MS"/>
        <w:caps w:val="0"/>
        <w:strike w:val="0"/>
        <w:dstrike w:val="0"/>
        <w:outline w:val="0"/>
        <w:spacing w:val="0"/>
        <w:w w:val="100"/>
        <w:kern w:val="0"/>
        <w:position w:val="0"/>
        <w:highlight w:val="none"/>
        <w:u w:val="none"/>
      </w:rPr>
    </w:lvl>
    <w:lvl w:ilvl="6" w:tentative="0">
      <w:start w:val="1"/>
      <w:numFmt w:val="decimal"/>
      <w:lvlText w:val="%7."/>
      <w:lvlJc w:val="left"/>
      <w:pPr>
        <w:shd w:val="clear" w:fill="auto"/>
        <w:ind w:left="3360" w:hanging="480"/>
        <w:textAlignment w:val="baseline"/>
      </w:pPr>
      <w:rPr>
        <w:rFonts w:hAnsi="Arial Unicode MS"/>
        <w:caps w:val="0"/>
        <w:strike w:val="0"/>
        <w:dstrike w:val="0"/>
        <w:outline w:val="0"/>
        <w:spacing w:val="0"/>
        <w:w w:val="100"/>
        <w:kern w:val="0"/>
        <w:position w:val="0"/>
        <w:highlight w:val="none"/>
        <w:u w:val="none"/>
      </w:rPr>
    </w:lvl>
    <w:lvl w:ilvl="7" w:tentative="0">
      <w:start w:val="1"/>
      <w:numFmt w:val="lowerLetter"/>
      <w:lvlText w:val="%8)"/>
      <w:lvlJc w:val="left"/>
      <w:pPr>
        <w:shd w:val="clear" w:fill="auto"/>
        <w:ind w:left="3840" w:hanging="480"/>
        <w:textAlignment w:val="baseline"/>
      </w:pPr>
      <w:rPr>
        <w:rFonts w:hAnsi="Arial Unicode MS"/>
        <w:caps w:val="0"/>
        <w:strike w:val="0"/>
        <w:dstrike w:val="0"/>
        <w:outline w:val="0"/>
        <w:spacing w:val="0"/>
        <w:w w:val="100"/>
        <w:kern w:val="0"/>
        <w:position w:val="0"/>
        <w:highlight w:val="none"/>
        <w:u w:val="none"/>
      </w:rPr>
    </w:lvl>
    <w:lvl w:ilvl="8" w:tentative="0">
      <w:start w:val="1"/>
      <w:numFmt w:val="lowerRoman"/>
      <w:lvlText w:val="%9."/>
      <w:lvlJc w:val="left"/>
      <w:pPr>
        <w:shd w:val="clear" w:fill="auto"/>
        <w:ind w:left="4320" w:hanging="576"/>
        <w:textAlignment w:val="baseline"/>
      </w:pPr>
      <w:rPr>
        <w:rFonts w:hAnsi="Arial Unicode MS"/>
        <w:caps w:val="0"/>
        <w:strike w:val="0"/>
        <w:dstrike w:val="0"/>
        <w:outline w:val="0"/>
        <w:spacing w:val="0"/>
        <w:w w:val="100"/>
        <w:kern w:val="0"/>
        <w:position w:val="0"/>
        <w:highlight w:val="none"/>
        <w:u w:val="none"/>
      </w:rPr>
    </w:lvl>
  </w:abstractNum>
  <w:abstractNum w:abstractNumId="1">
    <w:nsid w:val="E6B33355"/>
    <w:multiLevelType w:val="multilevel"/>
    <w:tmpl w:val="E6B33355"/>
    <w:lvl w:ilvl="0" w:tentative="0">
      <w:start w:val="1"/>
      <w:numFmt w:val="decimal"/>
      <w:lvlText w:val="%1."/>
      <w:lvlJc w:val="left"/>
      <w:pPr>
        <w:shd w:val="clear" w:fill="auto"/>
        <w:ind w:left="360" w:hanging="360"/>
        <w:textAlignment w:val="baseline"/>
      </w:pPr>
      <w:rPr>
        <w:rFonts w:hAnsi="Arial Unicode MS"/>
        <w:caps w:val="0"/>
        <w:strike w:val="0"/>
        <w:dstrike w:val="0"/>
        <w:outline w:val="0"/>
        <w:spacing w:val="0"/>
        <w:w w:val="100"/>
        <w:kern w:val="0"/>
        <w:position w:val="0"/>
        <w:highlight w:val="none"/>
        <w:u w:val="none"/>
      </w:rPr>
    </w:lvl>
    <w:lvl w:ilvl="1" w:tentative="0">
      <w:start w:val="1"/>
      <w:numFmt w:val="lowerLetter"/>
      <w:lvlText w:val="%2)"/>
      <w:lvlJc w:val="left"/>
      <w:pPr>
        <w:shd w:val="clear" w:fill="auto"/>
        <w:ind w:left="960" w:hanging="480"/>
        <w:textAlignment w:val="baseline"/>
      </w:pPr>
      <w:rPr>
        <w:rFonts w:hAnsi="Arial Unicode MS"/>
        <w:caps w:val="0"/>
        <w:strike w:val="0"/>
        <w:dstrike w:val="0"/>
        <w:outline w:val="0"/>
        <w:spacing w:val="0"/>
        <w:w w:val="100"/>
        <w:kern w:val="0"/>
        <w:position w:val="0"/>
        <w:highlight w:val="none"/>
        <w:u w:val="none"/>
      </w:rPr>
    </w:lvl>
    <w:lvl w:ilvl="2" w:tentative="0">
      <w:start w:val="1"/>
      <w:numFmt w:val="lowerRoman"/>
      <w:lvlText w:val="%3."/>
      <w:lvlJc w:val="left"/>
      <w:pPr>
        <w:shd w:val="clear" w:fill="auto"/>
        <w:ind w:left="1440" w:hanging="576"/>
        <w:textAlignment w:val="baseline"/>
      </w:pPr>
      <w:rPr>
        <w:rFonts w:hAnsi="Arial Unicode MS"/>
        <w:caps w:val="0"/>
        <w:strike w:val="0"/>
        <w:dstrike w:val="0"/>
        <w:outline w:val="0"/>
        <w:spacing w:val="0"/>
        <w:w w:val="100"/>
        <w:kern w:val="0"/>
        <w:position w:val="0"/>
        <w:highlight w:val="none"/>
        <w:u w:val="none"/>
      </w:rPr>
    </w:lvl>
    <w:lvl w:ilvl="3" w:tentative="0">
      <w:start w:val="1"/>
      <w:numFmt w:val="decimal"/>
      <w:lvlText w:val="%4."/>
      <w:lvlJc w:val="left"/>
      <w:pPr>
        <w:shd w:val="clear" w:fill="auto"/>
        <w:ind w:left="1920" w:hanging="480"/>
        <w:textAlignment w:val="baseline"/>
      </w:pPr>
      <w:rPr>
        <w:rFonts w:hAnsi="Arial Unicode MS"/>
        <w:caps w:val="0"/>
        <w:strike w:val="0"/>
        <w:dstrike w:val="0"/>
        <w:outline w:val="0"/>
        <w:spacing w:val="0"/>
        <w:w w:val="100"/>
        <w:kern w:val="0"/>
        <w:position w:val="0"/>
        <w:highlight w:val="none"/>
        <w:u w:val="none"/>
      </w:rPr>
    </w:lvl>
    <w:lvl w:ilvl="4" w:tentative="0">
      <w:start w:val="1"/>
      <w:numFmt w:val="lowerLetter"/>
      <w:lvlText w:val="%5)"/>
      <w:lvlJc w:val="left"/>
      <w:pPr>
        <w:shd w:val="clear" w:fill="auto"/>
        <w:ind w:left="2400" w:hanging="480"/>
        <w:textAlignment w:val="baseline"/>
      </w:pPr>
      <w:rPr>
        <w:rFonts w:hAnsi="Arial Unicode MS"/>
        <w:caps w:val="0"/>
        <w:strike w:val="0"/>
        <w:dstrike w:val="0"/>
        <w:outline w:val="0"/>
        <w:spacing w:val="0"/>
        <w:w w:val="100"/>
        <w:kern w:val="0"/>
        <w:position w:val="0"/>
        <w:highlight w:val="none"/>
        <w:u w:val="none"/>
      </w:rPr>
    </w:lvl>
    <w:lvl w:ilvl="5" w:tentative="0">
      <w:start w:val="1"/>
      <w:numFmt w:val="lowerRoman"/>
      <w:lvlText w:val="%6."/>
      <w:lvlJc w:val="left"/>
      <w:pPr>
        <w:shd w:val="clear" w:fill="auto"/>
        <w:ind w:left="2880" w:hanging="576"/>
        <w:textAlignment w:val="baseline"/>
      </w:pPr>
      <w:rPr>
        <w:rFonts w:hAnsi="Arial Unicode MS"/>
        <w:caps w:val="0"/>
        <w:strike w:val="0"/>
        <w:dstrike w:val="0"/>
        <w:outline w:val="0"/>
        <w:spacing w:val="0"/>
        <w:w w:val="100"/>
        <w:kern w:val="0"/>
        <w:position w:val="0"/>
        <w:highlight w:val="none"/>
        <w:u w:val="none"/>
      </w:rPr>
    </w:lvl>
    <w:lvl w:ilvl="6" w:tentative="0">
      <w:start w:val="1"/>
      <w:numFmt w:val="decimal"/>
      <w:lvlText w:val="%7."/>
      <w:lvlJc w:val="left"/>
      <w:pPr>
        <w:shd w:val="clear" w:fill="auto"/>
        <w:ind w:left="3360" w:hanging="480"/>
        <w:textAlignment w:val="baseline"/>
      </w:pPr>
      <w:rPr>
        <w:rFonts w:hAnsi="Arial Unicode MS"/>
        <w:caps w:val="0"/>
        <w:strike w:val="0"/>
        <w:dstrike w:val="0"/>
        <w:outline w:val="0"/>
        <w:spacing w:val="0"/>
        <w:w w:val="100"/>
        <w:kern w:val="0"/>
        <w:position w:val="0"/>
        <w:highlight w:val="none"/>
        <w:u w:val="none"/>
      </w:rPr>
    </w:lvl>
    <w:lvl w:ilvl="7" w:tentative="0">
      <w:start w:val="1"/>
      <w:numFmt w:val="lowerLetter"/>
      <w:lvlText w:val="%8)"/>
      <w:lvlJc w:val="left"/>
      <w:pPr>
        <w:shd w:val="clear" w:fill="auto"/>
        <w:ind w:left="3840" w:hanging="480"/>
        <w:textAlignment w:val="baseline"/>
      </w:pPr>
      <w:rPr>
        <w:rFonts w:hAnsi="Arial Unicode MS"/>
        <w:caps w:val="0"/>
        <w:strike w:val="0"/>
        <w:dstrike w:val="0"/>
        <w:outline w:val="0"/>
        <w:spacing w:val="0"/>
        <w:w w:val="100"/>
        <w:kern w:val="0"/>
        <w:position w:val="0"/>
        <w:highlight w:val="none"/>
        <w:u w:val="none"/>
      </w:rPr>
    </w:lvl>
    <w:lvl w:ilvl="8" w:tentative="0">
      <w:start w:val="1"/>
      <w:numFmt w:val="lowerRoman"/>
      <w:lvlText w:val="%9."/>
      <w:lvlJc w:val="left"/>
      <w:pPr>
        <w:shd w:val="clear" w:fill="auto"/>
        <w:ind w:left="4320" w:hanging="576"/>
        <w:textAlignment w:val="baseline"/>
      </w:pPr>
      <w:rPr>
        <w:rFonts w:hAnsi="Arial Unicode MS"/>
        <w:caps w:val="0"/>
        <w:strike w:val="0"/>
        <w:dstrike w:val="0"/>
        <w:outline w:val="0"/>
        <w:spacing w:val="0"/>
        <w:w w:val="100"/>
        <w:kern w:val="0"/>
        <w:position w:val="0"/>
        <w:highlight w:val="none"/>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73D"/>
    <w:rsid w:val="004B573D"/>
    <w:rsid w:val="12A204AA"/>
    <w:rsid w:val="193C1111"/>
    <w:rsid w:val="1A2B464E"/>
    <w:rsid w:val="247C40FE"/>
    <w:rsid w:val="2B92203E"/>
    <w:rsid w:val="307251A8"/>
    <w:rsid w:val="33F87DBA"/>
    <w:rsid w:val="427730C1"/>
    <w:rsid w:val="51926845"/>
    <w:rsid w:val="562877F9"/>
    <w:rsid w:val="6C060E34"/>
    <w:rsid w:val="6FBA4A2B"/>
    <w:rsid w:val="7E240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Normal (Web)"/>
    <w:basedOn w:val="1"/>
    <w:uiPriority w:val="0"/>
    <w:rPr>
      <w:sz w:val="24"/>
    </w:rPr>
  </w:style>
  <w:style w:type="paragraph" w:customStyle="1" w:styleId="5">
    <w:name w:val="Table Style 2 A"/>
    <w:basedOn w:val="1"/>
    <w:uiPriority w:val="0"/>
    <w:pPr>
      <w:keepNext w:val="0"/>
      <w:keepLines w:val="0"/>
      <w:widowControl/>
      <w:suppressLineNumbers w:val="0"/>
      <w:spacing w:before="0" w:beforeAutospacing="0" w:after="0" w:afterAutospacing="0"/>
      <w:ind w:left="0" w:right="0"/>
      <w:jc w:val="left"/>
    </w:pPr>
    <w:rPr>
      <w:rFonts w:hint="eastAsia" w:ascii="Arial Unicode MS" w:hAnsi="Arial Unicode MS" w:eastAsia="Arial Unicode MS" w:cs="Arial Unicode MS"/>
      <w:color w:val="000000"/>
      <w:kern w:val="0"/>
      <w:sz w:val="20"/>
      <w:szCs w:val="20"/>
      <w:u w:color="000000"/>
      <w:lang w:val="en-US" w:eastAsia="zh-CN" w:bidi="ar"/>
    </w:rPr>
  </w:style>
  <w:style w:type="paragraph" w:customStyle="1" w:styleId="6">
    <w:name w:val="Body A"/>
    <w:basedOn w:val="1"/>
    <w:uiPriority w:val="0"/>
    <w:pPr>
      <w:keepNext w:val="0"/>
      <w:keepLines w:val="0"/>
      <w:widowControl/>
      <w:suppressLineNumbers w:val="0"/>
      <w:spacing w:before="0" w:beforeAutospacing="0" w:after="0" w:afterAutospacing="0"/>
      <w:ind w:left="0" w:right="0"/>
      <w:jc w:val="left"/>
    </w:pPr>
    <w:rPr>
      <w:rFonts w:hint="default" w:ascii="Helvetica" w:hAnsi="Helvetica" w:eastAsia="Arial Unicode MS" w:cs="Arial Unicode MS"/>
      <w:color w:val="000000"/>
      <w:kern w:val="0"/>
      <w:sz w:val="22"/>
      <w:szCs w:val="22"/>
      <w:u w:color="000000"/>
      <w:lang w:val="en-US" w:eastAsia="zh-CN" w:bidi="ar"/>
    </w:rPr>
  </w:style>
  <w:style w:type="paragraph" w:customStyle="1" w:styleId="7">
    <w:name w:val="msolistparagraph"/>
    <w:basedOn w:val="1"/>
    <w:qFormat/>
    <w:uiPriority w:val="0"/>
    <w:pPr>
      <w:keepNext w:val="0"/>
      <w:keepLines w:val="0"/>
      <w:widowControl/>
      <w:suppressLineNumbers w:val="0"/>
      <w:spacing w:before="0" w:beforeAutospacing="0" w:after="0" w:afterAutospacing="0"/>
      <w:ind w:left="0" w:right="0" w:firstLine="420"/>
      <w:jc w:val="left"/>
    </w:pPr>
    <w:rPr>
      <w:rFonts w:hint="default" w:ascii="Times New Roman" w:hAnsi="Times New Roman" w:eastAsia="Arial Unicode MS" w:cs="Arial Unicode MS"/>
      <w:color w:val="000000"/>
      <w:kern w:val="0"/>
      <w:sz w:val="24"/>
      <w:szCs w:val="24"/>
      <w:u w:color="00000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79</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2020-07-16T14:57:00Z</dcterms:created>
  <dc:creator>DonaldHe</dc:creator>
  <cp:lastModifiedBy>DonaldHe</cp:lastModifiedBy>
  <dcterms:modified xsi:type="dcterms:W3CDTF">2020-07-22T11:13:29Z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