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20" w:line="360" w:lineRule="auto"/>
        <w:jc w:val="left"/>
        <w:rPr>
          <w:rFonts w:hint="eastAsia" w:ascii="Times New Roman" w:hAnsi="Times New Roman" w:eastAsia="宋体" w:cs="Times New Roman"/>
          <w:b/>
          <w:bCs/>
          <w:kern w:val="0"/>
          <w:sz w:val="28"/>
          <w:szCs w:val="28"/>
          <w:lang w:val="en-US" w:eastAsia="zh-CN"/>
        </w:rPr>
      </w:pPr>
      <w:bookmarkStart w:id="1" w:name="_GoBack"/>
      <w:bookmarkStart w:id="0" w:name="OLE_LINK3"/>
      <w:r>
        <w:rPr>
          <w:rFonts w:hint="eastAsia" w:ascii="Times New Roman" w:hAnsi="Times New Roman" w:eastAsia="宋体" w:cs="Times New Roman"/>
          <w:b/>
          <w:bCs/>
          <w:kern w:val="0"/>
          <w:sz w:val="28"/>
          <w:szCs w:val="28"/>
          <w:lang w:val="en-US" w:eastAsia="zh-CN"/>
        </w:rPr>
        <w:t>How to identified the threshold of age-strata?</w:t>
      </w:r>
    </w:p>
    <w:bookmarkEnd w:id="1"/>
    <w:p>
      <w:pPr>
        <w:spacing w:after="120" w:line="360" w:lineRule="auto"/>
        <w:rPr>
          <w:rFonts w:ascii="Times New Roman" w:hAnsi="Times New Roman" w:eastAsia="宋体" w:cs="Times New Roman"/>
          <w:kern w:val="0"/>
          <w:sz w:val="22"/>
        </w:rPr>
      </w:pPr>
      <w:r>
        <w:rPr>
          <w:rFonts w:hint="eastAsia" w:ascii="Times New Roman" w:hAnsi="Times New Roman" w:eastAsia="宋体" w:cs="Times New Roman"/>
          <w:kern w:val="0"/>
          <w:sz w:val="22"/>
          <w:lang w:val="en-US" w:eastAsia="zh-CN"/>
        </w:rPr>
        <w:t xml:space="preserve">Both reviewers mentioned this issue. </w:t>
      </w:r>
      <w:r>
        <w:rPr>
          <w:rFonts w:hint="eastAsia" w:ascii="Times New Roman" w:hAnsi="Times New Roman" w:eastAsia="宋体" w:cs="Times New Roman"/>
          <w:kern w:val="0"/>
          <w:sz w:val="22"/>
        </w:rPr>
        <w:t>We</w:t>
      </w:r>
      <w:r>
        <w:rPr>
          <w:rFonts w:ascii="Times New Roman" w:hAnsi="Times New Roman" w:eastAsia="宋体" w:cs="Times New Roman"/>
          <w:kern w:val="0"/>
          <w:sz w:val="22"/>
        </w:rPr>
        <w:t xml:space="preserve"> apologize for not describing the detailed process of threshold setting.</w:t>
      </w:r>
      <w:r>
        <w:rPr>
          <w:rFonts w:hint="eastAsia" w:ascii="Times New Roman" w:hAnsi="Times New Roman" w:eastAsia="宋体" w:cs="Times New Roman"/>
          <w:kern w:val="0"/>
          <w:sz w:val="22"/>
        </w:rPr>
        <w:t xml:space="preserve"> We agree with </w:t>
      </w:r>
      <w:r>
        <w:rPr>
          <w:rFonts w:hint="default" w:ascii="Times New Roman" w:hAnsi="Times New Roman" w:eastAsia="宋体" w:cs="Times New Roman"/>
          <w:kern w:val="0"/>
          <w:sz w:val="22"/>
          <w:lang w:val="en-US"/>
        </w:rPr>
        <w:t>reviewer2’s</w:t>
      </w:r>
      <w:r>
        <w:rPr>
          <w:rFonts w:hint="eastAsia" w:ascii="Times New Roman" w:hAnsi="Times New Roman" w:eastAsia="宋体" w:cs="Times New Roman"/>
          <w:kern w:val="0"/>
          <w:sz w:val="22"/>
        </w:rPr>
        <w:t xml:space="preserve"> pathway. W</w:t>
      </w:r>
      <w:r>
        <w:rPr>
          <w:rFonts w:ascii="Times New Roman" w:hAnsi="Times New Roman" w:eastAsia="宋体" w:cs="Times New Roman"/>
          <w:kern w:val="0"/>
          <w:sz w:val="22"/>
        </w:rPr>
        <w:t>e verified the interaction of age (continuous) x type of dialysis treatment, and the results suggest that there is interaction</w:t>
      </w:r>
      <w:r>
        <w:rPr>
          <w:rFonts w:hint="eastAsia" w:ascii="Times New Roman" w:hAnsi="Times New Roman" w:eastAsia="宋体" w:cs="Times New Roman"/>
          <w:kern w:val="0"/>
          <w:sz w:val="22"/>
        </w:rPr>
        <w:t>（</w:t>
      </w:r>
      <w:r>
        <w:rPr>
          <w:rFonts w:hint="eastAsia" w:ascii="Times New Roman" w:hAnsi="Times New Roman" w:eastAsia="宋体" w:cs="Times New Roman"/>
          <w:i/>
          <w:kern w:val="0"/>
          <w:sz w:val="22"/>
        </w:rPr>
        <w:t>p</w:t>
      </w:r>
      <w:r>
        <w:rPr>
          <w:rFonts w:hint="eastAsia" w:ascii="Times New Roman" w:hAnsi="Times New Roman" w:eastAsia="宋体" w:cs="Times New Roman"/>
          <w:kern w:val="0"/>
          <w:sz w:val="22"/>
        </w:rPr>
        <w:t>&lt;0.05）</w:t>
      </w:r>
      <w:r>
        <w:rPr>
          <w:rFonts w:ascii="Times New Roman" w:hAnsi="Times New Roman" w:eastAsia="宋体" w:cs="Times New Roman"/>
          <w:kern w:val="0"/>
          <w:sz w:val="22"/>
        </w:rPr>
        <w:t>. Then we divide</w:t>
      </w:r>
      <w:r>
        <w:rPr>
          <w:rFonts w:hint="eastAsia" w:ascii="Times New Roman" w:hAnsi="Times New Roman" w:eastAsia="宋体" w:cs="Times New Roman"/>
          <w:kern w:val="0"/>
          <w:sz w:val="22"/>
        </w:rPr>
        <w:t>d</w:t>
      </w:r>
      <w:r>
        <w:rPr>
          <w:rFonts w:ascii="Times New Roman" w:hAnsi="Times New Roman" w:eastAsia="宋体" w:cs="Times New Roman"/>
          <w:kern w:val="0"/>
          <w:sz w:val="22"/>
        </w:rPr>
        <w:t xml:space="preserve"> the </w:t>
      </w:r>
      <w:r>
        <w:rPr>
          <w:rFonts w:hint="eastAsia" w:ascii="Times New Roman" w:hAnsi="Times New Roman" w:eastAsia="宋体" w:cs="Times New Roman"/>
          <w:kern w:val="0"/>
          <w:sz w:val="22"/>
        </w:rPr>
        <w:t>cases</w:t>
      </w:r>
      <w:r>
        <w:rPr>
          <w:rFonts w:ascii="Times New Roman" w:hAnsi="Times New Roman" w:eastAsia="宋体" w:cs="Times New Roman"/>
          <w:kern w:val="0"/>
          <w:sz w:val="22"/>
        </w:rPr>
        <w:t xml:space="preserve"> into group</w:t>
      </w:r>
      <w:r>
        <w:rPr>
          <w:rFonts w:hint="eastAsia" w:ascii="Times New Roman" w:hAnsi="Times New Roman" w:eastAsia="宋体" w:cs="Times New Roman"/>
          <w:kern w:val="0"/>
          <w:sz w:val="22"/>
        </w:rPr>
        <w:t>s</w:t>
      </w:r>
      <w:r>
        <w:rPr>
          <w:rFonts w:ascii="Times New Roman" w:hAnsi="Times New Roman" w:eastAsia="宋体" w:cs="Times New Roman"/>
          <w:kern w:val="0"/>
          <w:sz w:val="22"/>
        </w:rPr>
        <w:t xml:space="preserve"> every 10</w:t>
      </w:r>
      <w:r>
        <w:rPr>
          <w:rFonts w:hint="eastAsia" w:ascii="Times New Roman" w:hAnsi="Times New Roman" w:eastAsia="宋体" w:cs="Times New Roman"/>
          <w:kern w:val="0"/>
          <w:sz w:val="22"/>
        </w:rPr>
        <w:t>-</w:t>
      </w:r>
      <w:r>
        <w:rPr>
          <w:rFonts w:ascii="Times New Roman" w:hAnsi="Times New Roman" w:eastAsia="宋体" w:cs="Times New Roman"/>
          <w:kern w:val="0"/>
          <w:sz w:val="22"/>
        </w:rPr>
        <w:t>years</w:t>
      </w:r>
      <w:r>
        <w:rPr>
          <w:rFonts w:hint="eastAsia" w:ascii="Times New Roman" w:hAnsi="Times New Roman" w:eastAsia="宋体" w:cs="Times New Roman"/>
          <w:kern w:val="0"/>
          <w:sz w:val="22"/>
        </w:rPr>
        <w:t>-old, to</w:t>
      </w:r>
      <w:r>
        <w:rPr>
          <w:rFonts w:ascii="Times New Roman" w:hAnsi="Times New Roman" w:eastAsia="宋体" w:cs="Times New Roman"/>
          <w:kern w:val="0"/>
          <w:sz w:val="22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2"/>
        </w:rPr>
        <w:t>o</w:t>
      </w:r>
      <w:r>
        <w:rPr>
          <w:rFonts w:ascii="Times New Roman" w:hAnsi="Times New Roman" w:eastAsia="宋体" w:cs="Times New Roman"/>
          <w:kern w:val="0"/>
          <w:sz w:val="22"/>
        </w:rPr>
        <w:t xml:space="preserve">bserve the difference </w:t>
      </w:r>
      <w:r>
        <w:rPr>
          <w:rFonts w:hint="eastAsia" w:ascii="Times New Roman" w:hAnsi="Times New Roman" w:eastAsia="宋体" w:cs="Times New Roman"/>
          <w:kern w:val="0"/>
          <w:sz w:val="22"/>
        </w:rPr>
        <w:t>of</w:t>
      </w:r>
      <w:r>
        <w:rPr>
          <w:rFonts w:ascii="Times New Roman" w:hAnsi="Times New Roman" w:eastAsia="宋体" w:cs="Times New Roman"/>
          <w:kern w:val="0"/>
          <w:sz w:val="22"/>
        </w:rPr>
        <w:t xml:space="preserve"> the hazard ratio of</w:t>
      </w:r>
      <w:r>
        <w:rPr>
          <w:rFonts w:hint="eastAsia" w:ascii="Times New Roman" w:hAnsi="Times New Roman" w:eastAsia="宋体" w:cs="Times New Roman"/>
          <w:kern w:val="0"/>
          <w:sz w:val="22"/>
        </w:rPr>
        <w:t xml:space="preserve"> HD </w:t>
      </w:r>
      <w:r>
        <w:rPr>
          <w:rFonts w:hint="eastAsia" w:ascii="Times New Roman" w:hAnsi="Times New Roman" w:eastAsia="宋体" w:cs="Times New Roman"/>
          <w:i/>
          <w:kern w:val="0"/>
          <w:sz w:val="22"/>
        </w:rPr>
        <w:t>vs.</w:t>
      </w:r>
      <w:r>
        <w:rPr>
          <w:rFonts w:hint="eastAsia" w:ascii="Times New Roman" w:hAnsi="Times New Roman" w:eastAsia="宋体" w:cs="Times New Roman"/>
          <w:kern w:val="0"/>
          <w:sz w:val="22"/>
        </w:rPr>
        <w:t xml:space="preserve"> PD in different age subgroups.</w:t>
      </w:r>
    </w:p>
    <w:p>
      <w:pPr>
        <w:widowControl/>
        <w:spacing w:after="120" w:line="360" w:lineRule="auto"/>
        <w:jc w:val="left"/>
        <w:rPr>
          <w:rFonts w:ascii="Times New Roman" w:hAnsi="Times New Roman" w:eastAsia="宋体" w:cs="Times New Roman"/>
          <w:kern w:val="0"/>
          <w:sz w:val="22"/>
        </w:rPr>
      </w:pPr>
      <w:r>
        <w:rPr>
          <w:rFonts w:ascii="Times New Roman" w:hAnsi="Times New Roman" w:eastAsia="宋体" w:cs="Times New Roman"/>
          <w:kern w:val="0"/>
          <w:sz w:val="22"/>
        </w:rPr>
        <w:drawing>
          <wp:inline distT="0" distB="0" distL="0" distR="0">
            <wp:extent cx="4562475" cy="3239770"/>
            <wp:effectExtent l="0" t="0" r="9525" b="6350"/>
            <wp:docPr id="15" name="图片 15" descr="C:\Users\donal\AppData\Local\Temp\WeChat Files\db7ab7e9ff38c535211bdf49f641d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donal\AppData\Local\Temp\WeChat Files\db7ab7e9ff38c535211bdf49f641d1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275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after="120" w:line="360" w:lineRule="auto"/>
        <w:jc w:val="left"/>
        <w:rPr>
          <w:rFonts w:ascii="Times New Roman" w:hAnsi="Times New Roman" w:eastAsia="宋体" w:cs="Times New Roman"/>
          <w:kern w:val="0"/>
          <w:sz w:val="22"/>
        </w:rPr>
      </w:pPr>
      <w:r>
        <w:rPr>
          <w:rFonts w:ascii="Times New Roman" w:hAnsi="Times New Roman" w:eastAsia="宋体" w:cs="Times New Roman"/>
          <w:kern w:val="0"/>
          <w:sz w:val="22"/>
        </w:rPr>
        <w:t xml:space="preserve">The confidence interval of the young subgroup was too large to be observed and evaluated, so patients </w:t>
      </w:r>
      <w:r>
        <w:rPr>
          <w:rFonts w:hint="eastAsia" w:ascii="Times New Roman" w:hAnsi="Times New Roman" w:eastAsia="宋体" w:cs="Times New Roman"/>
          <w:kern w:val="0"/>
          <w:sz w:val="22"/>
        </w:rPr>
        <w:t xml:space="preserve">who younger than </w:t>
      </w:r>
      <w:r>
        <w:rPr>
          <w:rFonts w:ascii="Times New Roman" w:hAnsi="Times New Roman" w:eastAsia="宋体" w:cs="Times New Roman"/>
          <w:kern w:val="0"/>
          <w:sz w:val="22"/>
        </w:rPr>
        <w:t>50</w:t>
      </w:r>
      <w:r>
        <w:rPr>
          <w:rFonts w:hint="eastAsia" w:ascii="Times New Roman" w:hAnsi="Times New Roman" w:eastAsia="宋体" w:cs="Times New Roman"/>
          <w:kern w:val="0"/>
          <w:sz w:val="22"/>
        </w:rPr>
        <w:t>-</w:t>
      </w:r>
      <w:r>
        <w:rPr>
          <w:rFonts w:ascii="Times New Roman" w:hAnsi="Times New Roman" w:eastAsia="宋体" w:cs="Times New Roman"/>
          <w:kern w:val="0"/>
          <w:sz w:val="22"/>
        </w:rPr>
        <w:t>years</w:t>
      </w:r>
      <w:r>
        <w:rPr>
          <w:rFonts w:hint="eastAsia" w:ascii="Times New Roman" w:hAnsi="Times New Roman" w:eastAsia="宋体" w:cs="Times New Roman"/>
          <w:kern w:val="0"/>
          <w:sz w:val="22"/>
        </w:rPr>
        <w:t xml:space="preserve">-old </w:t>
      </w:r>
      <w:r>
        <w:rPr>
          <w:rFonts w:ascii="Times New Roman" w:hAnsi="Times New Roman" w:eastAsia="宋体" w:cs="Times New Roman"/>
          <w:kern w:val="0"/>
          <w:sz w:val="22"/>
        </w:rPr>
        <w:t>were combined.</w:t>
      </w:r>
    </w:p>
    <w:p>
      <w:pPr>
        <w:widowControl/>
        <w:spacing w:after="120" w:line="360" w:lineRule="auto"/>
        <w:jc w:val="left"/>
        <w:rPr>
          <w:rFonts w:ascii="Times New Roman" w:hAnsi="Times New Roman" w:eastAsia="宋体" w:cs="Times New Roman"/>
          <w:kern w:val="0"/>
          <w:sz w:val="22"/>
        </w:rPr>
      </w:pPr>
      <w:r>
        <w:rPr>
          <w:rFonts w:ascii="Times New Roman" w:hAnsi="Times New Roman" w:eastAsia="宋体" w:cs="Times New Roman"/>
          <w:kern w:val="0"/>
          <w:sz w:val="22"/>
        </w:rPr>
        <w:drawing>
          <wp:inline distT="0" distB="0" distL="0" distR="0">
            <wp:extent cx="4562475" cy="3239770"/>
            <wp:effectExtent l="0" t="0" r="9525" b="6350"/>
            <wp:docPr id="16" name="图片 16" descr="C:\Users\donal\AppData\Local\Temp\WeChat Files\7c6af55f7bfd0ee25a0e656ebad5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donal\AppData\Local\Temp\WeChat Files\7c6af55f7bfd0ee25a0e656ebad535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275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after="120" w:line="360" w:lineRule="auto"/>
        <w:jc w:val="left"/>
        <w:rPr>
          <w:rFonts w:ascii="Times New Roman" w:hAnsi="Times New Roman" w:eastAsia="宋体" w:cs="Times New Roman"/>
          <w:kern w:val="0"/>
          <w:sz w:val="22"/>
        </w:rPr>
      </w:pPr>
      <w:r>
        <w:rPr>
          <w:rFonts w:hint="eastAsia" w:ascii="Times New Roman" w:hAnsi="Times New Roman" w:eastAsia="宋体" w:cs="Times New Roman"/>
          <w:kern w:val="0"/>
          <w:sz w:val="22"/>
        </w:rPr>
        <w:t xml:space="preserve">We can see 60 to 70-years-old group </w:t>
      </w:r>
      <w:r>
        <w:rPr>
          <w:rFonts w:ascii="Times New Roman" w:hAnsi="Times New Roman" w:eastAsia="宋体" w:cs="Times New Roman"/>
          <w:kern w:val="0"/>
          <w:sz w:val="22"/>
        </w:rPr>
        <w:t>may be the cut-off point for the difference in prognosis of</w:t>
      </w:r>
      <w:r>
        <w:rPr>
          <w:rFonts w:hint="eastAsia" w:ascii="Times New Roman" w:hAnsi="Times New Roman" w:eastAsia="宋体" w:cs="Times New Roman"/>
          <w:kern w:val="0"/>
          <w:sz w:val="22"/>
        </w:rPr>
        <w:t xml:space="preserve"> </w:t>
      </w:r>
      <w:r>
        <w:rPr>
          <w:rFonts w:ascii="Times New Roman" w:hAnsi="Times New Roman" w:eastAsia="宋体" w:cs="Times New Roman"/>
          <w:kern w:val="0"/>
          <w:sz w:val="22"/>
        </w:rPr>
        <w:t xml:space="preserve">dialysis methods. Finally, we found that under the subgroups of </w:t>
      </w:r>
      <w:r>
        <w:rPr>
          <w:rFonts w:hint="eastAsia" w:ascii="Times New Roman" w:hAnsi="Times New Roman" w:eastAsia="宋体" w:cs="Times New Roman"/>
          <w:kern w:val="0"/>
          <w:sz w:val="22"/>
        </w:rPr>
        <w:t>≤</w:t>
      </w:r>
      <w:r>
        <w:rPr>
          <w:rFonts w:ascii="Times New Roman" w:hAnsi="Times New Roman" w:eastAsia="宋体" w:cs="Times New Roman"/>
          <w:kern w:val="0"/>
          <w:sz w:val="22"/>
        </w:rPr>
        <w:t>60</w:t>
      </w:r>
      <w:r>
        <w:rPr>
          <w:rFonts w:hint="eastAsia" w:ascii="Times New Roman" w:hAnsi="Times New Roman" w:eastAsia="宋体" w:cs="Times New Roman"/>
          <w:kern w:val="0"/>
          <w:sz w:val="22"/>
        </w:rPr>
        <w:t>-</w:t>
      </w:r>
      <w:r>
        <w:rPr>
          <w:rFonts w:ascii="Times New Roman" w:hAnsi="Times New Roman" w:eastAsia="宋体" w:cs="Times New Roman"/>
          <w:kern w:val="0"/>
          <w:sz w:val="22"/>
        </w:rPr>
        <w:t>years</w:t>
      </w:r>
      <w:r>
        <w:rPr>
          <w:rFonts w:hint="eastAsia" w:ascii="Times New Roman" w:hAnsi="Times New Roman" w:eastAsia="宋体" w:cs="Times New Roman"/>
          <w:kern w:val="0"/>
          <w:sz w:val="22"/>
        </w:rPr>
        <w:t>-</w:t>
      </w:r>
      <w:r>
        <w:rPr>
          <w:rFonts w:ascii="Times New Roman" w:hAnsi="Times New Roman" w:eastAsia="宋体" w:cs="Times New Roman"/>
          <w:kern w:val="0"/>
          <w:sz w:val="22"/>
        </w:rPr>
        <w:t>old, 60-70 years old, and &gt;70</w:t>
      </w:r>
      <w:r>
        <w:rPr>
          <w:rFonts w:hint="eastAsia" w:ascii="Times New Roman" w:hAnsi="Times New Roman" w:eastAsia="宋体" w:cs="Times New Roman"/>
          <w:kern w:val="0"/>
          <w:sz w:val="22"/>
        </w:rPr>
        <w:t>-</w:t>
      </w:r>
      <w:r>
        <w:rPr>
          <w:rFonts w:ascii="Times New Roman" w:hAnsi="Times New Roman" w:eastAsia="宋体" w:cs="Times New Roman"/>
          <w:kern w:val="0"/>
          <w:sz w:val="22"/>
        </w:rPr>
        <w:t>years</w:t>
      </w:r>
      <w:r>
        <w:rPr>
          <w:rFonts w:hint="eastAsia" w:ascii="Times New Roman" w:hAnsi="Times New Roman" w:eastAsia="宋体" w:cs="Times New Roman"/>
          <w:kern w:val="0"/>
          <w:sz w:val="22"/>
        </w:rPr>
        <w:t>-</w:t>
      </w:r>
      <w:r>
        <w:rPr>
          <w:rFonts w:ascii="Times New Roman" w:hAnsi="Times New Roman" w:eastAsia="宋体" w:cs="Times New Roman"/>
          <w:kern w:val="0"/>
          <w:sz w:val="22"/>
        </w:rPr>
        <w:t>old, the type of dialysis has a significant effect on the prognosis.</w:t>
      </w:r>
    </w:p>
    <w:p>
      <w:pPr>
        <w:widowControl/>
        <w:spacing w:after="120" w:line="360" w:lineRule="auto"/>
        <w:jc w:val="left"/>
        <w:rPr>
          <w:rFonts w:ascii="Times New Roman" w:hAnsi="Times New Roman" w:eastAsia="宋体" w:cs="Times New Roman"/>
          <w:kern w:val="0"/>
          <w:sz w:val="22"/>
        </w:rPr>
      </w:pPr>
      <w:r>
        <w:rPr>
          <w:rFonts w:hint="eastAsia" w:ascii="Times New Roman" w:hAnsi="Times New Roman" w:eastAsia="宋体" w:cs="Times New Roman"/>
          <w:kern w:val="0"/>
          <w:sz w:val="22"/>
        </w:rPr>
        <w:t>We a</w:t>
      </w:r>
      <w:r>
        <w:rPr>
          <w:rFonts w:ascii="Times New Roman" w:hAnsi="Times New Roman" w:eastAsia="宋体" w:cs="Times New Roman"/>
          <w:kern w:val="0"/>
          <w:sz w:val="22"/>
        </w:rPr>
        <w:t>dd</w:t>
      </w:r>
      <w:r>
        <w:rPr>
          <w:rFonts w:hint="eastAsia" w:ascii="Times New Roman" w:hAnsi="Times New Roman" w:eastAsia="宋体" w:cs="Times New Roman"/>
          <w:kern w:val="0"/>
          <w:sz w:val="22"/>
        </w:rPr>
        <w:t>ed</w:t>
      </w:r>
      <w:r>
        <w:rPr>
          <w:rFonts w:ascii="Times New Roman" w:hAnsi="Times New Roman" w:eastAsia="宋体" w:cs="Times New Roman"/>
          <w:kern w:val="0"/>
          <w:sz w:val="22"/>
        </w:rPr>
        <w:t xml:space="preserve"> relevant descriptions on lines 83-88 of the Materials and Methods section.</w:t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929AB"/>
    <w:rsid w:val="0BD54A8D"/>
    <w:rsid w:val="3A4B0569"/>
    <w:rsid w:val="4DC9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2020-07-16T14:26:00Z</dcterms:created>
  <dc:creator>DonaldHe</dc:creator>
  <cp:lastModifiedBy>DonaldHe</cp:lastModifiedBy>
  <dcterms:modified xsi:type="dcterms:W3CDTF">2020-07-17T07:45:59Z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