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20" w:line="360" w:lineRule="auto"/>
        <w:jc w:val="left"/>
        <w:rPr>
          <w:rFonts w:hint="eastAsia" w:ascii="Times New Roman" w:hAnsi="Times New Roman" w:eastAsia="宋体" w:cs="Times New Roman"/>
          <w:kern w:val="0"/>
          <w:sz w:val="22"/>
          <w:lang w:val="en-US" w:eastAsia="zh-CN"/>
        </w:rPr>
      </w:pPr>
      <w:r>
        <w:rPr>
          <w:rFonts w:hint="eastAsia" w:ascii="Times New Roman" w:hAnsi="Times New Roman" w:eastAsia="宋体" w:cs="Times New Roman"/>
          <w:b/>
          <w:bCs/>
          <w:kern w:val="0"/>
          <w:sz w:val="28"/>
          <w:szCs w:val="28"/>
          <w:lang w:val="en-US" w:eastAsia="zh-CN"/>
        </w:rPr>
        <w:t xml:space="preserve">Details of </w:t>
      </w:r>
      <w:r>
        <w:rPr>
          <w:rFonts w:ascii="Times New Roman" w:hAnsi="Times New Roman" w:eastAsia="宋体" w:cs="Times New Roman"/>
          <w:b/>
          <w:bCs/>
          <w:kern w:val="0"/>
          <w:sz w:val="28"/>
          <w:szCs w:val="28"/>
        </w:rPr>
        <w:t>propensity score matching</w:t>
      </w:r>
      <w:r>
        <w:rPr>
          <w:rFonts w:hint="eastAsia" w:ascii="Times New Roman" w:hAnsi="Times New Roman" w:eastAsia="宋体" w:cs="Times New Roman"/>
          <w:b/>
          <w:bCs/>
          <w:kern w:val="0"/>
          <w:sz w:val="28"/>
          <w:szCs w:val="28"/>
        </w:rPr>
        <w:t xml:space="preserve"> (PSM)</w:t>
      </w:r>
    </w:p>
    <w:p>
      <w:pPr>
        <w:widowControl/>
        <w:spacing w:after="120" w:line="360" w:lineRule="auto"/>
        <w:ind w:firstLine="420"/>
        <w:jc w:val="left"/>
        <w:rPr>
          <w:rFonts w:ascii="Times New Roman" w:hAnsi="Times New Roman" w:eastAsia="宋体" w:cs="Times New Roman"/>
          <w:kern w:val="0"/>
          <w:sz w:val="22"/>
        </w:rPr>
      </w:pPr>
      <w:r>
        <w:rPr>
          <w:rFonts w:ascii="Times New Roman" w:hAnsi="Times New Roman" w:eastAsia="宋体" w:cs="Times New Roman"/>
          <w:kern w:val="0"/>
          <w:sz w:val="22"/>
        </w:rPr>
        <w:t>In the original manuscript, we used follow-up time as the adjustment variable for PSM. This resulted in a significantly higher risk ratio of HD</w:t>
      </w:r>
      <w:r>
        <w:rPr>
          <w:rFonts w:hint="eastAsia" w:ascii="Times New Roman" w:hAnsi="Times New Roman" w:eastAsia="宋体" w:cs="Times New Roman"/>
          <w:kern w:val="0"/>
          <w:sz w:val="22"/>
        </w:rPr>
        <w:t xml:space="preserve"> </w:t>
      </w:r>
      <w:r>
        <w:rPr>
          <w:rFonts w:ascii="Times New Roman" w:hAnsi="Times New Roman" w:eastAsia="宋体" w:cs="Times New Roman"/>
          <w:kern w:val="0"/>
          <w:sz w:val="22"/>
        </w:rPr>
        <w:t>versus</w:t>
      </w:r>
      <w:r>
        <w:rPr>
          <w:rFonts w:hint="eastAsia" w:ascii="Times New Roman" w:hAnsi="Times New Roman" w:eastAsia="宋体" w:cs="Times New Roman"/>
          <w:kern w:val="0"/>
          <w:sz w:val="22"/>
        </w:rPr>
        <w:t xml:space="preserve"> </w:t>
      </w:r>
      <w:r>
        <w:rPr>
          <w:rFonts w:ascii="Times New Roman" w:hAnsi="Times New Roman" w:eastAsia="宋体" w:cs="Times New Roman"/>
          <w:kern w:val="0"/>
          <w:sz w:val="22"/>
        </w:rPr>
        <w:t>PD in the PSM-multivariate Cox</w:t>
      </w:r>
      <w:r>
        <w:rPr>
          <w:rFonts w:hint="eastAsia" w:ascii="Times New Roman" w:hAnsi="Times New Roman" w:eastAsia="宋体" w:cs="Times New Roman"/>
          <w:kern w:val="0"/>
          <w:sz w:val="22"/>
        </w:rPr>
        <w:t xml:space="preserve"> regression</w:t>
      </w:r>
      <w:r>
        <w:rPr>
          <w:rFonts w:ascii="Times New Roman" w:hAnsi="Times New Roman" w:eastAsia="宋体" w:cs="Times New Roman"/>
          <w:kern w:val="0"/>
          <w:sz w:val="22"/>
        </w:rPr>
        <w:t xml:space="preserve"> model of &gt;70 years of age. After consulting with statisticians, </w:t>
      </w:r>
      <w:r>
        <w:rPr>
          <w:rFonts w:hint="eastAsia" w:ascii="Times New Roman" w:hAnsi="Times New Roman" w:eastAsia="宋体" w:cs="Times New Roman"/>
          <w:kern w:val="0"/>
          <w:sz w:val="22"/>
          <w:lang w:val="en-US" w:eastAsia="zh-CN"/>
        </w:rPr>
        <w:t xml:space="preserve">we believed </w:t>
      </w:r>
      <w:r>
        <w:rPr>
          <w:rFonts w:ascii="Times New Roman" w:hAnsi="Times New Roman" w:eastAsia="宋体" w:cs="Times New Roman"/>
          <w:kern w:val="0"/>
          <w:sz w:val="22"/>
        </w:rPr>
        <w:t>that follow-up time</w:t>
      </w:r>
      <w:r>
        <w:rPr>
          <w:rFonts w:hint="eastAsia" w:ascii="Times New Roman" w:hAnsi="Times New Roman" w:eastAsia="宋体" w:cs="Times New Roman"/>
          <w:kern w:val="0"/>
          <w:sz w:val="22"/>
          <w:lang w:val="en-US" w:eastAsia="zh-CN"/>
        </w:rPr>
        <w:t xml:space="preserve"> was</w:t>
      </w:r>
      <w:r>
        <w:rPr>
          <w:rFonts w:ascii="Times New Roman" w:hAnsi="Times New Roman" w:eastAsia="宋体" w:cs="Times New Roman"/>
          <w:kern w:val="0"/>
          <w:sz w:val="22"/>
        </w:rPr>
        <w:t xml:space="preserve"> an important outcome parameter of the Cox </w:t>
      </w:r>
      <w:r>
        <w:rPr>
          <w:rFonts w:hint="eastAsia" w:ascii="Times New Roman" w:hAnsi="Times New Roman" w:eastAsia="宋体" w:cs="Times New Roman"/>
          <w:kern w:val="0"/>
          <w:sz w:val="22"/>
          <w:lang w:val="en-US" w:eastAsia="zh-CN"/>
        </w:rPr>
        <w:t xml:space="preserve">regression </w:t>
      </w:r>
      <w:r>
        <w:rPr>
          <w:rFonts w:ascii="Times New Roman" w:hAnsi="Times New Roman" w:eastAsia="宋体" w:cs="Times New Roman"/>
          <w:kern w:val="0"/>
          <w:sz w:val="22"/>
        </w:rPr>
        <w:t xml:space="preserve">model, it </w:t>
      </w:r>
      <w:r>
        <w:rPr>
          <w:rFonts w:hint="eastAsia" w:ascii="Times New Roman" w:hAnsi="Times New Roman" w:eastAsia="宋体" w:cs="Times New Roman"/>
          <w:kern w:val="0"/>
          <w:sz w:val="22"/>
          <w:lang w:val="en-US" w:eastAsia="zh-CN"/>
        </w:rPr>
        <w:t>was</w:t>
      </w:r>
      <w:r>
        <w:rPr>
          <w:rFonts w:ascii="Times New Roman" w:hAnsi="Times New Roman" w:eastAsia="宋体" w:cs="Times New Roman"/>
          <w:kern w:val="0"/>
          <w:sz w:val="22"/>
        </w:rPr>
        <w:t xml:space="preserve"> not appropriate to use follow-up time as the adjustment variable of PSM, so we adjusted the characteristics of PSM</w:t>
      </w:r>
      <w:r>
        <w:rPr>
          <w:rFonts w:hint="eastAsia" w:ascii="Times New Roman" w:hAnsi="Times New Roman" w:eastAsia="宋体" w:cs="Times New Roman"/>
          <w:kern w:val="0"/>
          <w:sz w:val="22"/>
        </w:rPr>
        <w:t xml:space="preserve">. </w:t>
      </w:r>
      <w:r>
        <w:rPr>
          <w:rFonts w:hint="eastAsia" w:ascii="Times New Roman" w:hAnsi="Times New Roman" w:eastAsia="宋体" w:cs="Times New Roman"/>
          <w:kern w:val="0"/>
          <w:sz w:val="22"/>
          <w:lang w:val="en-US" w:eastAsia="zh-CN"/>
        </w:rPr>
        <w:t>After the adjustment of PSM, t</w:t>
      </w:r>
      <w:r>
        <w:rPr>
          <w:rFonts w:hint="eastAsia" w:ascii="Times New Roman" w:hAnsi="Times New Roman" w:eastAsia="宋体" w:cs="Times New Roman"/>
          <w:kern w:val="0"/>
          <w:sz w:val="22"/>
        </w:rPr>
        <w:t xml:space="preserve">he results of the </w:t>
      </w:r>
      <w:r>
        <w:rPr>
          <w:rFonts w:ascii="Times New Roman" w:hAnsi="Times New Roman" w:eastAsia="宋体" w:cs="Times New Roman"/>
          <w:kern w:val="0"/>
          <w:sz w:val="22"/>
        </w:rPr>
        <w:t xml:space="preserve">multivariate </w:t>
      </w:r>
      <w:r>
        <w:rPr>
          <w:rFonts w:hint="eastAsia" w:ascii="Times New Roman" w:hAnsi="Times New Roman" w:eastAsia="宋体" w:cs="Times New Roman"/>
          <w:kern w:val="0"/>
          <w:sz w:val="22"/>
        </w:rPr>
        <w:t xml:space="preserve">Cox regression model </w:t>
      </w:r>
      <w:r>
        <w:rPr>
          <w:rFonts w:hint="eastAsia" w:ascii="Times New Roman" w:hAnsi="Times New Roman" w:eastAsia="宋体" w:cs="Times New Roman"/>
          <w:kern w:val="0"/>
          <w:sz w:val="22"/>
          <w:lang w:val="en-US" w:eastAsia="zh-CN"/>
        </w:rPr>
        <w:t>did</w:t>
      </w:r>
      <w:r>
        <w:rPr>
          <w:rFonts w:hint="eastAsia" w:ascii="Times New Roman" w:hAnsi="Times New Roman" w:eastAsia="宋体" w:cs="Times New Roman"/>
          <w:kern w:val="0"/>
          <w:sz w:val="22"/>
        </w:rPr>
        <w:t xml:space="preserve"> not changed (Table 3).</w:t>
      </w:r>
    </w:p>
    <w:p>
      <w:pPr>
        <w:widowControl/>
        <w:spacing w:after="120" w:line="360" w:lineRule="auto"/>
        <w:ind w:firstLine="420"/>
        <w:jc w:val="left"/>
        <w:rPr>
          <w:rFonts w:ascii="Times New Roman" w:hAnsi="Times New Roman" w:eastAsia="宋体" w:cs="Times New Roman"/>
          <w:kern w:val="0"/>
          <w:sz w:val="22"/>
        </w:rPr>
      </w:pPr>
      <w:r>
        <w:rPr>
          <w:rFonts w:ascii="Times New Roman" w:hAnsi="Times New Roman" w:eastAsia="宋体" w:cs="Times New Roman"/>
          <w:kern w:val="0"/>
          <w:sz w:val="22"/>
        </w:rPr>
        <w:t>We use</w:t>
      </w:r>
      <w:r>
        <w:rPr>
          <w:rFonts w:hint="eastAsia" w:ascii="Times New Roman" w:hAnsi="Times New Roman" w:eastAsia="宋体" w:cs="Times New Roman"/>
          <w:kern w:val="0"/>
          <w:sz w:val="22"/>
        </w:rPr>
        <w:t>d</w:t>
      </w:r>
      <w:r>
        <w:rPr>
          <w:rFonts w:ascii="Times New Roman" w:hAnsi="Times New Roman" w:eastAsia="宋体" w:cs="Times New Roman"/>
          <w:kern w:val="0"/>
          <w:sz w:val="22"/>
        </w:rPr>
        <w:t xml:space="preserve"> </w:t>
      </w:r>
      <w:r>
        <w:rPr>
          <w:rFonts w:ascii="Times New Roman" w:hAnsi="Times New Roman" w:eastAsia="宋体" w:cs="Times New Roman"/>
          <w:i/>
          <w:kern w:val="0"/>
          <w:sz w:val="22"/>
        </w:rPr>
        <w:t>MatchIt</w:t>
      </w:r>
      <w:r>
        <w:rPr>
          <w:rFonts w:ascii="Times New Roman" w:hAnsi="Times New Roman" w:eastAsia="宋体" w:cs="Times New Roman"/>
          <w:kern w:val="0"/>
          <w:sz w:val="22"/>
        </w:rPr>
        <w:t xml:space="preserve"> package in R language for propensity score matching. The matching ratio for propensity score matching is 1:1. The characteristics are selected according to the difference in the baseline state. The matching method was nearest neighbor match. The characteristics used in PSM included sex, age of dialysis initiation, diabetes mellitus, cerebrovascular disease, congestive heart failure, chronic pulmonary disease, cardiovascular diseases, CCI, primary</w:t>
      </w:r>
      <w:r>
        <w:rPr>
          <w:rFonts w:hint="eastAsia" w:ascii="Times New Roman" w:hAnsi="Times New Roman" w:eastAsia="宋体" w:cs="Times New Roman"/>
          <w:kern w:val="0"/>
          <w:sz w:val="22"/>
        </w:rPr>
        <w:t xml:space="preserve"> disease of renal failure (glomerulonephritis or polycystic kidney disease), body mass index, plasma albumin, cholesterol, and hemoglobin. </w:t>
      </w:r>
      <w:r>
        <w:rPr>
          <w:rFonts w:hint="eastAsia" w:ascii="Times New Roman" w:hAnsi="Times New Roman" w:eastAsia="宋体" w:cs="Times New Roman"/>
          <w:kern w:val="0"/>
          <w:sz w:val="22"/>
          <w:lang w:val="en-US" w:eastAsia="zh-CN"/>
        </w:rPr>
        <w:t xml:space="preserve">Above </w:t>
      </w:r>
      <w:r>
        <w:rPr>
          <w:rFonts w:ascii="Times New Roman" w:hAnsi="Times New Roman" w:eastAsia="宋体" w:cs="Times New Roman"/>
          <w:kern w:val="0"/>
          <w:sz w:val="22"/>
        </w:rPr>
        <w:t xml:space="preserve">characteristics </w:t>
      </w:r>
      <w:r>
        <w:rPr>
          <w:rFonts w:hint="eastAsia" w:ascii="Times New Roman" w:hAnsi="Times New Roman" w:eastAsia="宋体" w:cs="Times New Roman"/>
          <w:kern w:val="0"/>
          <w:sz w:val="22"/>
          <w:lang w:val="en-US" w:eastAsia="zh-CN"/>
        </w:rPr>
        <w:t>were</w:t>
      </w:r>
      <w:r>
        <w:rPr>
          <w:rFonts w:hint="eastAsia" w:ascii="Times New Roman" w:hAnsi="Times New Roman" w:eastAsia="宋体" w:cs="Times New Roman"/>
          <w:kern w:val="0"/>
          <w:sz w:val="22"/>
        </w:rPr>
        <w:t xml:space="preserve"> mainly determined by the difference in baseline status</w:t>
      </w:r>
      <w:r>
        <w:rPr>
          <w:rFonts w:hint="eastAsia" w:ascii="Times New Roman" w:hAnsi="Times New Roman" w:eastAsia="宋体" w:cs="Times New Roman"/>
          <w:kern w:val="0"/>
          <w:sz w:val="22"/>
          <w:lang w:val="en-US" w:eastAsia="zh-CN"/>
        </w:rPr>
        <w:t xml:space="preserve">. </w:t>
      </w:r>
      <w:r>
        <w:rPr>
          <w:rFonts w:hint="eastAsia" w:ascii="Times New Roman" w:hAnsi="Times New Roman" w:eastAsia="宋体" w:cs="Times New Roman"/>
          <w:kern w:val="0"/>
          <w:sz w:val="22"/>
        </w:rPr>
        <w:t>The sample size of ≤60-years-old group changed from 233 in the HD group and 352 in the PD group to 226 in both groups</w:t>
      </w:r>
      <w:r>
        <w:rPr>
          <w:rFonts w:ascii="Times New Roman" w:hAnsi="Times New Roman" w:eastAsia="宋体" w:cs="Times New Roman"/>
          <w:kern w:val="0"/>
          <w:sz w:val="22"/>
        </w:rPr>
        <w:t>. The sample size of &gt;70-years-old group changed from 92 in the HD group and 48 in the PD group to 4</w:t>
      </w:r>
      <w:r>
        <w:rPr>
          <w:rFonts w:hint="eastAsia" w:ascii="Times New Roman" w:hAnsi="Times New Roman" w:eastAsia="宋体" w:cs="Times New Roman"/>
          <w:kern w:val="0"/>
          <w:sz w:val="22"/>
        </w:rPr>
        <w:t>2</w:t>
      </w:r>
      <w:r>
        <w:rPr>
          <w:rFonts w:ascii="Times New Roman" w:hAnsi="Times New Roman" w:eastAsia="宋体" w:cs="Times New Roman"/>
          <w:kern w:val="0"/>
          <w:sz w:val="22"/>
        </w:rPr>
        <w:t xml:space="preserve"> in both groups. </w:t>
      </w:r>
    </w:p>
    <w:p>
      <w:pPr>
        <w:rPr>
          <w:rFonts w:ascii="Times New Roman" w:hAnsi="Times New Roman" w:eastAsia="宋体" w:cs="Times New Roman"/>
          <w:kern w:val="0"/>
          <w:sz w:val="22"/>
        </w:rPr>
        <w:sectPr>
          <w:pgSz w:w="11906" w:h="16838"/>
          <w:pgMar w:top="1440" w:right="1800" w:bottom="1440" w:left="1800" w:header="851" w:footer="992" w:gutter="0"/>
          <w:cols w:space="425" w:num="1"/>
          <w:docGrid w:type="lines" w:linePitch="312" w:charSpace="0"/>
        </w:sectPr>
      </w:pPr>
      <w:r>
        <w:rPr>
          <w:rFonts w:ascii="Times New Roman" w:hAnsi="Times New Roman" w:eastAsia="宋体" w:cs="Times New Roman"/>
          <w:kern w:val="0"/>
          <w:sz w:val="22"/>
        </w:rPr>
        <w:br w:type="page"/>
      </w:r>
    </w:p>
    <w:tbl>
      <w:tblPr>
        <w:tblW w:w="13982" w:type="dxa"/>
        <w:tblInd w:w="0" w:type="dxa"/>
        <w:shd w:val="clear"/>
        <w:tblLayout w:type="fixed"/>
        <w:tblCellMar>
          <w:top w:w="0" w:type="dxa"/>
          <w:left w:w="0" w:type="dxa"/>
          <w:bottom w:w="0" w:type="dxa"/>
          <w:right w:w="0" w:type="dxa"/>
        </w:tblCellMar>
      </w:tblPr>
      <w:tblGrid>
        <w:gridCol w:w="2766"/>
        <w:gridCol w:w="1402"/>
        <w:gridCol w:w="1402"/>
        <w:gridCol w:w="1402"/>
        <w:gridCol w:w="1402"/>
        <w:gridCol w:w="1402"/>
        <w:gridCol w:w="1402"/>
        <w:gridCol w:w="1402"/>
        <w:gridCol w:w="1402"/>
      </w:tblGrid>
      <w:tr>
        <w:tblPrEx>
          <w:shd w:val="clear"/>
          <w:tblCellMar>
            <w:top w:w="0" w:type="dxa"/>
            <w:left w:w="0" w:type="dxa"/>
            <w:bottom w:w="0" w:type="dxa"/>
            <w:right w:w="0" w:type="dxa"/>
          </w:tblCellMar>
        </w:tblPrEx>
        <w:trPr>
          <w:trHeight w:val="288" w:hRule="atLeast"/>
        </w:trPr>
        <w:tc>
          <w:tcPr>
            <w:tcW w:w="13982" w:type="dxa"/>
            <w:gridSpan w:val="9"/>
            <w:tcBorders>
              <w:top w:val="nil"/>
              <w:left w:val="nil"/>
              <w:bottom w:val="single" w:color="auto" w:sz="4" w:space="0"/>
              <w:right w:val="nil"/>
            </w:tcBorders>
            <w:shd w:val="clear"/>
            <w:noWrap/>
            <w:tcMar>
              <w:top w:w="12" w:type="dxa"/>
              <w:left w:w="12" w:type="dxa"/>
              <w:right w:w="12" w:type="dxa"/>
            </w:tcMar>
            <w:vAlign w:val="center"/>
          </w:tcPr>
          <w:p>
            <w:pP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Summary of balance of &lt;60-years-old group</w:t>
            </w:r>
          </w:p>
        </w:tc>
      </w:tr>
      <w:tr>
        <w:tblPrEx>
          <w:shd w:val="clear"/>
          <w:tblCellMar>
            <w:top w:w="0" w:type="dxa"/>
            <w:left w:w="0" w:type="dxa"/>
            <w:bottom w:w="0" w:type="dxa"/>
            <w:right w:w="0" w:type="dxa"/>
          </w:tblCellMar>
        </w:tblPrEx>
        <w:trPr>
          <w:trHeight w:val="288" w:hRule="atLeast"/>
        </w:trPr>
        <w:tc>
          <w:tcPr>
            <w:tcW w:w="2766" w:type="dxa"/>
            <w:tcBorders>
              <w:top w:val="single" w:color="auto" w:sz="4" w:space="0"/>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bookmarkStart w:id="0" w:name="OLE_LINK2"/>
          </w:p>
        </w:tc>
        <w:tc>
          <w:tcPr>
            <w:tcW w:w="5608" w:type="dxa"/>
            <w:gridSpan w:val="4"/>
            <w:tcBorders>
              <w:top w:val="single" w:color="auto" w:sz="4" w:space="0"/>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0"/>
                <w:szCs w:val="20"/>
                <w:u w:val="none"/>
                <w:bdr w:val="none" w:color="auto" w:sz="0" w:space="0"/>
                <w:lang w:val="en-US" w:eastAsia="zh-CN" w:bidi="ar"/>
              </w:rPr>
            </w:pPr>
            <w:r>
              <w:rPr>
                <w:rFonts w:hint="default" w:ascii="Times New Roman" w:hAnsi="Times New Roman" w:eastAsia="宋体" w:cs="Times New Roman"/>
                <w:i w:val="0"/>
                <w:color w:val="000000"/>
                <w:kern w:val="0"/>
                <w:sz w:val="20"/>
                <w:szCs w:val="20"/>
                <w:u w:val="none"/>
                <w:lang w:val="en-US" w:eastAsia="zh-CN" w:bidi="ar"/>
              </w:rPr>
              <w:t>Summary of balance for all data:</w:t>
            </w:r>
          </w:p>
        </w:tc>
        <w:tc>
          <w:tcPr>
            <w:tcW w:w="5608" w:type="dxa"/>
            <w:gridSpan w:val="4"/>
            <w:tcBorders>
              <w:top w:val="single" w:color="auto" w:sz="4" w:space="0"/>
              <w:left w:val="nil"/>
              <w:bottom w:val="single" w:color="auto" w:sz="4" w:space="0"/>
              <w:right w:val="nil"/>
            </w:tcBorders>
            <w:shd w:val="clear"/>
            <w:noWrap/>
            <w:tcMar>
              <w:top w:w="12" w:type="dxa"/>
              <w:left w:w="12" w:type="dxa"/>
              <w:right w:w="12" w:type="dxa"/>
            </w:tcMar>
            <w:vAlign w:val="center"/>
          </w:tcPr>
          <w:p>
            <w:pP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Summary of balance for matched data:</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single" w:color="auto" w:sz="4" w:space="0"/>
              <w:right w:val="nil"/>
            </w:tcBorders>
            <w:shd w:val="clear"/>
            <w:noWrap/>
            <w:tcMar>
              <w:top w:w="12" w:type="dxa"/>
              <w:left w:w="12" w:type="dxa"/>
              <w:right w:w="12" w:type="dxa"/>
            </w:tcMar>
            <w:vAlign w:val="center"/>
          </w:tcPr>
          <w:p>
            <w:pPr>
              <w:rPr>
                <w:rFonts w:hint="default" w:ascii="Times New Roman" w:hAnsi="Times New Roman" w:eastAsia="宋体" w:cs="Times New Roman"/>
                <w:i w:val="0"/>
                <w:color w:val="000000"/>
                <w:sz w:val="20"/>
                <w:szCs w:val="20"/>
                <w:u w:val="none"/>
              </w:rPr>
            </w:pPr>
          </w:p>
        </w:tc>
        <w:tc>
          <w:tcPr>
            <w:tcW w:w="1402" w:type="dxa"/>
            <w:tcBorders>
              <w:top w:val="single" w:color="auto" w:sz="4" w:space="0"/>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Means Treated</w:t>
            </w:r>
          </w:p>
        </w:tc>
        <w:tc>
          <w:tcPr>
            <w:tcW w:w="1402" w:type="dxa"/>
            <w:tcBorders>
              <w:top w:val="single" w:color="auto" w:sz="4" w:space="0"/>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Means Control</w:t>
            </w:r>
          </w:p>
        </w:tc>
        <w:tc>
          <w:tcPr>
            <w:tcW w:w="1402" w:type="dxa"/>
            <w:tcBorders>
              <w:top w:val="single" w:color="auto" w:sz="4" w:space="0"/>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SD Control</w:t>
            </w:r>
          </w:p>
        </w:tc>
        <w:tc>
          <w:tcPr>
            <w:tcW w:w="1402" w:type="dxa"/>
            <w:tcBorders>
              <w:top w:val="single" w:color="auto" w:sz="4" w:space="0"/>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Std. Mean Diff.</w:t>
            </w:r>
          </w:p>
        </w:tc>
        <w:tc>
          <w:tcPr>
            <w:tcW w:w="1402" w:type="dxa"/>
            <w:tcBorders>
              <w:top w:val="single" w:color="auto" w:sz="4" w:space="0"/>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Means Treated</w:t>
            </w:r>
          </w:p>
        </w:tc>
        <w:tc>
          <w:tcPr>
            <w:tcW w:w="1402" w:type="dxa"/>
            <w:tcBorders>
              <w:top w:val="single" w:color="auto" w:sz="4" w:space="0"/>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Means Control</w:t>
            </w:r>
          </w:p>
        </w:tc>
        <w:tc>
          <w:tcPr>
            <w:tcW w:w="1402" w:type="dxa"/>
            <w:tcBorders>
              <w:top w:val="single" w:color="auto" w:sz="4" w:space="0"/>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SD Control</w:t>
            </w:r>
          </w:p>
        </w:tc>
        <w:tc>
          <w:tcPr>
            <w:tcW w:w="1402" w:type="dxa"/>
            <w:tcBorders>
              <w:top w:val="single" w:color="auto" w:sz="4" w:space="0"/>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Std. Mean Diff.</w:t>
            </w:r>
          </w:p>
        </w:tc>
      </w:tr>
      <w:tr>
        <w:tblPrEx>
          <w:tblCellMar>
            <w:top w:w="0" w:type="dxa"/>
            <w:left w:w="0" w:type="dxa"/>
            <w:bottom w:w="0" w:type="dxa"/>
            <w:right w:w="0" w:type="dxa"/>
          </w:tblCellMar>
        </w:tblPrEx>
        <w:trPr>
          <w:trHeight w:val="288" w:hRule="atLeast"/>
        </w:trPr>
        <w:tc>
          <w:tcPr>
            <w:tcW w:w="2766" w:type="dxa"/>
            <w:tcBorders>
              <w:top w:val="single" w:color="auto" w:sz="4" w:space="0"/>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distance</w:t>
            </w:r>
          </w:p>
        </w:tc>
        <w:tc>
          <w:tcPr>
            <w:tcW w:w="1402" w:type="dxa"/>
            <w:tcBorders>
              <w:top w:val="single" w:color="auto" w:sz="4" w:space="0"/>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0.4314</w:t>
            </w:r>
          </w:p>
        </w:tc>
        <w:tc>
          <w:tcPr>
            <w:tcW w:w="1402" w:type="dxa"/>
            <w:tcBorders>
              <w:top w:val="single" w:color="auto" w:sz="4" w:space="0"/>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0.3753</w:t>
            </w:r>
          </w:p>
        </w:tc>
        <w:tc>
          <w:tcPr>
            <w:tcW w:w="1402" w:type="dxa"/>
            <w:tcBorders>
              <w:top w:val="single" w:color="auto" w:sz="4" w:space="0"/>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0.0939</w:t>
            </w:r>
          </w:p>
        </w:tc>
        <w:tc>
          <w:tcPr>
            <w:tcW w:w="1402" w:type="dxa"/>
            <w:tcBorders>
              <w:top w:val="single" w:color="auto" w:sz="4" w:space="0"/>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0.4212</w:t>
            </w:r>
          </w:p>
        </w:tc>
        <w:tc>
          <w:tcPr>
            <w:tcW w:w="1402" w:type="dxa"/>
            <w:tcBorders>
              <w:top w:val="single" w:color="auto" w:sz="4" w:space="0"/>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0.4206</w:t>
            </w:r>
          </w:p>
        </w:tc>
        <w:tc>
          <w:tcPr>
            <w:tcW w:w="1402" w:type="dxa"/>
            <w:tcBorders>
              <w:top w:val="single" w:color="auto" w:sz="4" w:space="0"/>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0.4026</w:t>
            </w:r>
          </w:p>
        </w:tc>
        <w:tc>
          <w:tcPr>
            <w:tcW w:w="1402" w:type="dxa"/>
            <w:tcBorders>
              <w:top w:val="single" w:color="auto" w:sz="4" w:space="0"/>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0.1019</w:t>
            </w:r>
          </w:p>
        </w:tc>
        <w:tc>
          <w:tcPr>
            <w:tcW w:w="1402" w:type="dxa"/>
            <w:tcBorders>
              <w:top w:val="single" w:color="auto" w:sz="4" w:space="0"/>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0.1353</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sex</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0.3863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0.4306</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0.4959</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-0.0908</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0.3894</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0.4027</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0.4915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-0.0272</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DM</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0.3133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0.2635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0.4411</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0.1072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0.3053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0.2832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0.4515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0.0476</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Congestive_heart_failure</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0.2704</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0.2295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0.4211</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0.0919</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0.2699</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0.2832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0.4515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-0.0298</w:t>
            </w:r>
          </w:p>
        </w:tc>
      </w:tr>
      <w:tr>
        <w:tblPrEx>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CCI_without_age</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3.2833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3.0708</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1.2192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0.1442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3.2345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3.1637</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1.284</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0.0481</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Cerebrovascular_disease</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0.1288</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0.0453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0.2083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0.2486</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0.1018</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0.0708</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0.2571</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0.0923</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Chronic_pulmonary_disease</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0.0558</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0.0453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0.2083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0.0455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0.0531</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0.0442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0.2061</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0.0385</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CAD_heart</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0.0773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0.0708</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0.2569</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0.024</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0.0796</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0.0752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0.2643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0.0165</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BMI</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22.9711</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22.3634</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3.5419</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0.1348</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22.9309</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22.722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3.7291</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0.0463</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TC</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4.417</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4.5885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1.3949</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-0.1403</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4.424</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4.4901</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1.3205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-0.054</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ALB</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35.8727</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34.986</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5.2236</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0.1505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35.8271</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35.3342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5.3101</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0.0837</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Hb</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87.0279</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81.5959</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18.595</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0.2577</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85.8916</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84.7582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19.3052</w:t>
            </w:r>
          </w:p>
        </w:tc>
        <w:tc>
          <w:tcPr>
            <w:tcW w:w="1402" w:type="dxa"/>
            <w:tcBorders>
              <w:top w:val="nil"/>
              <w:left w:val="nil"/>
              <w:bottom w:val="nil"/>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0.0538</w:t>
            </w:r>
          </w:p>
        </w:tc>
      </w:tr>
      <w:tr>
        <w:tblPrEx>
          <w:shd w:val="clear"/>
          <w:tblCellMar>
            <w:top w:w="0" w:type="dxa"/>
            <w:left w:w="0" w:type="dxa"/>
            <w:bottom w:w="0" w:type="dxa"/>
            <w:right w:w="0" w:type="dxa"/>
          </w:tblCellMar>
        </w:tblPrEx>
        <w:trPr>
          <w:trHeight w:val="288" w:hRule="atLeast"/>
        </w:trPr>
        <w:tc>
          <w:tcPr>
            <w:tcW w:w="2766" w:type="dxa"/>
            <w:tcBorders>
              <w:top w:val="nil"/>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dialysis_begin_age</w:t>
            </w:r>
          </w:p>
        </w:tc>
        <w:tc>
          <w:tcPr>
            <w:tcW w:w="1402" w:type="dxa"/>
            <w:tcBorders>
              <w:top w:val="nil"/>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45.2618</w:t>
            </w:r>
          </w:p>
        </w:tc>
        <w:tc>
          <w:tcPr>
            <w:tcW w:w="1402" w:type="dxa"/>
            <w:tcBorders>
              <w:top w:val="nil"/>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44.5751</w:t>
            </w:r>
          </w:p>
        </w:tc>
        <w:tc>
          <w:tcPr>
            <w:tcW w:w="1402" w:type="dxa"/>
            <w:tcBorders>
              <w:top w:val="nil"/>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10.5769</w:t>
            </w:r>
          </w:p>
        </w:tc>
        <w:tc>
          <w:tcPr>
            <w:tcW w:w="1402" w:type="dxa"/>
            <w:tcBorders>
              <w:top w:val="nil"/>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0.0608</w:t>
            </w:r>
          </w:p>
        </w:tc>
        <w:tc>
          <w:tcPr>
            <w:tcW w:w="1402" w:type="dxa"/>
            <w:tcBorders>
              <w:top w:val="nil"/>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45.0708</w:t>
            </w:r>
          </w:p>
        </w:tc>
        <w:tc>
          <w:tcPr>
            <w:tcW w:w="1402" w:type="dxa"/>
            <w:tcBorders>
              <w:top w:val="nil"/>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44.4646</w:t>
            </w:r>
          </w:p>
        </w:tc>
        <w:tc>
          <w:tcPr>
            <w:tcW w:w="1402" w:type="dxa"/>
            <w:tcBorders>
              <w:top w:val="nil"/>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10.7959</w:t>
            </w:r>
          </w:p>
        </w:tc>
        <w:tc>
          <w:tcPr>
            <w:tcW w:w="1402" w:type="dxa"/>
            <w:tcBorders>
              <w:top w:val="nil"/>
              <w:left w:val="nil"/>
              <w:bottom w:val="single" w:color="auto" w:sz="4" w:space="0"/>
              <w:right w:val="nil"/>
            </w:tcBorders>
            <w:shd w:val="clear"/>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bdr w:val="none" w:color="auto" w:sz="0" w:space="0"/>
                <w:lang w:val="en-US" w:eastAsia="zh-CN" w:bidi="ar"/>
              </w:rPr>
              <w:t>0.0537</w:t>
            </w:r>
          </w:p>
        </w:tc>
      </w:tr>
    </w:tbl>
    <w:p>
      <w:pPr>
        <w:rPr>
          <w:rFonts w:ascii="Times New Roman" w:hAnsi="Times New Roman" w:eastAsia="宋体" w:cs="Times New Roman"/>
          <w:kern w:val="0"/>
          <w:sz w:val="22"/>
        </w:rPr>
      </w:pPr>
      <w:r>
        <w:rPr>
          <w:rFonts w:hint="eastAsia" w:ascii="Times New Roman" w:hAnsi="Times New Roman" w:eastAsia="宋体" w:cs="Times New Roman"/>
          <w:kern w:val="0"/>
          <w:sz w:val="22"/>
        </w:rPr>
        <w:t xml:space="preserve">The </w:t>
      </w:r>
      <w:r>
        <w:rPr>
          <w:rFonts w:ascii="Times New Roman" w:hAnsi="Times New Roman" w:eastAsia="宋体" w:cs="Times New Roman"/>
          <w:kern w:val="0"/>
          <w:sz w:val="22"/>
        </w:rPr>
        <w:t>propensity score</w:t>
      </w:r>
      <w:r>
        <w:rPr>
          <w:rFonts w:hint="eastAsia" w:ascii="Times New Roman" w:hAnsi="Times New Roman" w:eastAsia="宋体" w:cs="Times New Roman"/>
          <w:kern w:val="0"/>
          <w:sz w:val="22"/>
        </w:rPr>
        <w:t xml:space="preserve"> of </w:t>
      </w:r>
      <w:r>
        <w:rPr>
          <w:rFonts w:hint="default" w:ascii="Times New Roman" w:hAnsi="Times New Roman" w:eastAsia="宋体" w:cs="Times New Roman"/>
          <w:kern w:val="0"/>
          <w:sz w:val="22"/>
          <w:lang w:val="en-US"/>
        </w:rPr>
        <w:t>&lt;</w:t>
      </w:r>
      <w:r>
        <w:rPr>
          <w:rFonts w:hint="eastAsia" w:ascii="Times New Roman" w:hAnsi="Times New Roman" w:eastAsia="宋体" w:cs="Times New Roman"/>
          <w:kern w:val="0"/>
          <w:sz w:val="22"/>
        </w:rPr>
        <w:t>60</w:t>
      </w:r>
      <w:r>
        <w:rPr>
          <w:rFonts w:hint="default" w:ascii="Times New Roman" w:hAnsi="Times New Roman" w:eastAsia="宋体" w:cs="Times New Roman"/>
          <w:kern w:val="0"/>
          <w:sz w:val="22"/>
          <w:lang w:val="en-US"/>
        </w:rPr>
        <w:t>-</w:t>
      </w:r>
      <w:r>
        <w:rPr>
          <w:rFonts w:hint="eastAsia" w:ascii="Times New Roman" w:hAnsi="Times New Roman" w:eastAsia="宋体" w:cs="Times New Roman"/>
          <w:kern w:val="0"/>
          <w:sz w:val="22"/>
        </w:rPr>
        <w:t>years</w:t>
      </w:r>
      <w:r>
        <w:rPr>
          <w:rFonts w:hint="default" w:ascii="Times New Roman" w:hAnsi="Times New Roman" w:eastAsia="宋体" w:cs="Times New Roman"/>
          <w:kern w:val="0"/>
          <w:sz w:val="22"/>
          <w:lang w:val="en-US"/>
        </w:rPr>
        <w:t>-</w:t>
      </w:r>
      <w:r>
        <w:rPr>
          <w:rFonts w:hint="eastAsia" w:ascii="Times New Roman" w:hAnsi="Times New Roman" w:eastAsia="宋体" w:cs="Times New Roman"/>
          <w:kern w:val="0"/>
          <w:sz w:val="22"/>
        </w:rPr>
        <w:t>old group:</w:t>
      </w:r>
    </w:p>
    <w:bookmarkEnd w:id="0"/>
    <w:p>
      <w:pPr>
        <w:widowControl/>
        <w:spacing w:after="120" w:line="360" w:lineRule="auto"/>
        <w:ind w:firstLine="420"/>
        <w:jc w:val="left"/>
        <w:rPr>
          <w:rFonts w:ascii="Times New Roman" w:hAnsi="Times New Roman" w:eastAsia="宋体" w:cs="Times New Roman"/>
          <w:kern w:val="0"/>
          <w:sz w:val="22"/>
        </w:rPr>
      </w:pPr>
      <w:r>
        <w:rPr>
          <w:rFonts w:ascii="Times New Roman" w:hAnsi="Times New Roman" w:eastAsia="宋体" w:cs="Times New Roman"/>
          <w:kern w:val="0"/>
          <w:sz w:val="22"/>
        </w:rPr>
        <w:drawing>
          <wp:inline distT="0" distB="0" distL="0" distR="0">
            <wp:extent cx="5271770" cy="3244215"/>
            <wp:effectExtent l="0" t="0" r="1270" b="19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271770" cy="3244215"/>
                    </a:xfrm>
                    <a:prstGeom prst="rect">
                      <a:avLst/>
                    </a:prstGeom>
                  </pic:spPr>
                </pic:pic>
              </a:graphicData>
            </a:graphic>
          </wp:inline>
        </w:drawing>
      </w:r>
    </w:p>
    <w:tbl>
      <w:tblPr>
        <w:tblStyle w:val="2"/>
        <w:tblW w:w="13982" w:type="dxa"/>
        <w:tblInd w:w="0" w:type="dxa"/>
        <w:shd w:val="clear" w:color="auto" w:fill="auto"/>
        <w:tblLayout w:type="fixed"/>
        <w:tblCellMar>
          <w:top w:w="0" w:type="dxa"/>
          <w:left w:w="0" w:type="dxa"/>
          <w:bottom w:w="0" w:type="dxa"/>
          <w:right w:w="0" w:type="dxa"/>
        </w:tblCellMar>
      </w:tblPr>
      <w:tblGrid>
        <w:gridCol w:w="2766"/>
        <w:gridCol w:w="1402"/>
        <w:gridCol w:w="1402"/>
        <w:gridCol w:w="1402"/>
        <w:gridCol w:w="1402"/>
        <w:gridCol w:w="1402"/>
        <w:gridCol w:w="1402"/>
        <w:gridCol w:w="1402"/>
        <w:gridCol w:w="1402"/>
      </w:tblGrid>
      <w:tr>
        <w:tblPrEx>
          <w:shd w:val="clear" w:color="auto" w:fill="auto"/>
          <w:tblCellMar>
            <w:top w:w="0" w:type="dxa"/>
            <w:left w:w="0" w:type="dxa"/>
            <w:bottom w:w="0" w:type="dxa"/>
            <w:right w:w="0" w:type="dxa"/>
          </w:tblCellMar>
        </w:tblPrEx>
        <w:trPr>
          <w:trHeight w:val="288" w:hRule="atLeast"/>
        </w:trPr>
        <w:tc>
          <w:tcPr>
            <w:tcW w:w="13982" w:type="dxa"/>
            <w:gridSpan w:val="9"/>
            <w:tcBorders>
              <w:top w:val="nil"/>
              <w:left w:val="nil"/>
              <w:bottom w:val="single" w:color="auto" w:sz="4" w:space="0"/>
              <w:right w:val="nil"/>
            </w:tcBorders>
            <w:shd w:val="clear" w:color="auto" w:fill="auto"/>
            <w:noWrap/>
            <w:tcMar>
              <w:top w:w="12" w:type="dxa"/>
              <w:left w:w="12" w:type="dxa"/>
              <w:right w:w="12" w:type="dxa"/>
            </w:tcMar>
            <w:vAlign w:val="center"/>
          </w:tcPr>
          <w:p>
            <w:pP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Summary of balance of &gt;70-years-old group</w:t>
            </w:r>
          </w:p>
        </w:tc>
      </w:tr>
      <w:tr>
        <w:tblPrEx>
          <w:shd w:val="clear" w:color="auto" w:fill="auto"/>
          <w:tblCellMar>
            <w:top w:w="0" w:type="dxa"/>
            <w:left w:w="0" w:type="dxa"/>
            <w:bottom w:w="0" w:type="dxa"/>
            <w:right w:w="0" w:type="dxa"/>
          </w:tblCellMar>
        </w:tblPrEx>
        <w:trPr>
          <w:trHeight w:val="288" w:hRule="atLeast"/>
        </w:trPr>
        <w:tc>
          <w:tcPr>
            <w:tcW w:w="2766" w:type="dxa"/>
            <w:tcBorders>
              <w:top w:val="single" w:color="auto" w:sz="4" w:space="0"/>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p>
        </w:tc>
        <w:tc>
          <w:tcPr>
            <w:tcW w:w="5608" w:type="dxa"/>
            <w:gridSpan w:val="4"/>
            <w:tcBorders>
              <w:top w:val="single" w:color="auto" w:sz="4" w:space="0"/>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Summary of balance for all data:</w:t>
            </w:r>
          </w:p>
        </w:tc>
        <w:tc>
          <w:tcPr>
            <w:tcW w:w="5608" w:type="dxa"/>
            <w:gridSpan w:val="4"/>
            <w:tcBorders>
              <w:top w:val="single" w:color="auto" w:sz="4" w:space="0"/>
              <w:left w:val="nil"/>
              <w:bottom w:val="single" w:color="auto" w:sz="4" w:space="0"/>
              <w:right w:val="nil"/>
            </w:tcBorders>
            <w:shd w:val="clear" w:color="auto" w:fill="auto"/>
            <w:noWrap/>
            <w:tcMar>
              <w:top w:w="12" w:type="dxa"/>
              <w:left w:w="12" w:type="dxa"/>
              <w:right w:w="12" w:type="dxa"/>
            </w:tcMar>
            <w:vAlign w:val="center"/>
          </w:tcPr>
          <w:p>
            <w:pP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Summary of balance for matched data:</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single" w:color="auto" w:sz="4" w:space="0"/>
              <w:right w:val="nil"/>
            </w:tcBorders>
            <w:shd w:val="clear" w:color="auto" w:fill="auto"/>
            <w:noWrap/>
            <w:tcMar>
              <w:top w:w="12" w:type="dxa"/>
              <w:left w:w="12" w:type="dxa"/>
              <w:right w:w="12" w:type="dxa"/>
            </w:tcMar>
            <w:vAlign w:val="center"/>
          </w:tcPr>
          <w:p>
            <w:pPr>
              <w:rPr>
                <w:rFonts w:hint="default" w:ascii="Times New Roman" w:hAnsi="Times New Roman" w:eastAsia="宋体" w:cs="Times New Roman"/>
                <w:i w:val="0"/>
                <w:color w:val="000000"/>
                <w:sz w:val="20"/>
                <w:szCs w:val="20"/>
                <w:u w:val="none"/>
              </w:rPr>
            </w:pPr>
          </w:p>
        </w:tc>
        <w:tc>
          <w:tcPr>
            <w:tcW w:w="1402" w:type="dxa"/>
            <w:tcBorders>
              <w:top w:val="single" w:color="auto" w:sz="4" w:space="0"/>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Means Treated</w:t>
            </w:r>
          </w:p>
        </w:tc>
        <w:tc>
          <w:tcPr>
            <w:tcW w:w="1402" w:type="dxa"/>
            <w:tcBorders>
              <w:top w:val="single" w:color="auto" w:sz="4" w:space="0"/>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Means Control</w:t>
            </w:r>
          </w:p>
        </w:tc>
        <w:tc>
          <w:tcPr>
            <w:tcW w:w="1402" w:type="dxa"/>
            <w:tcBorders>
              <w:top w:val="single" w:color="auto" w:sz="4" w:space="0"/>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SD Control</w:t>
            </w:r>
          </w:p>
        </w:tc>
        <w:tc>
          <w:tcPr>
            <w:tcW w:w="1402" w:type="dxa"/>
            <w:tcBorders>
              <w:top w:val="single" w:color="auto" w:sz="4" w:space="0"/>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Std. Mean Diff.</w:t>
            </w:r>
          </w:p>
        </w:tc>
        <w:tc>
          <w:tcPr>
            <w:tcW w:w="1402" w:type="dxa"/>
            <w:tcBorders>
              <w:top w:val="single" w:color="auto" w:sz="4" w:space="0"/>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Means Treated</w:t>
            </w:r>
          </w:p>
        </w:tc>
        <w:tc>
          <w:tcPr>
            <w:tcW w:w="1402" w:type="dxa"/>
            <w:tcBorders>
              <w:top w:val="single" w:color="auto" w:sz="4" w:space="0"/>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Means Control</w:t>
            </w:r>
          </w:p>
        </w:tc>
        <w:tc>
          <w:tcPr>
            <w:tcW w:w="1402" w:type="dxa"/>
            <w:tcBorders>
              <w:top w:val="single" w:color="auto" w:sz="4" w:space="0"/>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SD Control</w:t>
            </w:r>
          </w:p>
        </w:tc>
        <w:tc>
          <w:tcPr>
            <w:tcW w:w="1402" w:type="dxa"/>
            <w:tcBorders>
              <w:top w:val="single" w:color="auto" w:sz="4" w:space="0"/>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Std. Mean Diff.</w:t>
            </w:r>
          </w:p>
        </w:tc>
      </w:tr>
      <w:tr>
        <w:tblPrEx>
          <w:shd w:val="clear" w:color="auto" w:fill="auto"/>
          <w:tblCellMar>
            <w:top w:w="0" w:type="dxa"/>
            <w:left w:w="0" w:type="dxa"/>
            <w:bottom w:w="0" w:type="dxa"/>
            <w:right w:w="0" w:type="dxa"/>
          </w:tblCellMar>
        </w:tblPrEx>
        <w:trPr>
          <w:trHeight w:val="288" w:hRule="atLeast"/>
        </w:trPr>
        <w:tc>
          <w:tcPr>
            <w:tcW w:w="2766" w:type="dxa"/>
            <w:tcBorders>
              <w:top w:val="single" w:color="auto" w:sz="4" w:space="0"/>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bookmarkStart w:id="1" w:name="_GoBack" w:colFirst="5" w:colLast="8"/>
            <w:r>
              <w:rPr>
                <w:rFonts w:hint="default" w:ascii="Times New Roman" w:hAnsi="Times New Roman" w:eastAsia="宋体" w:cs="Times New Roman"/>
                <w:i w:val="0"/>
                <w:color w:val="000000"/>
                <w:kern w:val="0"/>
                <w:sz w:val="20"/>
                <w:szCs w:val="20"/>
                <w:u w:val="none"/>
                <w:lang w:val="en-US" w:eastAsia="zh-CN" w:bidi="ar"/>
              </w:rPr>
              <w:t>distance</w:t>
            </w:r>
          </w:p>
        </w:tc>
        <w:tc>
          <w:tcPr>
            <w:tcW w:w="1402" w:type="dxa"/>
            <w:tcBorders>
              <w:top w:val="single" w:color="auto" w:sz="4" w:space="0"/>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0.4288</w:t>
            </w:r>
          </w:p>
        </w:tc>
        <w:tc>
          <w:tcPr>
            <w:tcW w:w="1402" w:type="dxa"/>
            <w:tcBorders>
              <w:top w:val="single" w:color="auto" w:sz="4" w:space="0"/>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0.3042</w:t>
            </w:r>
          </w:p>
        </w:tc>
        <w:tc>
          <w:tcPr>
            <w:tcW w:w="1402" w:type="dxa"/>
            <w:tcBorders>
              <w:top w:val="single" w:color="auto" w:sz="4" w:space="0"/>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0.1515</w:t>
            </w:r>
          </w:p>
        </w:tc>
        <w:tc>
          <w:tcPr>
            <w:tcW w:w="1402" w:type="dxa"/>
            <w:tcBorders>
              <w:top w:val="single" w:color="auto" w:sz="4" w:space="0"/>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0.7364</w:t>
            </w:r>
          </w:p>
        </w:tc>
        <w:tc>
          <w:tcPr>
            <w:tcW w:w="1402" w:type="dxa"/>
            <w:tcBorders>
              <w:top w:val="single" w:color="auto" w:sz="4" w:space="0"/>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0.3855</w:t>
            </w:r>
          </w:p>
        </w:tc>
        <w:tc>
          <w:tcPr>
            <w:tcW w:w="1402" w:type="dxa"/>
            <w:tcBorders>
              <w:top w:val="single" w:color="auto" w:sz="4" w:space="0"/>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0.3805</w:t>
            </w:r>
          </w:p>
        </w:tc>
        <w:tc>
          <w:tcPr>
            <w:tcW w:w="1402" w:type="dxa"/>
            <w:tcBorders>
              <w:top w:val="single" w:color="auto" w:sz="4" w:space="0"/>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0.1376</w:t>
            </w:r>
          </w:p>
        </w:tc>
        <w:tc>
          <w:tcPr>
            <w:tcW w:w="1402" w:type="dxa"/>
            <w:tcBorders>
              <w:top w:val="single" w:color="auto" w:sz="4" w:space="0"/>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0.0298</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sex</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0.4082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0.6196</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0.4882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-0.4257</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0.4524</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0.4762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0.5055</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-0.0479</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DM</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0.5306</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0.5326</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0.5017</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-0.004</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0.5238</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0.5714</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0.5009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-0.0944</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Congestive_heart_failure</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0.4286</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0.5027</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-0.1429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0.4286</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0.5476</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0.5038</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-0.2381</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CCI_without_age</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4.4694</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4.413</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1.4537</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0.0379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4.4286</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4.619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1.1884</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-0.1281</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Cerebrovascular_disease</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0.3061</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0.3913</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0.4907</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-0.1829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0.3571</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0.4762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0.5055</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-0.2557</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Chronic_pulmonary_disease</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0.1633</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0.1304</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0.3386</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0.0879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0.1429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0.1429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0.3542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CAD_heart</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0.3469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0.2935</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0.4579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0.1112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0.3095</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0.3571</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0.485</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-0.099</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BMI</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22.7049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23.2929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3.8943</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-0.1925</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22.9189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22.3562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3.5457</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0.1842</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TC</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4.3298</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4.3628</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1.0358</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-0.0242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4.3481</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4.3609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1.0949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-0.0094</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ALB</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34.0102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35.8438</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4.4112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-0.3755</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34.9119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33.9508</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3.6894</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0.1968</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Hb</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83.0612</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87.1998</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21.3746</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-0.2149</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83.9048</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83.294</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19.2273</w:t>
            </w:r>
          </w:p>
        </w:tc>
        <w:tc>
          <w:tcPr>
            <w:tcW w:w="1402" w:type="dxa"/>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0.0317</w:t>
            </w:r>
          </w:p>
        </w:tc>
      </w:tr>
      <w:tr>
        <w:tblPrEx>
          <w:shd w:val="clear" w:color="auto" w:fill="auto"/>
          <w:tblCellMar>
            <w:top w:w="0" w:type="dxa"/>
            <w:left w:w="0" w:type="dxa"/>
            <w:bottom w:w="0" w:type="dxa"/>
            <w:right w:w="0" w:type="dxa"/>
          </w:tblCellMar>
        </w:tblPrEx>
        <w:trPr>
          <w:trHeight w:val="288" w:hRule="atLeast"/>
        </w:trPr>
        <w:tc>
          <w:tcPr>
            <w:tcW w:w="2766" w:type="dxa"/>
            <w:tcBorders>
              <w:top w:val="nil"/>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dialysis_begin_age</w:t>
            </w:r>
          </w:p>
        </w:tc>
        <w:tc>
          <w:tcPr>
            <w:tcW w:w="1402" w:type="dxa"/>
            <w:tcBorders>
              <w:top w:val="nil"/>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75.9388</w:t>
            </w:r>
          </w:p>
        </w:tc>
        <w:tc>
          <w:tcPr>
            <w:tcW w:w="1402" w:type="dxa"/>
            <w:tcBorders>
              <w:top w:val="nil"/>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77.4891</w:t>
            </w:r>
          </w:p>
        </w:tc>
        <w:tc>
          <w:tcPr>
            <w:tcW w:w="1402" w:type="dxa"/>
            <w:tcBorders>
              <w:top w:val="nil"/>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4.4905</w:t>
            </w:r>
          </w:p>
        </w:tc>
        <w:tc>
          <w:tcPr>
            <w:tcW w:w="1402" w:type="dxa"/>
            <w:tcBorders>
              <w:top w:val="nil"/>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-0.4075</w:t>
            </w:r>
          </w:p>
        </w:tc>
        <w:tc>
          <w:tcPr>
            <w:tcW w:w="1402" w:type="dxa"/>
            <w:tcBorders>
              <w:top w:val="nil"/>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76.1429</w:t>
            </w:r>
          </w:p>
        </w:tc>
        <w:tc>
          <w:tcPr>
            <w:tcW w:w="1402" w:type="dxa"/>
            <w:tcBorders>
              <w:top w:val="nil"/>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76.2619</w:t>
            </w:r>
          </w:p>
        </w:tc>
        <w:tc>
          <w:tcPr>
            <w:tcW w:w="1402" w:type="dxa"/>
            <w:tcBorders>
              <w:top w:val="nil"/>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4.3227</w:t>
            </w:r>
          </w:p>
        </w:tc>
        <w:tc>
          <w:tcPr>
            <w:tcW w:w="1402" w:type="dxa"/>
            <w:tcBorders>
              <w:top w:val="nil"/>
              <w:left w:val="nil"/>
              <w:bottom w:val="single" w:color="auto" w:sz="4" w:space="0"/>
              <w:right w:val="nil"/>
            </w:tcBorders>
            <w:shd w:val="clear" w:color="auto" w:fill="auto"/>
            <w:noWrap/>
            <w:tcMar>
              <w:top w:w="12" w:type="dxa"/>
              <w:left w:w="12" w:type="dxa"/>
              <w:right w:w="12" w:type="dxa"/>
            </w:tcMar>
            <w:vAlign w:val="center"/>
          </w:tcPr>
          <w:p>
            <w:pPr>
              <w:keepNext w:val="0"/>
              <w:keepLines w:val="0"/>
              <w:widowControl/>
              <w:suppressLineNumbers w:val="0"/>
              <w:jc w:val="righ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2"/>
                <w:szCs w:val="22"/>
                <w:u w:val="none"/>
                <w:lang w:val="en-US" w:eastAsia="zh-CN" w:bidi="ar"/>
              </w:rPr>
              <w:t>-0.0313</w:t>
            </w:r>
          </w:p>
        </w:tc>
      </w:tr>
      <w:bookmarkEnd w:id="1"/>
    </w:tbl>
    <w:p>
      <w:pPr>
        <w:widowControl/>
        <w:spacing w:after="120" w:line="360" w:lineRule="auto"/>
        <w:jc w:val="left"/>
        <w:rPr>
          <w:rFonts w:ascii="Times New Roman" w:hAnsi="Times New Roman" w:eastAsia="宋体" w:cs="Times New Roman"/>
          <w:kern w:val="0"/>
          <w:sz w:val="22"/>
        </w:rPr>
      </w:pPr>
      <w:r>
        <w:rPr>
          <w:rFonts w:hint="eastAsia" w:ascii="Times New Roman" w:hAnsi="Times New Roman" w:eastAsia="宋体" w:cs="Times New Roman"/>
          <w:kern w:val="0"/>
          <w:sz w:val="22"/>
        </w:rPr>
        <w:t xml:space="preserve">The </w:t>
      </w:r>
      <w:r>
        <w:rPr>
          <w:rFonts w:ascii="Times New Roman" w:hAnsi="Times New Roman" w:eastAsia="宋体" w:cs="Times New Roman"/>
          <w:kern w:val="0"/>
          <w:sz w:val="22"/>
        </w:rPr>
        <w:t>propensity score</w:t>
      </w:r>
      <w:r>
        <w:rPr>
          <w:rFonts w:hint="eastAsia" w:ascii="Times New Roman" w:hAnsi="Times New Roman" w:eastAsia="宋体" w:cs="Times New Roman"/>
          <w:kern w:val="0"/>
          <w:sz w:val="22"/>
        </w:rPr>
        <w:t xml:space="preserve"> of older than 70 years old group:</w:t>
      </w:r>
    </w:p>
    <w:p>
      <w:r>
        <w:rPr>
          <w:rFonts w:ascii="Times New Roman" w:hAnsi="Times New Roman" w:eastAsia="宋体" w:cs="Times New Roman"/>
          <w:kern w:val="0"/>
          <w:sz w:val="22"/>
        </w:rPr>
        <w:drawing>
          <wp:inline distT="0" distB="0" distL="0" distR="0">
            <wp:extent cx="4953000" cy="3048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4953430" cy="3048264"/>
                    </a:xfrm>
                    <a:prstGeom prst="rect">
                      <a:avLst/>
                    </a:prstGeom>
                  </pic:spPr>
                </pic:pic>
              </a:graphicData>
            </a:graphic>
          </wp:inline>
        </w:drawing>
      </w:r>
    </w:p>
    <w:sectPr>
      <w:pgSz w:w="16838" w:h="11906" w:orient="landscape"/>
      <w:pgMar w:top="567" w:right="1440" w:bottom="56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2A4670"/>
    <w:rsid w:val="072A4670"/>
    <w:rsid w:val="0CF770A6"/>
    <w:rsid w:val="2AFF54FD"/>
    <w:rsid w:val="3FC42109"/>
    <w:rsid w:val="4A1B2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2020-07-16T14:41:00Z</dcterms:created>
  <dc:creator>DonaldHe</dc:creator>
  <cp:lastModifiedBy>DonaldHe</cp:lastModifiedBy>
  <dcterms:modified xsi:type="dcterms:W3CDTF">2020-07-17T07:13:57Z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