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480" w:lineRule="auto"/>
        <w:rPr>
          <w:rFonts w:ascii="Times New Roman" w:hAnsi="Times New Roman" w:eastAsia="宋体" w:cs="Times New Roman"/>
          <w:b/>
          <w:bCs/>
          <w:color w:val="auto"/>
          <w:kern w:val="0"/>
          <w:sz w:val="24"/>
          <w:szCs w:val="24"/>
          <w:highlight w:val="none"/>
        </w:rPr>
      </w:pPr>
      <w:r>
        <w:rPr>
          <w:rFonts w:ascii="Times New Roman" w:hAnsi="Times New Roman" w:eastAsia="宋体" w:cs="Times New Roman"/>
          <w:b/>
          <w:bCs/>
          <w:color w:val="auto"/>
          <w:kern w:val="0"/>
          <w:sz w:val="24"/>
          <w:szCs w:val="24"/>
          <w:highlight w:val="none"/>
        </w:rPr>
        <w:t>Materials and methods</w:t>
      </w:r>
    </w:p>
    <w:p>
      <w:pPr>
        <w:widowControl/>
        <w:autoSpaceDE w:val="0"/>
        <w:autoSpaceDN w:val="0"/>
        <w:adjustRightInd w:val="0"/>
        <w:snapToGrid w:val="0"/>
        <w:spacing w:line="480" w:lineRule="auto"/>
        <w:rPr>
          <w:rFonts w:ascii="Times New Roman" w:hAnsi="Times New Roman" w:cs="Times New Roman"/>
          <w:color w:val="auto"/>
          <w:sz w:val="24"/>
          <w:szCs w:val="24"/>
          <w:highlight w:val="none"/>
        </w:rPr>
      </w:pPr>
      <w:r>
        <w:rPr>
          <w:rFonts w:ascii="Times New Roman" w:hAnsi="Times New Roman" w:cs="Times New Roman"/>
          <w:b/>
          <w:bCs/>
          <w:color w:val="auto"/>
          <w:sz w:val="24"/>
          <w:szCs w:val="24"/>
          <w:highlight w:val="none"/>
        </w:rPr>
        <w:t>Antibodies and reagents</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 xml:space="preserve">The </w:t>
      </w:r>
      <w:r>
        <w:rPr>
          <w:rFonts w:ascii="Times New Roman" w:hAnsi="Times New Roman" w:cs="Times New Roman"/>
          <w:color w:val="auto"/>
          <w:sz w:val="24"/>
          <w:szCs w:val="24"/>
          <w:highlight w:val="none"/>
        </w:rPr>
        <w:t xml:space="preserve">primary </w:t>
      </w:r>
      <w:r>
        <w:rPr>
          <w:rFonts w:hint="eastAsia" w:ascii="Times New Roman" w:hAnsi="Times New Roman" w:cs="Times New Roman"/>
          <w:color w:val="auto"/>
          <w:sz w:val="24"/>
          <w:szCs w:val="24"/>
          <w:highlight w:val="none"/>
        </w:rPr>
        <w:t xml:space="preserve">antibodies </w:t>
      </w:r>
      <w:r>
        <w:rPr>
          <w:rFonts w:ascii="Times New Roman" w:hAnsi="Times New Roman" w:cs="Times New Roman"/>
          <w:color w:val="auto"/>
          <w:sz w:val="24"/>
          <w:szCs w:val="24"/>
          <w:highlight w:val="none"/>
        </w:rPr>
        <w:t xml:space="preserve">against </w:t>
      </w:r>
      <w:r>
        <w:rPr>
          <w:rFonts w:hint="eastAsia" w:ascii="Times New Roman" w:hAnsi="Times New Roman" w:cs="Times New Roman"/>
          <w:color w:val="auto"/>
          <w:sz w:val="24"/>
          <w:szCs w:val="24"/>
          <w:highlight w:val="none"/>
        </w:rPr>
        <w:t xml:space="preserve">METTL3 (#86132), AGO2 (#82897), Histone H3K9ac (#9649), Histone H4K5ac (#8647) </w:t>
      </w:r>
      <w:r>
        <w:rPr>
          <w:rFonts w:ascii="Times New Roman" w:hAnsi="Times New Roman" w:cs="Times New Roman"/>
          <w:color w:val="auto"/>
          <w:sz w:val="24"/>
          <w:szCs w:val="24"/>
          <w:highlight w:val="none"/>
        </w:rPr>
        <w:t xml:space="preserve">were purchased from Cell Signaling Technology (Beverly, MA, USA), and antibodies against </w:t>
      </w:r>
      <w:r>
        <w:rPr>
          <w:rFonts w:hint="eastAsia" w:ascii="Times New Roman" w:hAnsi="Times New Roman" w:cs="Times New Roman"/>
          <w:color w:val="auto"/>
          <w:sz w:val="24"/>
          <w:szCs w:val="24"/>
          <w:highlight w:val="none"/>
        </w:rPr>
        <w:t>RNF113A (#27018-1-AP), EIF4A3 (#17504-1-AP), MDM2 (#66511-1-</w:t>
      </w:r>
      <w:r>
        <w:rPr>
          <w:rFonts w:ascii="Times New Roman" w:hAnsi="Times New Roman" w:cs="Times New Roman"/>
          <w:color w:val="auto"/>
          <w:sz w:val="24"/>
          <w:szCs w:val="24"/>
          <w:highlight w:val="none"/>
        </w:rPr>
        <w:t>l</w:t>
      </w:r>
      <w:r>
        <w:rPr>
          <w:rFonts w:hint="eastAsia" w:ascii="Times New Roman" w:hAnsi="Times New Roman" w:cs="Times New Roman"/>
          <w:color w:val="auto"/>
          <w:sz w:val="24"/>
          <w:szCs w:val="24"/>
          <w:highlight w:val="none"/>
        </w:rPr>
        <w:t>g), BCL2 (#60178-1-lg), BAX (#50599-2-lg), P21 (#10355-1-AP), P53 (#10442-1-AP), HA-Tag (#66006-2-Ig), Flag (#66008-4-lg,</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#20543-1-AP)</w:t>
      </w:r>
      <w:r>
        <w:rPr>
          <w:rFonts w:ascii="Times New Roman" w:hAnsi="Times New Roman" w:cs="Times New Roman"/>
          <w:color w:val="auto"/>
          <w:sz w:val="24"/>
          <w:szCs w:val="24"/>
          <w:highlight w:val="none"/>
        </w:rPr>
        <w:t xml:space="preserve"> were obtained from </w:t>
      </w:r>
      <w:r>
        <w:rPr>
          <w:rFonts w:hint="eastAsia" w:ascii="Times New Roman" w:hAnsi="Times New Roman" w:cs="Times New Roman"/>
          <w:color w:val="auto"/>
          <w:sz w:val="24"/>
          <w:szCs w:val="24"/>
          <w:highlight w:val="none"/>
        </w:rPr>
        <w:t>proteintech</w:t>
      </w:r>
      <w:r>
        <w:rPr>
          <w:rFonts w:ascii="Times New Roman" w:hAnsi="Times New Roman" w:cs="Times New Roman"/>
          <w:color w:val="auto"/>
          <w:sz w:val="24"/>
          <w:szCs w:val="24"/>
          <w:highlight w:val="none"/>
        </w:rPr>
        <w:t xml:space="preserve"> (USA)</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 xml:space="preserve"> The antibody against </w:t>
      </w:r>
      <w:r>
        <w:rPr>
          <w:rFonts w:hint="eastAsia" w:ascii="Times New Roman" w:hAnsi="Times New Roman" w:cs="Times New Roman"/>
          <w:color w:val="auto"/>
          <w:sz w:val="24"/>
          <w:szCs w:val="24"/>
          <w:highlight w:val="none"/>
        </w:rPr>
        <w:t>GAPDH</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ab8245)</w:t>
      </w:r>
      <w:r>
        <w:rPr>
          <w:rFonts w:ascii="Times New Roman" w:hAnsi="Times New Roman" w:cs="Times New Roman"/>
          <w:color w:val="auto"/>
          <w:sz w:val="24"/>
          <w:szCs w:val="24"/>
          <w:highlight w:val="none"/>
        </w:rPr>
        <w:t xml:space="preserve"> was obtained from</w:t>
      </w:r>
      <w:r>
        <w:rPr>
          <w:rFonts w:ascii="Times New Roman" w:hAnsi="Times New Roman"/>
          <w:color w:val="auto"/>
          <w:sz w:val="24"/>
          <w:highlight w:val="none"/>
        </w:rPr>
        <w:t xml:space="preserve"> Abcam (Cambridge, UK).</w:t>
      </w:r>
      <w:r>
        <w:rPr>
          <w:rFonts w:hint="eastAsia" w:ascii="Times New Roman" w:hAnsi="Times New Roman" w:cs="Times New Roman"/>
          <w:color w:val="auto"/>
          <w:sz w:val="24"/>
          <w:szCs w:val="24"/>
          <w:highlight w:val="none"/>
        </w:rPr>
        <w:t xml:space="preserve"> HRP-conjugated secondary antibodies</w:t>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rPr>
        <w:t xml:space="preserve"> goat-anti-mouse-HRP (AB_2338504)</w:t>
      </w:r>
      <w:r>
        <w:rPr>
          <w:rFonts w:ascii="Times New Roman" w:hAnsi="Times New Roman" w:cs="Times New Roman"/>
          <w:color w:val="auto"/>
          <w:sz w:val="24"/>
          <w:szCs w:val="24"/>
          <w:highlight w:val="none"/>
        </w:rPr>
        <w:t xml:space="preserve"> and </w:t>
      </w:r>
      <w:r>
        <w:rPr>
          <w:rFonts w:hint="eastAsia" w:ascii="Times New Roman" w:hAnsi="Times New Roman" w:cs="Times New Roman"/>
          <w:color w:val="auto"/>
          <w:sz w:val="24"/>
          <w:szCs w:val="24"/>
          <w:highlight w:val="none"/>
        </w:rPr>
        <w:t>goat</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anti-rabbit-HRP (AB_2337938)</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 xml:space="preserve">were </w:t>
      </w:r>
      <w:r>
        <w:rPr>
          <w:rFonts w:ascii="Times New Roman" w:hAnsi="Times New Roman" w:cs="Times New Roman"/>
          <w:color w:val="auto"/>
          <w:sz w:val="24"/>
          <w:szCs w:val="24"/>
          <w:highlight w:val="none"/>
        </w:rPr>
        <w:t xml:space="preserve">bought </w:t>
      </w:r>
      <w:r>
        <w:rPr>
          <w:rFonts w:hint="eastAsia" w:ascii="Times New Roman" w:hAnsi="Times New Roman" w:cs="Times New Roman"/>
          <w:color w:val="auto"/>
          <w:sz w:val="24"/>
          <w:szCs w:val="24"/>
          <w:highlight w:val="none"/>
        </w:rPr>
        <w:t>from Jackson ImmunoResearch.</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 xml:space="preserve">METTL3 </w:t>
      </w:r>
      <w:r>
        <w:rPr>
          <w:rFonts w:hint="eastAsia" w:ascii="Times New Roman" w:hAnsi="Times New Roman" w:eastAsia="宋体" w:cs="Times New Roman"/>
          <w:color w:val="auto"/>
          <w:kern w:val="0"/>
          <w:sz w:val="24"/>
          <w:szCs w:val="24"/>
          <w:highlight w:val="none"/>
        </w:rPr>
        <w:t>inhibitor STM2457,</w:t>
      </w:r>
      <w:r>
        <w:rPr>
          <w:rFonts w:hint="eastAsia" w:ascii="Times New Roman" w:hAnsi="Times New Roman" w:cs="Times New Roman"/>
          <w:color w:val="auto"/>
          <w:sz w:val="24"/>
          <w:szCs w:val="24"/>
          <w:highlight w:val="none"/>
        </w:rPr>
        <w:t xml:space="preserve"> </w:t>
      </w:r>
      <w:r>
        <w:rPr>
          <w:rFonts w:hint="eastAsia" w:ascii="Times New Roman" w:hAnsi="Times New Roman" w:eastAsia="宋体" w:cs="Times New Roman"/>
          <w:color w:val="auto"/>
          <w:kern w:val="0"/>
          <w:sz w:val="24"/>
          <w:szCs w:val="24"/>
          <w:highlight w:val="none"/>
        </w:rPr>
        <w:t xml:space="preserve">Chidamide, 5-Azacytidine, </w:t>
      </w:r>
      <w:r>
        <w:rPr>
          <w:rFonts w:ascii="Times New Roman" w:hAnsi="Times New Roman" w:eastAsia="宋体" w:cs="Times New Roman"/>
          <w:color w:val="auto"/>
          <w:kern w:val="0"/>
          <w:sz w:val="24"/>
          <w:szCs w:val="24"/>
          <w:highlight w:val="none"/>
        </w:rPr>
        <w:t>Ara-C</w:t>
      </w:r>
      <w:r>
        <w:rPr>
          <w:rFonts w:hint="eastAsia" w:ascii="Times New Roman" w:hAnsi="Times New Roman" w:eastAsia="宋体" w:cs="Times New Roman"/>
          <w:color w:val="auto"/>
          <w:kern w:val="0"/>
          <w:sz w:val="24"/>
          <w:szCs w:val="24"/>
          <w:highlight w:val="none"/>
        </w:rPr>
        <w:t xml:space="preserve"> and MG132</w:t>
      </w:r>
      <w:r>
        <w:rPr>
          <w:rFonts w:hint="eastAsia" w:ascii="Times New Roman" w:hAnsi="Times New Roman" w:cs="Times New Roman"/>
          <w:color w:val="auto"/>
          <w:sz w:val="24"/>
          <w:szCs w:val="24"/>
          <w:highlight w:val="none"/>
        </w:rPr>
        <w:t xml:space="preserve"> were purchased from </w:t>
      </w:r>
      <w:r>
        <w:rPr>
          <w:rFonts w:ascii="Times New Roman" w:hAnsi="Times New Roman" w:cs="Times New Roman"/>
          <w:color w:val="auto"/>
          <w:sz w:val="24"/>
          <w:szCs w:val="24"/>
          <w:highlight w:val="none"/>
        </w:rPr>
        <w:t>MCE (USA)</w:t>
      </w:r>
      <w:r>
        <w:rPr>
          <w:rFonts w:hint="eastAsia" w:ascii="Times New Roman" w:hAnsi="Times New Roman" w:cs="Times New Roman"/>
          <w:color w:val="auto"/>
          <w:sz w:val="24"/>
          <w:szCs w:val="24"/>
          <w:highlight w:val="none"/>
        </w:rPr>
        <w:t xml:space="preserve">. </w:t>
      </w:r>
    </w:p>
    <w:p>
      <w:pPr>
        <w:widowControl/>
        <w:adjustRightInd w:val="0"/>
        <w:snapToGrid w:val="0"/>
        <w:spacing w:line="480" w:lineRule="auto"/>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Cell culture</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AML</w:t>
      </w:r>
      <w:r>
        <w:rPr>
          <w:rFonts w:ascii="Times New Roman" w:hAnsi="Times New Roman" w:cs="Times New Roman"/>
          <w:color w:val="auto"/>
          <w:sz w:val="24"/>
          <w:szCs w:val="24"/>
          <w:highlight w:val="none"/>
        </w:rPr>
        <w:t xml:space="preserve"> cells</w:t>
      </w:r>
      <w:r>
        <w:rPr>
          <w:rFonts w:hint="eastAsia" w:ascii="Times New Roman" w:hAnsi="Times New Roman" w:cs="Times New Roman"/>
          <w:color w:val="auto"/>
          <w:sz w:val="24"/>
          <w:szCs w:val="24"/>
          <w:highlight w:val="none"/>
        </w:rPr>
        <w:t xml:space="preserve"> lines</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(THP-1</w:t>
      </w:r>
      <w:r>
        <w:rPr>
          <w:rFonts w:ascii="Times New Roman" w:hAnsi="Times New Roman" w:cs="Times New Roman"/>
          <w:color w:val="auto"/>
          <w:sz w:val="24"/>
          <w:szCs w:val="24"/>
          <w:highlight w:val="none"/>
        </w:rPr>
        <w:t xml:space="preserve"> and</w:t>
      </w:r>
      <w:r>
        <w:rPr>
          <w:rFonts w:hint="eastAsia" w:ascii="Times New Roman" w:hAnsi="Times New Roman" w:cs="Times New Roman"/>
          <w:color w:val="auto"/>
          <w:sz w:val="24"/>
          <w:szCs w:val="24"/>
          <w:highlight w:val="none"/>
        </w:rPr>
        <w:t xml:space="preserve"> Molm-13) and</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 xml:space="preserve">293T cells </w:t>
      </w:r>
      <w:r>
        <w:rPr>
          <w:rFonts w:ascii="Times New Roman" w:hAnsi="Times New Roman" w:cs="Times New Roman"/>
          <w:color w:val="auto"/>
          <w:sz w:val="24"/>
          <w:szCs w:val="24"/>
          <w:highlight w:val="none"/>
        </w:rPr>
        <w:t>were commercially obtained from the Cell Bank of Type Culture of the Chinese Academy of Sciences (Shanghai, China). THP</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1 cells were cultured in RPMI-1640 (Gibco, NE, USA) with 10% fetal bovine serum (FBS, Biological Industries, Beit HaEmek, Israel).</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Molm-13 cells were cultured in </w:t>
      </w:r>
      <w:r>
        <w:rPr>
          <w:rFonts w:hint="eastAsia" w:ascii="Times New Roman" w:hAnsi="Times New Roman" w:cs="Times New Roman"/>
          <w:color w:val="auto"/>
          <w:sz w:val="24"/>
          <w:szCs w:val="24"/>
          <w:highlight w:val="none"/>
        </w:rPr>
        <w:t>IMDM</w:t>
      </w:r>
      <w:r>
        <w:rPr>
          <w:rFonts w:ascii="Times New Roman" w:hAnsi="Times New Roman" w:cs="Times New Roman"/>
          <w:color w:val="auto"/>
          <w:sz w:val="24"/>
          <w:szCs w:val="24"/>
          <w:highlight w:val="none"/>
        </w:rPr>
        <w:t xml:space="preserve"> (Gibco, NE, USA)</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supplemented with </w:t>
      </w:r>
      <w:r>
        <w:rPr>
          <w:rFonts w:hint="eastAsia" w:ascii="Times New Roman" w:hAnsi="Times New Roman" w:cs="Times New Roman"/>
          <w:color w:val="auto"/>
          <w:sz w:val="24"/>
          <w:szCs w:val="24"/>
          <w:highlight w:val="none"/>
        </w:rPr>
        <w:t>2</w:t>
      </w:r>
      <w:r>
        <w:rPr>
          <w:rFonts w:ascii="Times New Roman" w:hAnsi="Times New Roman" w:cs="Times New Roman"/>
          <w:color w:val="auto"/>
          <w:sz w:val="24"/>
          <w:szCs w:val="24"/>
          <w:highlight w:val="none"/>
        </w:rPr>
        <w:t xml:space="preserve">0% FBS, </w:t>
      </w:r>
      <w:r>
        <w:rPr>
          <w:rFonts w:hint="eastAsia" w:ascii="Times New Roman" w:hAnsi="Times New Roman" w:cs="Times New Roman"/>
          <w:color w:val="auto"/>
          <w:sz w:val="24"/>
          <w:szCs w:val="24"/>
          <w:highlight w:val="none"/>
        </w:rPr>
        <w:t>and 293T</w:t>
      </w:r>
      <w:r>
        <w:rPr>
          <w:rFonts w:ascii="Times New Roman" w:hAnsi="Times New Roman" w:cs="Times New Roman"/>
          <w:color w:val="auto"/>
          <w:sz w:val="24"/>
          <w:szCs w:val="24"/>
          <w:highlight w:val="none"/>
        </w:rPr>
        <w:t xml:space="preserve"> cells were cultured in DMEM (Dulbecco’s modified eagle medium; Gibco, NE, USA)</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supplemented with </w:t>
      </w:r>
      <w:r>
        <w:rPr>
          <w:rFonts w:hint="eastAsia" w:ascii="Times New Roman" w:hAnsi="Times New Roman" w:cs="Times New Roman"/>
          <w:color w:val="auto"/>
          <w:sz w:val="24"/>
          <w:szCs w:val="24"/>
          <w:highlight w:val="none"/>
        </w:rPr>
        <w:t>1</w:t>
      </w:r>
      <w:r>
        <w:rPr>
          <w:rFonts w:ascii="Times New Roman" w:hAnsi="Times New Roman" w:cs="Times New Roman"/>
          <w:color w:val="auto"/>
          <w:sz w:val="24"/>
          <w:szCs w:val="24"/>
          <w:highlight w:val="none"/>
        </w:rPr>
        <w:t>0% FBS. All the cells were cultured in a humidified atmosphere at 37◦C and 5% CO</w:t>
      </w:r>
      <w:r>
        <w:rPr>
          <w:rFonts w:ascii="Times New Roman" w:hAnsi="Times New Roman" w:cs="Times New Roman"/>
          <w:color w:val="auto"/>
          <w:sz w:val="24"/>
          <w:szCs w:val="24"/>
          <w:highlight w:val="none"/>
          <w:vertAlign w:val="subscript"/>
        </w:rPr>
        <w:t>2</w:t>
      </w:r>
      <w:r>
        <w:rPr>
          <w:rFonts w:ascii="Times New Roman" w:hAnsi="Times New Roman" w:cs="Times New Roman"/>
          <w:color w:val="auto"/>
          <w:sz w:val="24"/>
          <w:szCs w:val="24"/>
          <w:highlight w:val="none"/>
        </w:rPr>
        <w:t>.</w:t>
      </w:r>
    </w:p>
    <w:p>
      <w:pPr>
        <w:widowControl/>
        <w:adjustRightInd w:val="0"/>
        <w:snapToGrid w:val="0"/>
        <w:spacing w:line="480" w:lineRule="auto"/>
        <w:rPr>
          <w:rFonts w:ascii="Times New Roman" w:hAnsi="Times New Roman" w:cs="Times New Roman"/>
          <w:color w:val="auto"/>
          <w:sz w:val="24"/>
          <w:szCs w:val="24"/>
          <w:highlight w:val="none"/>
        </w:rPr>
      </w:pPr>
      <w:r>
        <w:rPr>
          <w:rFonts w:hint="eastAsia"/>
          <w:color w:val="auto"/>
          <w:sz w:val="24"/>
          <w:szCs w:val="24"/>
          <w:highlight w:val="none"/>
        </w:rPr>
        <w:t xml:space="preserve"> </w:t>
      </w:r>
      <w:r>
        <w:rPr>
          <w:rFonts w:ascii="Times New Roman" w:hAnsi="Times New Roman" w:cs="Times New Roman"/>
          <w:b/>
          <w:bCs/>
          <w:color w:val="auto"/>
          <w:sz w:val="24"/>
          <w:szCs w:val="24"/>
          <w:highlight w:val="none"/>
        </w:rPr>
        <w:t>Quantitative reverse transcription PCR (qRT-PCR)</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Total RNA was isolated using Trizol (Ambion, CA, USA), then reversely transcribed into cDNA at </w:t>
      </w:r>
      <w:r>
        <w:rPr>
          <w:rFonts w:ascii="Times New Roman" w:hAnsi="Times New Roman"/>
          <w:color w:val="auto"/>
          <w:sz w:val="24"/>
          <w:szCs w:val="24"/>
          <w:highlight w:val="none"/>
        </w:rPr>
        <w:t>37°C for 15 minutes followed by 85°C for 10 sec</w:t>
      </w:r>
      <w:r>
        <w:rPr>
          <w:rFonts w:ascii="Times New Roman" w:hAnsi="Times New Roman"/>
          <w:color w:val="auto"/>
          <w:sz w:val="24"/>
          <w:highlight w:val="none"/>
        </w:rPr>
        <w:t xml:space="preserve">onds </w:t>
      </w:r>
      <w:r>
        <w:rPr>
          <w:rFonts w:ascii="Times New Roman" w:hAnsi="Times New Roman" w:cs="Times New Roman"/>
          <w:color w:val="auto"/>
          <w:sz w:val="24"/>
          <w:szCs w:val="24"/>
          <w:highlight w:val="none"/>
        </w:rPr>
        <w:t xml:space="preserve">using M-MLV RTase cDNA Synthesis Kit (Takara </w:t>
      </w:r>
      <w:r>
        <w:rPr>
          <w:rFonts w:ascii="Times New Roman" w:hAnsi="Times New Roman"/>
          <w:color w:val="auto"/>
          <w:sz w:val="24"/>
          <w:highlight w:val="none"/>
        </w:rPr>
        <w:t>Bio Inc</w:t>
      </w:r>
      <w:r>
        <w:rPr>
          <w:rFonts w:ascii="Times New Roman" w:hAnsi="Times New Roman" w:cs="Times New Roman"/>
          <w:color w:val="auto"/>
          <w:sz w:val="24"/>
          <w:szCs w:val="24"/>
          <w:highlight w:val="none"/>
        </w:rPr>
        <w:t>, Japan). Quantitative PCR (qPCR) was conducted in Roche Applied Science Light</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Cycler 480II Real-time PCR systems (Roche Applied Science, IN, USA) in accordance to the manufacturer’s instructions. AceQ qPCR SYBR Green Master Mix (Takara, Japan) was used for qPCR. The PCR contained 5 μL of 2×SYBR Green Real-time PCR Master Mix, 0</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5 μL of the forward and reverse primers, 1 μL of cDNA and 3 μL ddH</w:t>
      </w:r>
      <w:r>
        <w:rPr>
          <w:rFonts w:ascii="Times New Roman" w:hAnsi="Times New Roman" w:cs="Times New Roman"/>
          <w:color w:val="auto"/>
          <w:sz w:val="24"/>
          <w:szCs w:val="24"/>
          <w:highlight w:val="none"/>
          <w:vertAlign w:val="subscript"/>
        </w:rPr>
        <w:t>2</w:t>
      </w:r>
      <w:r>
        <w:rPr>
          <w:rFonts w:ascii="Times New Roman" w:hAnsi="Times New Roman" w:cs="Times New Roman"/>
          <w:color w:val="auto"/>
          <w:sz w:val="24"/>
          <w:szCs w:val="24"/>
          <w:highlight w:val="none"/>
        </w:rPr>
        <w:t>O, in a final volume of 10 μL. PCR conditions were performed as follows: 95°C for 10 minutes followed by 40 cycles (95°C for 20 seconds and 60°C for 1 minutes). The primer sequences for the relevant genes were shown in Table 1. Relative gene expression was expressed relative to endogenous control GAPDH and calculated using 2</w:t>
      </w:r>
      <w:r>
        <w:rPr>
          <w:rFonts w:ascii="Times New Roman" w:hAnsi="Times New Roman" w:cs="Times New Roman"/>
          <w:color w:val="auto"/>
          <w:sz w:val="24"/>
          <w:szCs w:val="24"/>
          <w:highlight w:val="none"/>
          <w:vertAlign w:val="superscript"/>
        </w:rPr>
        <w:t xml:space="preserve"> –</w:t>
      </w:r>
      <w:r>
        <w:rPr>
          <w:rFonts w:ascii="Cambria Math" w:hAnsi="Cambria Math" w:cs="Cambria Math"/>
          <w:color w:val="auto"/>
          <w:sz w:val="24"/>
          <w:szCs w:val="24"/>
          <w:highlight w:val="none"/>
          <w:vertAlign w:val="superscript"/>
          <w:lang w:eastAsia="ja-JP"/>
        </w:rPr>
        <w:t>△</w:t>
      </w:r>
      <w:r>
        <w:rPr>
          <w:rFonts w:ascii="Times New Roman" w:hAnsi="Times New Roman" w:cs="Times New Roman"/>
          <w:color w:val="auto"/>
          <w:sz w:val="24"/>
          <w:szCs w:val="24"/>
          <w:highlight w:val="none"/>
          <w:vertAlign w:val="superscript"/>
        </w:rPr>
        <w:t>CT</w:t>
      </w:r>
      <w:r>
        <w:rPr>
          <w:rFonts w:ascii="Times New Roman" w:hAnsi="Times New Roman" w:cs="Times New Roman"/>
          <w:color w:val="auto"/>
          <w:sz w:val="24"/>
          <w:szCs w:val="24"/>
          <w:highlight w:val="none"/>
        </w:rPr>
        <w:t xml:space="preserve"> method.</w:t>
      </w:r>
    </w:p>
    <w:p>
      <w:pPr>
        <w:widowControl/>
        <w:adjustRightInd w:val="0"/>
        <w:snapToGrid w:val="0"/>
        <w:spacing w:line="480" w:lineRule="auto"/>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RNase R treatment</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To assess the stability of </w:t>
      </w:r>
      <w:bookmarkStart w:id="0" w:name="OLE_LINK6"/>
      <w:r>
        <w:rPr>
          <w:rFonts w:ascii="Times New Roman" w:hAnsi="Times New Roman" w:cs="Times New Roman"/>
          <w:color w:val="auto"/>
          <w:sz w:val="24"/>
          <w:szCs w:val="24"/>
          <w:highlight w:val="none"/>
        </w:rPr>
        <w:t xml:space="preserve">Circ _0001187 </w:t>
      </w:r>
      <w:bookmarkEnd w:id="0"/>
      <w:r>
        <w:rPr>
          <w:rFonts w:ascii="Times New Roman" w:hAnsi="Times New Roman" w:cs="Times New Roman"/>
          <w:color w:val="auto"/>
          <w:sz w:val="24"/>
          <w:szCs w:val="24"/>
          <w:highlight w:val="none"/>
        </w:rPr>
        <w:t>and its linear DOPEY2 mRNA, we first digested total RNA (1μg) of THP-1 with 4 U RNase R at 37◦C for 1 h. Then the expression levels of these two genes were determined by using qRT-PCR and agarose gel electrophoresis.</w:t>
      </w:r>
    </w:p>
    <w:p>
      <w:pPr>
        <w:widowControl/>
        <w:adjustRightInd w:val="0"/>
        <w:snapToGrid w:val="0"/>
        <w:spacing w:line="480" w:lineRule="auto"/>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Lentivirus, siRNA, plasmid construction, and cell transfection</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AML cells were infected with the lentivirus containing short hairpin RNA (shRNA) of </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 xml:space="preserve"> or lentivirus with overexpressed </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 xml:space="preserve">. Fluorescence microscope was used to determine the infection efficiency after 48 hours, and puromycin was used to gain the stable infection cells. The qRT-PCR method was used to detect the mRNA expression changes of </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 xml:space="preserve"> after infecting lentivirus in AML cells.</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The siRNA of</w:t>
      </w:r>
      <w:r>
        <w:rPr>
          <w:rFonts w:hint="eastAsia" w:ascii="Times New Roman" w:hAnsi="Times New Roman" w:eastAsia="宋体" w:cs="Times New Roman"/>
          <w:color w:val="auto"/>
          <w:kern w:val="0"/>
          <w:sz w:val="24"/>
          <w:szCs w:val="24"/>
          <w:highlight w:val="none"/>
        </w:rPr>
        <w:t xml:space="preserve"> </w:t>
      </w:r>
      <w:r>
        <w:rPr>
          <w:rFonts w:hint="eastAsia" w:ascii="Times New Roman" w:hAnsi="Times New Roman" w:eastAsia="宋体" w:cs="Times New Roman"/>
          <w:color w:val="auto"/>
          <w:kern w:val="0"/>
          <w:sz w:val="24"/>
          <w:szCs w:val="24"/>
          <w:highlight w:val="none"/>
          <w:lang w:eastAsia="zh-CN"/>
        </w:rPr>
        <w:t>Circ_0001187</w:t>
      </w:r>
      <w:r>
        <w:rPr>
          <w:rFonts w:hint="eastAsia" w:ascii="Times New Roman" w:hAnsi="Times New Roman" w:eastAsia="宋体" w:cs="Times New Roman"/>
          <w:color w:val="auto"/>
          <w:kern w:val="0"/>
          <w:sz w:val="24"/>
          <w:szCs w:val="24"/>
          <w:highlight w:val="none"/>
        </w:rPr>
        <w:t xml:space="preserve">, EIF4A3, RNF113A, METTL3, TRIM21, TRIM33, UBR5, MYCBP2, TRIM56, TRIM41, HUWE1, </w:t>
      </w:r>
      <w:r>
        <w:rPr>
          <w:rFonts w:ascii="Times New Roman" w:hAnsi="Times New Roman" w:eastAsia="宋体" w:cs="Times New Roman"/>
          <w:color w:val="auto"/>
          <w:kern w:val="0"/>
          <w:sz w:val="24"/>
          <w:szCs w:val="24"/>
          <w:highlight w:val="none"/>
        </w:rPr>
        <w:t xml:space="preserve">or </w:t>
      </w:r>
      <w:r>
        <w:rPr>
          <w:rFonts w:hint="eastAsia" w:ascii="Times New Roman" w:hAnsi="Times New Roman" w:eastAsia="宋体" w:cs="Times New Roman"/>
          <w:color w:val="auto"/>
          <w:kern w:val="0"/>
          <w:sz w:val="24"/>
          <w:szCs w:val="24"/>
          <w:highlight w:val="none"/>
        </w:rPr>
        <w:t>HERC2</w:t>
      </w:r>
      <w:r>
        <w:rPr>
          <w:rFonts w:ascii="Times New Roman" w:hAnsi="Times New Roman" w:eastAsia="宋体" w:cs="Times New Roman"/>
          <w:color w:val="auto"/>
          <w:kern w:val="0"/>
          <w:sz w:val="24"/>
          <w:szCs w:val="24"/>
          <w:highlight w:val="none"/>
        </w:rPr>
        <w:t>,</w:t>
      </w:r>
      <w:r>
        <w:rPr>
          <w:rFonts w:ascii="Times New Roman" w:hAnsi="Times New Roman" w:cs="Times New Roman"/>
          <w:color w:val="auto"/>
          <w:sz w:val="24"/>
          <w:szCs w:val="24"/>
          <w:highlight w:val="none"/>
        </w:rPr>
        <w:t xml:space="preserve"> and their related control oligonucleotides were precisely designed and produced by Gene Pharma (Shanghai, China). The</w:t>
      </w:r>
      <w:r>
        <w:rPr>
          <w:rFonts w:hint="eastAsia" w:ascii="Times New Roman" w:hAnsi="Times New Roman" w:cs="Times New Roman"/>
          <w:color w:val="auto"/>
          <w:sz w:val="24"/>
          <w:szCs w:val="24"/>
          <w:highlight w:val="none"/>
        </w:rPr>
        <w:t xml:space="preserve"> miR-499a-5p mimics or inhibitor </w:t>
      </w:r>
      <w:r>
        <w:rPr>
          <w:rFonts w:ascii="Times New Roman" w:hAnsi="Times New Roman" w:cs="Times New Roman"/>
          <w:color w:val="auto"/>
          <w:sz w:val="24"/>
          <w:szCs w:val="24"/>
          <w:highlight w:val="none"/>
        </w:rPr>
        <w:t>and the related control oligonucleotides were</w:t>
      </w:r>
      <w:r>
        <w:rPr>
          <w:rFonts w:hint="eastAsia" w:ascii="Times New Roman" w:hAnsi="Times New Roman" w:cs="Times New Roman"/>
          <w:color w:val="auto"/>
          <w:sz w:val="24"/>
          <w:szCs w:val="24"/>
          <w:highlight w:val="none"/>
        </w:rPr>
        <w:t xml:space="preserve"> also</w:t>
      </w:r>
      <w:r>
        <w:rPr>
          <w:rFonts w:ascii="Times New Roman" w:hAnsi="Times New Roman" w:cs="Times New Roman"/>
          <w:color w:val="auto"/>
          <w:sz w:val="24"/>
          <w:szCs w:val="24"/>
          <w:highlight w:val="none"/>
        </w:rPr>
        <w:t xml:space="preserve"> precisely designed and provided by Gene Pharma (Shanghai, China).</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FLAG-tagged expression vector for full-length </w:t>
      </w:r>
      <w:r>
        <w:rPr>
          <w:rFonts w:hint="eastAsia" w:ascii="Times New Roman" w:hAnsi="Times New Roman" w:cs="Times New Roman"/>
          <w:color w:val="auto"/>
          <w:sz w:val="24"/>
          <w:szCs w:val="24"/>
          <w:highlight w:val="none"/>
        </w:rPr>
        <w:t>METTL3, GFP</w:t>
      </w:r>
      <w:r>
        <w:rPr>
          <w:rFonts w:ascii="Times New Roman" w:hAnsi="Times New Roman" w:cs="Times New Roman"/>
          <w:color w:val="auto"/>
          <w:sz w:val="24"/>
          <w:szCs w:val="24"/>
          <w:highlight w:val="none"/>
        </w:rPr>
        <w:t xml:space="preserve">-tagged expression vector for full-length </w:t>
      </w:r>
      <w:r>
        <w:rPr>
          <w:rFonts w:hint="eastAsia" w:ascii="Times New Roman" w:hAnsi="Times New Roman" w:cs="Times New Roman"/>
          <w:color w:val="auto"/>
          <w:sz w:val="24"/>
          <w:szCs w:val="24"/>
          <w:highlight w:val="none"/>
        </w:rPr>
        <w:t>RNF113A</w:t>
      </w:r>
      <w:r>
        <w:rPr>
          <w:rFonts w:ascii="Times New Roman" w:hAnsi="Times New Roman" w:cs="Times New Roman"/>
          <w:color w:val="auto"/>
          <w:sz w:val="24"/>
          <w:szCs w:val="24"/>
          <w:highlight w:val="none"/>
        </w:rPr>
        <w:t xml:space="preserve"> and </w:t>
      </w:r>
      <w:r>
        <w:rPr>
          <w:rFonts w:hint="eastAsia" w:ascii="Times New Roman" w:hAnsi="Times New Roman" w:cs="Times New Roman"/>
          <w:color w:val="auto"/>
          <w:sz w:val="24"/>
          <w:szCs w:val="24"/>
          <w:highlight w:val="none"/>
        </w:rPr>
        <w:t xml:space="preserve">HA-UB </w:t>
      </w:r>
      <w:r>
        <w:rPr>
          <w:rFonts w:ascii="Times New Roman" w:hAnsi="Times New Roman" w:cs="Times New Roman"/>
          <w:color w:val="auto"/>
          <w:sz w:val="24"/>
          <w:szCs w:val="24"/>
          <w:highlight w:val="none"/>
        </w:rPr>
        <w:t>plasmid were provided by Boshang  (Jinan, China). For the transfection of siRNAs and plasmids, cells were transfected using the ExFect 2000 Transfection Reagent (Vazyme</w:t>
      </w:r>
      <w:r>
        <w:rPr>
          <w:rFonts w:hint="eastAsia" w:ascii="Times New Roman" w:hAnsi="Times New Roman" w:cs="Times New Roman"/>
          <w:color w:val="auto"/>
          <w:sz w:val="24"/>
          <w:szCs w:val="24"/>
          <w:highlight w:val="none"/>
        </w:rPr>
        <w:t>, China</w:t>
      </w:r>
      <w:r>
        <w:rPr>
          <w:rFonts w:ascii="Times New Roman" w:hAnsi="Times New Roman" w:cs="Times New Roman"/>
          <w:color w:val="auto"/>
          <w:sz w:val="24"/>
          <w:szCs w:val="24"/>
          <w:highlight w:val="none"/>
        </w:rPr>
        <w:t>) according to the manufacturer’s instructions. All the sequences are listed in</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Table </w:t>
      </w:r>
      <w:r>
        <w:rPr>
          <w:rFonts w:hint="eastAsia" w:ascii="Times New Roman" w:hAnsi="Times New Roman" w:cs="Times New Roman"/>
          <w:color w:val="auto"/>
          <w:sz w:val="24"/>
          <w:szCs w:val="24"/>
          <w:highlight w:val="none"/>
        </w:rPr>
        <w:t>2</w:t>
      </w:r>
      <w:r>
        <w:rPr>
          <w:rFonts w:ascii="Times New Roman" w:hAnsi="Times New Roman" w:cs="Times New Roman"/>
          <w:color w:val="auto"/>
          <w:sz w:val="24"/>
          <w:szCs w:val="24"/>
          <w:highlight w:val="none"/>
        </w:rPr>
        <w:t>.</w:t>
      </w:r>
    </w:p>
    <w:p>
      <w:pPr>
        <w:widowControl/>
        <w:adjustRightInd w:val="0"/>
        <w:snapToGrid w:val="0"/>
        <w:spacing w:line="480" w:lineRule="auto"/>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Cell proliferation assays</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After different treatments, the cells were </w:t>
      </w:r>
      <w:r>
        <w:rPr>
          <w:rFonts w:hint="eastAsia" w:ascii="Times New Roman" w:hAnsi="Times New Roman" w:cs="Times New Roman"/>
          <w:color w:val="auto"/>
          <w:sz w:val="24"/>
          <w:szCs w:val="24"/>
          <w:highlight w:val="none"/>
        </w:rPr>
        <w:t>seeded</w:t>
      </w:r>
      <w:r>
        <w:rPr>
          <w:rFonts w:ascii="Times New Roman" w:hAnsi="Times New Roman" w:cs="Times New Roman"/>
          <w:color w:val="auto"/>
          <w:sz w:val="24"/>
          <w:szCs w:val="24"/>
          <w:highlight w:val="none"/>
        </w:rPr>
        <w:t xml:space="preserve"> in 96-well plates and incubated with 10μL of CCK-8 (Beyotime, China) for 3 hours. Then the absorbance was measured at 450 nm. All experiments were performed in triplicates.</w:t>
      </w:r>
    </w:p>
    <w:p>
      <w:pPr>
        <w:widowControl/>
        <w:adjustRightInd w:val="0"/>
        <w:snapToGrid w:val="0"/>
        <w:spacing w:line="480" w:lineRule="auto"/>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 xml:space="preserve">Apoptosis assay </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Cell apoptosis was detected using an Annexin V-FITC/PI apoptosis</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detection kit (BestBio, Shanghai, China) according to the manufacturer’s instructions. Briefly, after different treatments, </w:t>
      </w:r>
      <w:r>
        <w:rPr>
          <w:rFonts w:ascii="Times New Roman" w:hAnsi="Times New Roman"/>
          <w:color w:val="auto"/>
          <w:sz w:val="24"/>
          <w:szCs w:val="24"/>
          <w:highlight w:val="none"/>
        </w:rPr>
        <w:t>the cells were resuspended in 400μL of binding buffer and stained with 5μL of Annexin V for 15 minutes followed by 10μL of PI for another 5 minutes. T</w:t>
      </w:r>
      <w:r>
        <w:rPr>
          <w:rFonts w:ascii="Times New Roman" w:hAnsi="Times New Roman" w:cs="Times New Roman"/>
          <w:color w:val="auto"/>
          <w:sz w:val="24"/>
          <w:szCs w:val="24"/>
          <w:highlight w:val="none"/>
        </w:rPr>
        <w:t>hen the stained cells were determined by Beckman Gallios cytometer. The final test results were subsequently analyzed with Kaluza software (Beckman Coulter, WI, USA).</w:t>
      </w:r>
    </w:p>
    <w:p>
      <w:pPr>
        <w:widowControl/>
        <w:adjustRightInd w:val="0"/>
        <w:snapToGrid w:val="0"/>
        <w:spacing w:line="480" w:lineRule="auto"/>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 xml:space="preserve">Fluorescence In situ hybridization (FISH) </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FISH was performed using specific probe to </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 xml:space="preserve"> or miR-499a-5p sequence which were purchased from Gene Pharma (Shanghai, China). Hybridizations were performed according to the manufacturer’s instructions of FISH Kit (GenePharma Shanghai, China). The probe sequences were presented in Table 3. All images were viewed under a </w:t>
      </w:r>
      <w:r>
        <w:rPr>
          <w:rFonts w:hint="eastAsia" w:ascii="Times New Roman" w:hAnsi="Times New Roman" w:cs="Times New Roman"/>
          <w:color w:val="auto"/>
          <w:sz w:val="24"/>
          <w:szCs w:val="24"/>
          <w:highlight w:val="none"/>
        </w:rPr>
        <w:t>Laser Confocal Microscope (Carl ZEISS, LSM900</w:t>
      </w:r>
      <w:r>
        <w:rPr>
          <w:rFonts w:ascii="Times New Roman" w:hAnsi="Times New Roman" w:cs="Times New Roman"/>
          <w:color w:val="auto"/>
          <w:sz w:val="24"/>
          <w:szCs w:val="24"/>
          <w:highlight w:val="none"/>
        </w:rPr>
        <w:t>, Germany).</w:t>
      </w:r>
    </w:p>
    <w:p>
      <w:pPr>
        <w:widowControl/>
        <w:adjustRightInd w:val="0"/>
        <w:snapToGrid w:val="0"/>
        <w:spacing w:line="480" w:lineRule="auto"/>
        <w:jc w:val="left"/>
        <w:rPr>
          <w:rFonts w:ascii="Times New Roman" w:hAnsi="Times New Roman" w:cs="Times New Roman"/>
          <w:color w:val="auto"/>
          <w:sz w:val="24"/>
          <w:szCs w:val="24"/>
          <w:highlight w:val="none"/>
        </w:rPr>
      </w:pPr>
      <w:r>
        <w:rPr>
          <w:rFonts w:ascii="Times New Roman" w:hAnsi="Times New Roman" w:cs="Times New Roman"/>
          <w:b/>
          <w:bCs/>
          <w:color w:val="auto"/>
          <w:sz w:val="24"/>
          <w:szCs w:val="24"/>
          <w:highlight w:val="none"/>
        </w:rPr>
        <w:t>Immunoprecipitation (IP) assay</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Cells were lysed in IP buffer with protease inhibitor and </w:t>
      </w:r>
      <w:r>
        <w:rPr>
          <w:color w:val="auto"/>
          <w:highlight w:val="none"/>
        </w:rPr>
        <w:fldChar w:fldCharType="begin"/>
      </w:r>
      <w:r>
        <w:rPr>
          <w:color w:val="auto"/>
          <w:highlight w:val="none"/>
        </w:rPr>
        <w:instrText xml:space="preserve"> HYPERLINK "C:/Users/Rain/AppData/Local/youdao/dict/Application/7.5.1.0/resultui/dict/?keyword=phosphatase" </w:instrText>
      </w:r>
      <w:r>
        <w:rPr>
          <w:color w:val="auto"/>
          <w:highlight w:val="none"/>
        </w:rPr>
        <w:fldChar w:fldCharType="separate"/>
      </w:r>
      <w:r>
        <w:rPr>
          <w:rFonts w:ascii="Times New Roman" w:hAnsi="Times New Roman" w:cs="Times New Roman"/>
          <w:color w:val="auto"/>
          <w:sz w:val="24"/>
          <w:szCs w:val="24"/>
          <w:highlight w:val="none"/>
        </w:rPr>
        <w:t>phosphatase </w:t>
      </w:r>
      <w:r>
        <w:rPr>
          <w:rFonts w:ascii="Times New Roman" w:hAnsi="Times New Roman" w:cs="Times New Roman"/>
          <w:color w:val="auto"/>
          <w:sz w:val="24"/>
          <w:szCs w:val="24"/>
          <w:highlight w:val="none"/>
        </w:rPr>
        <w:fldChar w:fldCharType="end"/>
      </w:r>
      <w:r>
        <w:rPr>
          <w:color w:val="auto"/>
          <w:highlight w:val="none"/>
        </w:rPr>
        <w:fldChar w:fldCharType="begin"/>
      </w:r>
      <w:r>
        <w:rPr>
          <w:color w:val="auto"/>
          <w:highlight w:val="none"/>
        </w:rPr>
        <w:instrText xml:space="preserve"> HYPERLINK "C:/Users/Rain/AppData/Local/youdao/dict/Application/7.5.1.0/resultui/dict/?keyword=" </w:instrText>
      </w:r>
      <w:r>
        <w:rPr>
          <w:color w:val="auto"/>
          <w:highlight w:val="none"/>
        </w:rPr>
        <w:fldChar w:fldCharType="separate"/>
      </w:r>
      <w:r>
        <w:rPr>
          <w:color w:val="auto"/>
          <w:highlight w:val="none"/>
        </w:rPr>
        <w:fldChar w:fldCharType="end"/>
      </w:r>
      <w:r>
        <w:rPr>
          <w:color w:val="auto"/>
          <w:highlight w:val="none"/>
        </w:rPr>
        <w:fldChar w:fldCharType="begin"/>
      </w:r>
      <w:r>
        <w:rPr>
          <w:color w:val="auto"/>
          <w:highlight w:val="none"/>
        </w:rPr>
        <w:instrText xml:space="preserve"> HYPERLINK "C:/Users/Rain/AppData/Local/youdao/dict/Application/7.5.1.0/resultui/dict/?keyword=inhibitors" </w:instrText>
      </w:r>
      <w:r>
        <w:rPr>
          <w:color w:val="auto"/>
          <w:highlight w:val="none"/>
        </w:rPr>
        <w:fldChar w:fldCharType="separate"/>
      </w:r>
      <w:r>
        <w:rPr>
          <w:rFonts w:ascii="Times New Roman" w:hAnsi="Times New Roman" w:cs="Times New Roman"/>
          <w:color w:val="auto"/>
          <w:sz w:val="24"/>
          <w:szCs w:val="24"/>
          <w:highlight w:val="none"/>
        </w:rPr>
        <w:t>inhibitors </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cocktail (Beyotime, China) for 20 minutes on ice. The lysates were centrifuged at 12,000g for 15 minutes, and the supernatant was incubated with antibody-binding magnetic beads at 4 °C overnight. The sample buffer of 1x SDS was added to the magnetic beads and the immunoprecipitated products were used for Western blot analysis.</w:t>
      </w:r>
    </w:p>
    <w:p>
      <w:pPr>
        <w:widowControl/>
        <w:adjustRightInd w:val="0"/>
        <w:snapToGrid w:val="0"/>
        <w:spacing w:line="480" w:lineRule="auto"/>
        <w:jc w:val="left"/>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Western blot analysis</w:t>
      </w:r>
    </w:p>
    <w:p>
      <w:pPr>
        <w:widowControl/>
        <w:autoSpaceDE w:val="0"/>
        <w:autoSpaceDN w:val="0"/>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Cells were lysed with RIPA buffer </w:t>
      </w:r>
      <w:bookmarkStart w:id="1" w:name="OLE_LINK7"/>
      <w:r>
        <w:rPr>
          <w:rFonts w:ascii="Times New Roman" w:hAnsi="Times New Roman" w:cs="Times New Roman"/>
          <w:color w:val="auto"/>
          <w:sz w:val="24"/>
          <w:szCs w:val="24"/>
          <w:highlight w:val="none"/>
        </w:rPr>
        <w:t xml:space="preserve">(Beyotime, China) </w:t>
      </w:r>
      <w:bookmarkEnd w:id="1"/>
      <w:r>
        <w:rPr>
          <w:rFonts w:ascii="Times New Roman" w:hAnsi="Times New Roman" w:cs="Times New Roman"/>
          <w:color w:val="auto"/>
          <w:sz w:val="24"/>
          <w:szCs w:val="24"/>
          <w:highlight w:val="none"/>
        </w:rPr>
        <w:t>containing protease inhibitor compound (Beyotime, China) on ice. Bicinchoninic acid (BCA) protein assay Kit (Beyotime, China) was applied to measure the concentrations of proteins. Proteins extracts (30μg) or IP products were separated by SDS-PAGE and then transferred to nitrocellulose membranes (Millipore, Bedford, MA, USA). After overnight with specific primary antibodies at 4°C, the membranes were incubated with HRP-conjugated secondary antibodies at room temperature for 1 hour. Then, we detected the protein bands after washing.</w:t>
      </w:r>
    </w:p>
    <w:p>
      <w:pPr>
        <w:widowControl/>
        <w:adjustRightInd w:val="0"/>
        <w:snapToGrid w:val="0"/>
        <w:spacing w:line="480" w:lineRule="auto"/>
        <w:jc w:val="left"/>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RNA Pull-Down and miRNA Sequencing</w:t>
      </w:r>
    </w:p>
    <w:p>
      <w:pPr>
        <w:widowControl/>
        <w:adjustRightInd w:val="0"/>
        <w:snapToGrid w:val="0"/>
        <w:spacing w:line="480" w:lineRule="auto"/>
        <w:ind w:firstLine="240" w:firstLineChars="100"/>
        <w:rPr>
          <w:rStyle w:val="4"/>
          <w:color w:val="auto"/>
          <w:sz w:val="24"/>
          <w:szCs w:val="24"/>
          <w:highlight w:val="none"/>
        </w:rPr>
      </w:pPr>
      <w:r>
        <w:rPr>
          <w:rFonts w:ascii="Times New Roman" w:hAnsi="Times New Roman" w:cs="Times New Roman"/>
          <w:color w:val="auto"/>
          <w:sz w:val="24"/>
          <w:szCs w:val="24"/>
          <w:highlight w:val="none"/>
        </w:rPr>
        <w:t>THP-1 cells (8×10</w:t>
      </w:r>
      <w:r>
        <w:rPr>
          <w:rFonts w:ascii="Times New Roman" w:hAnsi="Times New Roman" w:cs="Times New Roman"/>
          <w:color w:val="auto"/>
          <w:sz w:val="24"/>
          <w:szCs w:val="24"/>
          <w:highlight w:val="none"/>
          <w:vertAlign w:val="superscript"/>
        </w:rPr>
        <w:t>7</w:t>
      </w:r>
      <w:r>
        <w:rPr>
          <w:rFonts w:ascii="Times New Roman" w:hAnsi="Times New Roman" w:cs="Times New Roman"/>
          <w:color w:val="auto"/>
          <w:sz w:val="24"/>
          <w:szCs w:val="24"/>
          <w:highlight w:val="none"/>
        </w:rPr>
        <w:t xml:space="preserve">) were lysed and incubated with a biotin-conjugated probe for </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 xml:space="preserve">. The </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 xml:space="preserve"> probe and the negative control probe were synthesized by Cloud-Seq (Shanghai, China). Then </w:t>
      </w:r>
      <w:r>
        <w:rPr>
          <w:rFonts w:hint="eastAsia" w:ascii="Times New Roman" w:hAnsi="Times New Roman" w:cs="Times New Roman"/>
          <w:color w:val="auto"/>
          <w:sz w:val="24"/>
          <w:szCs w:val="24"/>
          <w:highlight w:val="none"/>
        </w:rPr>
        <w:t>streptavidin</w:t>
      </w:r>
      <w:r>
        <w:rPr>
          <w:rFonts w:ascii="Times New Roman" w:hAnsi="Times New Roman" w:cs="Times New Roman"/>
          <w:color w:val="auto"/>
          <w:sz w:val="24"/>
          <w:szCs w:val="24"/>
          <w:highlight w:val="none"/>
        </w:rPr>
        <w:t>-binding</w:t>
      </w:r>
      <w:r>
        <w:rPr>
          <w:rFonts w:hint="eastAsia" w:ascii="Times New Roman" w:hAnsi="Times New Roman" w:cs="Times New Roman"/>
          <w:color w:val="auto"/>
          <w:sz w:val="24"/>
          <w:szCs w:val="24"/>
          <w:highlight w:val="none"/>
        </w:rPr>
        <w:t xml:space="preserve"> magnetic beads </w:t>
      </w:r>
      <w:r>
        <w:rPr>
          <w:rFonts w:ascii="Times New Roman" w:hAnsi="Times New Roman" w:cs="Times New Roman"/>
          <w:color w:val="auto"/>
          <w:sz w:val="24"/>
          <w:szCs w:val="24"/>
          <w:highlight w:val="none"/>
        </w:rPr>
        <w:t xml:space="preserve">were added to the </w:t>
      </w:r>
      <w:r>
        <w:rPr>
          <w:rFonts w:hint="eastAsia" w:ascii="Times New Roman" w:hAnsi="Times New Roman" w:cs="Times New Roman"/>
          <w:color w:val="auto"/>
          <w:sz w:val="24"/>
          <w:szCs w:val="24"/>
          <w:highlight w:val="none"/>
        </w:rPr>
        <w:t>mixture and incubate</w:t>
      </w:r>
      <w:r>
        <w:rPr>
          <w:rFonts w:ascii="Times New Roman" w:hAnsi="Times New Roman" w:cs="Times New Roman"/>
          <w:color w:val="auto"/>
          <w:sz w:val="24"/>
          <w:szCs w:val="24"/>
          <w:highlight w:val="none"/>
        </w:rPr>
        <w:t>d</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for </w:t>
      </w:r>
      <w:r>
        <w:rPr>
          <w:rFonts w:hint="eastAsia" w:ascii="Times New Roman" w:hAnsi="Times New Roman" w:cs="Times New Roman"/>
          <w:color w:val="auto"/>
          <w:sz w:val="24"/>
          <w:szCs w:val="24"/>
          <w:highlight w:val="none"/>
        </w:rPr>
        <w:t xml:space="preserve">12 </w:t>
      </w:r>
      <w:r>
        <w:rPr>
          <w:rFonts w:ascii="Times New Roman" w:hAnsi="Times New Roman" w:cs="Times New Roman"/>
          <w:color w:val="auto"/>
          <w:sz w:val="24"/>
          <w:szCs w:val="24"/>
          <w:highlight w:val="none"/>
        </w:rPr>
        <w:t>hours</w:t>
      </w:r>
      <w:r>
        <w:rPr>
          <w:rFonts w:hint="eastAsia" w:ascii="Times New Roman" w:hAnsi="Times New Roman" w:cs="Times New Roman"/>
          <w:color w:val="auto"/>
          <w:sz w:val="24"/>
          <w:szCs w:val="24"/>
          <w:highlight w:val="none"/>
        </w:rPr>
        <w:t xml:space="preserve">. The target RNA bound to the beads </w:t>
      </w:r>
      <w:r>
        <w:rPr>
          <w:rFonts w:ascii="Times New Roman" w:hAnsi="Times New Roman" w:cs="Times New Roman"/>
          <w:color w:val="auto"/>
          <w:sz w:val="24"/>
          <w:szCs w:val="24"/>
          <w:highlight w:val="none"/>
        </w:rPr>
        <w:t>wa</w:t>
      </w:r>
      <w:r>
        <w:rPr>
          <w:rFonts w:hint="eastAsia" w:ascii="Times New Roman" w:hAnsi="Times New Roman" w:cs="Times New Roman"/>
          <w:color w:val="auto"/>
          <w:sz w:val="24"/>
          <w:szCs w:val="24"/>
          <w:highlight w:val="none"/>
        </w:rPr>
        <w:t>s separated</w:t>
      </w:r>
      <w:r>
        <w:rPr>
          <w:rFonts w:ascii="Times New Roman" w:hAnsi="Times New Roman" w:cs="Times New Roman"/>
          <w:color w:val="auto"/>
          <w:sz w:val="24"/>
          <w:szCs w:val="24"/>
          <w:highlight w:val="none"/>
        </w:rPr>
        <w:t xml:space="preserve"> using </w:t>
      </w:r>
      <w:r>
        <w:rPr>
          <w:rFonts w:hint="eastAsia" w:ascii="Times New Roman" w:hAnsi="Times New Roman" w:cs="Times New Roman"/>
          <w:color w:val="auto"/>
          <w:sz w:val="24"/>
          <w:szCs w:val="24"/>
          <w:highlight w:val="none"/>
        </w:rPr>
        <w:t>biotin</w:t>
      </w:r>
      <w:r>
        <w:rPr>
          <w:rFonts w:ascii="Times New Roman" w:hAnsi="Times New Roman" w:cs="Times New Roman"/>
          <w:color w:val="auto"/>
          <w:sz w:val="24"/>
          <w:szCs w:val="24"/>
          <w:highlight w:val="none"/>
        </w:rPr>
        <w:t xml:space="preserve"> </w:t>
      </w:r>
      <w:r>
        <w:rPr>
          <w:rFonts w:hint="eastAsia" w:ascii="Times New Roman" w:hAnsi="Times New Roman" w:cs="Times New Roman"/>
          <w:color w:val="auto"/>
          <w:sz w:val="24"/>
          <w:szCs w:val="24"/>
          <w:highlight w:val="none"/>
        </w:rPr>
        <w:t>probe</w:t>
      </w:r>
      <w:r>
        <w:rPr>
          <w:rFonts w:ascii="Times New Roman" w:hAnsi="Times New Roman" w:cs="Times New Roman"/>
          <w:color w:val="auto"/>
          <w:sz w:val="24"/>
          <w:szCs w:val="24"/>
          <w:highlight w:val="none"/>
        </w:rPr>
        <w:t xml:space="preserve"> and</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applied</w:t>
      </w:r>
      <w:r>
        <w:rPr>
          <w:rFonts w:hint="eastAsia" w:ascii="Times New Roman" w:hAnsi="Times New Roman" w:cs="Times New Roman"/>
          <w:color w:val="auto"/>
          <w:sz w:val="24"/>
          <w:szCs w:val="24"/>
          <w:highlight w:val="none"/>
        </w:rPr>
        <w:t xml:space="preserve"> for high-throughput miRNA sequencing (Cloud-Seq, Shanghai, China).</w:t>
      </w:r>
      <w:r>
        <w:rPr>
          <w:rFonts w:ascii="Times New Roman" w:hAnsi="Times New Roman" w:cs="Times New Roman"/>
          <w:color w:val="auto"/>
          <w:sz w:val="24"/>
          <w:szCs w:val="24"/>
          <w:highlight w:val="none"/>
        </w:rPr>
        <w:t xml:space="preserve"> </w:t>
      </w:r>
    </w:p>
    <w:p>
      <w:pPr>
        <w:widowControl/>
        <w:adjustRightInd w:val="0"/>
        <w:snapToGrid w:val="0"/>
        <w:spacing w:line="480" w:lineRule="auto"/>
        <w:jc w:val="left"/>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Actinomycin D assay</w:t>
      </w:r>
    </w:p>
    <w:p>
      <w:pPr>
        <w:widowControl/>
        <w:adjustRightInd w:val="0"/>
        <w:snapToGrid w:val="0"/>
        <w:spacing w:line="480" w:lineRule="auto"/>
        <w:ind w:firstLine="240" w:firstLineChars="100"/>
        <w:rPr>
          <w:rStyle w:val="4"/>
          <w:color w:val="auto"/>
          <w:sz w:val="24"/>
          <w:szCs w:val="24"/>
          <w:highlight w:val="none"/>
        </w:rPr>
      </w:pPr>
      <w:r>
        <w:rPr>
          <w:rFonts w:ascii="Times New Roman" w:hAnsi="Times New Roman" w:cs="Times New Roman"/>
          <w:color w:val="auto"/>
          <w:sz w:val="24"/>
          <w:szCs w:val="24"/>
          <w:highlight w:val="none"/>
        </w:rPr>
        <w:t xml:space="preserve">Cells were exposed to actinomycin D (10 μg/ml) for the indicated times (0, 4, 8, and 12 h), and the total RNA of the cells was isolated using TRizol. Then the expression of </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 xml:space="preserve"> was determined by qRT-PCR. </w:t>
      </w:r>
    </w:p>
    <w:p>
      <w:pPr>
        <w:widowControl/>
        <w:adjustRightInd w:val="0"/>
        <w:snapToGrid w:val="0"/>
        <w:spacing w:line="480" w:lineRule="auto"/>
        <w:jc w:val="left"/>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M</w:t>
      </w:r>
      <w:r>
        <w:rPr>
          <w:rFonts w:hint="eastAsia" w:ascii="Times New Roman" w:hAnsi="Times New Roman" w:cs="Times New Roman"/>
          <w:b/>
          <w:bCs/>
          <w:color w:val="auto"/>
          <w:sz w:val="24"/>
          <w:szCs w:val="24"/>
          <w:highlight w:val="none"/>
        </w:rPr>
        <w:t>ethylation-specific PCR (MSP)</w:t>
      </w:r>
      <w:r>
        <w:rPr>
          <w:rFonts w:ascii="Times New Roman" w:hAnsi="Times New Roman" w:cs="Times New Roman"/>
          <w:b/>
          <w:bCs/>
          <w:color w:val="auto"/>
          <w:sz w:val="24"/>
          <w:szCs w:val="24"/>
          <w:highlight w:val="none"/>
        </w:rPr>
        <w:t xml:space="preserve"> </w:t>
      </w:r>
    </w:p>
    <w:p>
      <w:pPr>
        <w:widowControl/>
        <w:adjustRightInd w:val="0"/>
        <w:snapToGrid w:val="0"/>
        <w:spacing w:line="480" w:lineRule="auto"/>
        <w:ind w:firstLine="240" w:firstLineChars="100"/>
        <w:rPr>
          <w:rStyle w:val="4"/>
          <w:color w:val="auto"/>
          <w:sz w:val="24"/>
          <w:szCs w:val="24"/>
          <w:highlight w:val="none"/>
        </w:rPr>
      </w:pPr>
      <w:r>
        <w:rPr>
          <w:rFonts w:ascii="Times New Roman" w:hAnsi="Times New Roman" w:cs="Times New Roman"/>
          <w:color w:val="auto"/>
          <w:sz w:val="24"/>
          <w:szCs w:val="24"/>
          <w:highlight w:val="none"/>
        </w:rPr>
        <w:t>Genomic DNA was extracted according to the manufacturer’s protocol (TIANGEN Biotech Code No: DP</w:t>
      </w:r>
      <w:r>
        <w:rPr>
          <w:rFonts w:hint="eastAsia" w:ascii="Times New Roman" w:hAnsi="Times New Roman" w:cs="Times New Roman"/>
          <w:color w:val="auto"/>
          <w:sz w:val="24"/>
          <w:szCs w:val="24"/>
          <w:highlight w:val="none"/>
        </w:rPr>
        <w:t>304-02</w:t>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 xml:space="preserve"> </w:t>
      </w:r>
      <w:r>
        <w:rPr>
          <w:rFonts w:ascii="Times New Roman" w:hAnsi="Times New Roman" w:cs="Times New Roman"/>
          <w:color w:val="auto"/>
          <w:sz w:val="24"/>
          <w:szCs w:val="24"/>
          <w:highlight w:val="none"/>
        </w:rPr>
        <w:t xml:space="preserve">The DNA samples were first treated with the EpiArt® DNA Methylation Bisulfite Kit </w:t>
      </w:r>
      <w:bookmarkStart w:id="2" w:name="OLE_LINK2"/>
      <w:r>
        <w:rPr>
          <w:rFonts w:ascii="Times New Roman" w:hAnsi="Times New Roman" w:cs="Times New Roman"/>
          <w:color w:val="auto"/>
          <w:sz w:val="24"/>
          <w:szCs w:val="24"/>
          <w:highlight w:val="none"/>
        </w:rPr>
        <w:t>(Vazyme</w:t>
      </w:r>
      <w:bookmarkEnd w:id="2"/>
      <w:r>
        <w:rPr>
          <w:rFonts w:ascii="Times New Roman" w:hAnsi="Times New Roman" w:cs="Times New Roman"/>
          <w:color w:val="auto"/>
          <w:sz w:val="24"/>
          <w:szCs w:val="24"/>
          <w:highlight w:val="none"/>
        </w:rPr>
        <w:t>, Code No: EM101-01), and then were amplified by PCR (Vazyme, Code No: EM202-01).</w:t>
      </w:r>
      <w:r>
        <w:rPr>
          <w:rFonts w:hint="eastAsia" w:ascii="Times New Roman" w:hAnsi="Times New Roman" w:cs="Times New Roman"/>
          <w:color w:val="auto"/>
          <w:sz w:val="24"/>
          <w:szCs w:val="24"/>
          <w:highlight w:val="none"/>
          <w:lang w:val="en-US" w:eastAsia="zh-CN"/>
        </w:rPr>
        <w:t xml:space="preserve"> </w:t>
      </w:r>
      <w:r>
        <w:rPr>
          <w:rFonts w:hint="eastAsia" w:ascii="Times New Roman" w:hAnsi="Times New Roman" w:cs="Times New Roman"/>
          <w:color w:val="auto"/>
          <w:sz w:val="24"/>
          <w:szCs w:val="24"/>
          <w:highlight w:val="none"/>
        </w:rPr>
        <w:t xml:space="preserve">The methylation status of the </w:t>
      </w:r>
      <w:r>
        <w:rPr>
          <w:rFonts w:hint="eastAsia" w:ascii="Times New Roman" w:hAnsi="Times New Roman" w:cs="Times New Roman"/>
          <w:color w:val="auto"/>
          <w:sz w:val="24"/>
          <w:szCs w:val="24"/>
          <w:highlight w:val="none"/>
          <w:lang w:val="en-US" w:eastAsia="zh-CN"/>
        </w:rPr>
        <w:t xml:space="preserve">Circ_0001187 </w:t>
      </w:r>
      <w:r>
        <w:rPr>
          <w:rFonts w:hint="eastAsia" w:ascii="Times New Roman" w:hAnsi="Times New Roman" w:cs="Times New Roman"/>
          <w:color w:val="auto"/>
          <w:sz w:val="24"/>
          <w:szCs w:val="24"/>
          <w:highlight w:val="none"/>
        </w:rPr>
        <w:t xml:space="preserve">genes was determined using methylation-specific PCR (MSP) with primers specific for the methylated and unmethylated alleles of each gene after treatment of the genomic DNA with sodium bisulfite. </w:t>
      </w:r>
      <w:r>
        <w:rPr>
          <w:rFonts w:ascii="Times New Roman" w:hAnsi="Times New Roman" w:cs="Times New Roman"/>
          <w:color w:val="auto"/>
          <w:sz w:val="24"/>
          <w:szCs w:val="24"/>
          <w:highlight w:val="none"/>
        </w:rPr>
        <w:t xml:space="preserve">Detailed primer sequences are summarized in the Supplementary Table 2. </w:t>
      </w:r>
      <w:r>
        <w:rPr>
          <w:rFonts w:hint="eastAsia" w:ascii="Times New Roman" w:hAnsi="Times New Roman" w:cs="Times New Roman"/>
          <w:color w:val="auto"/>
          <w:sz w:val="24"/>
          <w:szCs w:val="24"/>
          <w:highlight w:val="none"/>
        </w:rPr>
        <w:t xml:space="preserve">PCR products were analyzed on 2% agarosegels, stained with ethidium bromide, and visualized under UV light. </w:t>
      </w:r>
    </w:p>
    <w:p>
      <w:pPr>
        <w:widowControl/>
        <w:adjustRightInd w:val="0"/>
        <w:snapToGrid w:val="0"/>
        <w:spacing w:line="480" w:lineRule="auto"/>
        <w:jc w:val="left"/>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Dual luciferase reporter assay</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A wild-type or mut-hsa-miR-499a-5p fragment was synthetized and inserted into the downstream of the luciferase reporter gene of the pmirGLO Vector </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Gene Pharma</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 xml:space="preserve"> China), and then was transfected into 293T cells using ExFect 2000 Transfection Reagent (Vazyme</w:t>
      </w:r>
      <w:r>
        <w:rPr>
          <w:rFonts w:hint="eastAsia" w:ascii="Times New Roman" w:hAnsi="Times New Roman" w:cs="Times New Roman"/>
          <w:color w:val="auto"/>
          <w:sz w:val="24"/>
          <w:szCs w:val="24"/>
          <w:highlight w:val="none"/>
        </w:rPr>
        <w:t>, China</w:t>
      </w:r>
      <w:r>
        <w:rPr>
          <w:rFonts w:ascii="Times New Roman" w:hAnsi="Times New Roman" w:cs="Times New Roman"/>
          <w:color w:val="auto"/>
          <w:sz w:val="24"/>
          <w:szCs w:val="24"/>
          <w:highlight w:val="none"/>
        </w:rPr>
        <w:t>). After that, we</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transfected the cells with the hsa-miR-499a-5p mimics or n</w:t>
      </w:r>
      <w:r>
        <w:rPr>
          <w:rFonts w:hint="eastAsia" w:ascii="Times New Roman" w:hAnsi="Times New Roman" w:cs="Times New Roman"/>
          <w:color w:val="auto"/>
          <w:sz w:val="24"/>
          <w:szCs w:val="24"/>
          <w:highlight w:val="none"/>
        </w:rPr>
        <w:t xml:space="preserve">egative </w:t>
      </w:r>
      <w:r>
        <w:rPr>
          <w:rFonts w:ascii="Times New Roman" w:hAnsi="Times New Roman" w:cs="Times New Roman"/>
          <w:color w:val="auto"/>
          <w:sz w:val="24"/>
          <w:szCs w:val="24"/>
          <w:highlight w:val="none"/>
        </w:rPr>
        <w:t>c</w:t>
      </w:r>
      <w:r>
        <w:rPr>
          <w:rFonts w:hint="eastAsia" w:ascii="Times New Roman" w:hAnsi="Times New Roman" w:cs="Times New Roman"/>
          <w:color w:val="auto"/>
          <w:sz w:val="24"/>
          <w:szCs w:val="24"/>
          <w:highlight w:val="none"/>
        </w:rPr>
        <w:t>ontrol</w:t>
      </w:r>
      <w:r>
        <w:rPr>
          <w:rFonts w:ascii="Times New Roman" w:hAnsi="Times New Roman" w:cs="Times New Roman"/>
          <w:color w:val="auto"/>
          <w:sz w:val="24"/>
          <w:szCs w:val="24"/>
          <w:highlight w:val="none"/>
        </w:rPr>
        <w:t xml:space="preserve">. After 48 h, we used the Dual Luciferase Reporter Assay System (Promega) to detect firefly and renilla luciferase activity by microplate reader (BioTek, VT, USA). Finally, we used Read1:Read2 to represent fluorescence activity. The sequences were presented in Table </w:t>
      </w:r>
      <w:r>
        <w:rPr>
          <w:rFonts w:hint="eastAsia" w:ascii="Times New Roman" w:hAnsi="Times New Roman" w:cs="Times New Roman"/>
          <w:color w:val="auto"/>
          <w:sz w:val="24"/>
          <w:szCs w:val="24"/>
          <w:highlight w:val="none"/>
        </w:rPr>
        <w:t>3.</w:t>
      </w:r>
    </w:p>
    <w:p>
      <w:pPr>
        <w:widowControl/>
        <w:adjustRightInd w:val="0"/>
        <w:snapToGrid w:val="0"/>
        <w:spacing w:line="480" w:lineRule="auto"/>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RNA immunoprecipitation (RIP) assay</w:t>
      </w:r>
    </w:p>
    <w:p>
      <w:pPr>
        <w:widowControl/>
        <w:adjustRightInd w:val="0"/>
        <w:snapToGrid w:val="0"/>
        <w:spacing w:line="480" w:lineRule="auto"/>
        <w:ind w:firstLine="240" w:firstLineChars="100"/>
        <w:rPr>
          <w:rFonts w:ascii="Times New Roman" w:hAnsi="Times New Roman" w:cs="Times New Roman"/>
          <w:color w:val="auto"/>
          <w:sz w:val="24"/>
          <w:szCs w:val="24"/>
          <w:highlight w:val="none"/>
          <w:lang w:bidi="ar"/>
        </w:rPr>
      </w:pPr>
      <w:r>
        <w:rPr>
          <w:rFonts w:ascii="Times New Roman" w:hAnsi="Times New Roman" w:cs="Times New Roman"/>
          <w:color w:val="auto"/>
          <w:sz w:val="24"/>
          <w:szCs w:val="24"/>
          <w:highlight w:val="none"/>
          <w:lang w:bidi="ar"/>
        </w:rPr>
        <w:t>A Magna RIP RNA-binding Protein Immunoprecipitation Kit (Millipore, Billerica, MA, USA) was used to perform RIP experiments according to the manufacturer’s</w:t>
      </w:r>
      <w:r>
        <w:rPr>
          <w:rFonts w:hint="eastAsia" w:ascii="Times New Roman" w:hAnsi="Times New Roman" w:cs="Times New Roman"/>
          <w:color w:val="auto"/>
          <w:sz w:val="24"/>
          <w:szCs w:val="24"/>
          <w:highlight w:val="none"/>
          <w:lang w:bidi="ar"/>
        </w:rPr>
        <w:t xml:space="preserve"> </w:t>
      </w:r>
      <w:r>
        <w:rPr>
          <w:rFonts w:ascii="Times New Roman" w:hAnsi="Times New Roman" w:cs="Times New Roman"/>
          <w:color w:val="auto"/>
          <w:sz w:val="24"/>
          <w:szCs w:val="24"/>
          <w:highlight w:val="none"/>
          <w:lang w:bidi="ar"/>
        </w:rPr>
        <w:t xml:space="preserve">instructions. Briefly, </w:t>
      </w:r>
      <w:r>
        <w:rPr>
          <w:rFonts w:hint="eastAsia" w:ascii="Times New Roman" w:hAnsi="Times New Roman" w:cs="Times New Roman"/>
          <w:color w:val="auto"/>
          <w:sz w:val="24"/>
          <w:szCs w:val="24"/>
          <w:highlight w:val="none"/>
          <w:lang w:bidi="ar"/>
        </w:rPr>
        <w:t>THP-1</w:t>
      </w:r>
      <w:r>
        <w:rPr>
          <w:rFonts w:ascii="Times New Roman" w:hAnsi="Times New Roman" w:cs="Times New Roman"/>
          <w:color w:val="auto"/>
          <w:sz w:val="24"/>
          <w:szCs w:val="24"/>
          <w:highlight w:val="none"/>
          <w:lang w:bidi="ar"/>
        </w:rPr>
        <w:t xml:space="preserve"> cells (1× 10</w:t>
      </w:r>
      <w:r>
        <w:rPr>
          <w:rFonts w:hint="eastAsia" w:ascii="Times New Roman" w:hAnsi="Times New Roman" w:cs="Times New Roman"/>
          <w:color w:val="auto"/>
          <w:sz w:val="24"/>
          <w:szCs w:val="24"/>
          <w:highlight w:val="none"/>
          <w:vertAlign w:val="superscript"/>
          <w:lang w:bidi="ar"/>
        </w:rPr>
        <w:t>7</w:t>
      </w:r>
      <w:r>
        <w:rPr>
          <w:rFonts w:ascii="Times New Roman" w:hAnsi="Times New Roman" w:cs="Times New Roman"/>
          <w:color w:val="auto"/>
          <w:sz w:val="24"/>
          <w:szCs w:val="24"/>
          <w:highlight w:val="none"/>
          <w:lang w:bidi="ar"/>
        </w:rPr>
        <w:t>) were lysed in 1mL of RIP lysis buffer with RNase inhibitors. T</w:t>
      </w:r>
      <w:r>
        <w:rPr>
          <w:rFonts w:hint="eastAsia" w:ascii="Times New Roman" w:hAnsi="Times New Roman" w:cs="Times New Roman"/>
          <w:color w:val="auto"/>
          <w:sz w:val="24"/>
          <w:szCs w:val="24"/>
          <w:highlight w:val="none"/>
          <w:lang w:bidi="ar"/>
        </w:rPr>
        <w:t>h</w:t>
      </w:r>
      <w:r>
        <w:rPr>
          <w:rFonts w:ascii="Times New Roman" w:hAnsi="Times New Roman" w:cs="Times New Roman"/>
          <w:color w:val="auto"/>
          <w:sz w:val="24"/>
          <w:szCs w:val="24"/>
          <w:highlight w:val="none"/>
          <w:lang w:bidi="ar"/>
        </w:rPr>
        <w:t>e cell lysates were incubated with beads coated with IgG</w:t>
      </w:r>
      <w:r>
        <w:rPr>
          <w:rFonts w:hint="eastAsia" w:ascii="Times New Roman" w:hAnsi="Times New Roman" w:cs="Times New Roman"/>
          <w:color w:val="auto"/>
          <w:sz w:val="24"/>
          <w:szCs w:val="24"/>
          <w:highlight w:val="none"/>
          <w:lang w:bidi="ar"/>
        </w:rPr>
        <w:t xml:space="preserve"> </w:t>
      </w:r>
      <w:r>
        <w:rPr>
          <w:rFonts w:ascii="Times New Roman" w:hAnsi="Times New Roman" w:cs="Times New Roman"/>
          <w:color w:val="auto"/>
          <w:sz w:val="24"/>
          <w:szCs w:val="24"/>
          <w:highlight w:val="none"/>
          <w:lang w:bidi="ar"/>
        </w:rPr>
        <w:t>or anti-</w:t>
      </w:r>
      <w:r>
        <w:rPr>
          <w:rFonts w:hint="eastAsia" w:ascii="Times New Roman" w:hAnsi="Times New Roman" w:cs="Times New Roman"/>
          <w:color w:val="auto"/>
          <w:sz w:val="24"/>
          <w:szCs w:val="24"/>
          <w:highlight w:val="none"/>
          <w:lang w:bidi="ar"/>
        </w:rPr>
        <w:t>AGO2</w:t>
      </w:r>
      <w:r>
        <w:rPr>
          <w:rFonts w:ascii="Times New Roman" w:hAnsi="Times New Roman" w:cs="Times New Roman"/>
          <w:color w:val="auto"/>
          <w:sz w:val="24"/>
          <w:szCs w:val="24"/>
          <w:highlight w:val="none"/>
          <w:lang w:bidi="ar"/>
        </w:rPr>
        <w:t xml:space="preserve"> antibody</w:t>
      </w:r>
      <w:r>
        <w:rPr>
          <w:rFonts w:hint="eastAsia" w:ascii="Times New Roman" w:hAnsi="Times New Roman" w:cs="Times New Roman"/>
          <w:color w:val="auto"/>
          <w:sz w:val="24"/>
          <w:szCs w:val="24"/>
          <w:highlight w:val="none"/>
          <w:lang w:bidi="ar"/>
        </w:rPr>
        <w:t xml:space="preserve"> </w:t>
      </w:r>
      <w:r>
        <w:rPr>
          <w:rFonts w:ascii="Times New Roman" w:hAnsi="Times New Roman" w:cs="Times New Roman"/>
          <w:color w:val="auto"/>
          <w:sz w:val="24"/>
          <w:szCs w:val="24"/>
          <w:highlight w:val="none"/>
          <w:lang w:bidi="ar"/>
        </w:rPr>
        <w:t>on a rotator at 4 °C overnight. Then the total RNA was extracted with an RNeasy MinElute Cleanup Kit (Qiagen, Valencia, CA, USA) and detected for the DOPEY2 promoter by qRT-PCR.</w:t>
      </w:r>
    </w:p>
    <w:p>
      <w:pPr>
        <w:widowControl/>
        <w:adjustRightInd w:val="0"/>
        <w:snapToGrid w:val="0"/>
        <w:spacing w:line="480" w:lineRule="auto"/>
        <w:rPr>
          <w:rFonts w:ascii="Times New Roman" w:hAnsi="Times New Roman" w:cs="Times New Roman"/>
          <w:color w:val="auto"/>
          <w:sz w:val="24"/>
          <w:szCs w:val="24"/>
          <w:highlight w:val="none"/>
          <w:lang w:bidi="ar"/>
        </w:rPr>
      </w:pPr>
      <w:r>
        <w:rPr>
          <w:rFonts w:hint="eastAsia" w:ascii="Times New Roman" w:hAnsi="Times New Roman" w:cs="Times New Roman"/>
          <w:b/>
          <w:bCs/>
          <w:color w:val="auto"/>
          <w:sz w:val="24"/>
          <w:szCs w:val="24"/>
          <w:highlight w:val="none"/>
        </w:rPr>
        <w:t>Chromatin immunoprecipitation (ChIP)</w:t>
      </w:r>
    </w:p>
    <w:p>
      <w:pPr>
        <w:widowControl/>
        <w:adjustRightInd w:val="0"/>
        <w:snapToGrid w:val="0"/>
        <w:spacing w:line="480" w:lineRule="auto"/>
        <w:ind w:firstLine="240" w:firstLineChars="100"/>
        <w:rPr>
          <w:rFonts w:ascii="Times New Roman" w:hAnsi="Times New Roman" w:cs="Times New Roman"/>
          <w:color w:val="auto"/>
          <w:sz w:val="24"/>
          <w:szCs w:val="24"/>
          <w:highlight w:val="none"/>
          <w:lang w:bidi="ar"/>
        </w:rPr>
      </w:pPr>
      <w:r>
        <w:rPr>
          <w:rFonts w:ascii="Times New Roman" w:hAnsi="Times New Roman" w:cs="Times New Roman"/>
          <w:color w:val="auto"/>
          <w:sz w:val="24"/>
          <w:szCs w:val="24"/>
          <w:highlight w:val="none"/>
          <w:lang w:bidi="ar"/>
        </w:rPr>
        <w:t>ChIP analysis was performed using a</w:t>
      </w:r>
      <w:r>
        <w:rPr>
          <w:rFonts w:hint="eastAsia" w:ascii="Times New Roman" w:hAnsi="Times New Roman" w:cs="Times New Roman"/>
          <w:color w:val="auto"/>
          <w:sz w:val="24"/>
          <w:szCs w:val="24"/>
          <w:highlight w:val="none"/>
          <w:lang w:bidi="ar"/>
        </w:rPr>
        <w:t xml:space="preserve"> </w:t>
      </w:r>
      <w:r>
        <w:rPr>
          <w:rFonts w:ascii="Times New Roman" w:hAnsi="Times New Roman" w:cs="Times New Roman"/>
          <w:color w:val="auto"/>
          <w:sz w:val="24"/>
          <w:szCs w:val="24"/>
          <w:highlight w:val="none"/>
          <w:lang w:bidi="ar"/>
        </w:rPr>
        <w:t>ChIP Assay Kit (Millipore) following the manufacturer’s instructions. The cells were subjected to ChIP analysis using antibodies against acetyl-histone H3 (Lys9) and acetyl-Histone H4 (Lys</w:t>
      </w:r>
      <w:r>
        <w:rPr>
          <w:rFonts w:hint="eastAsia" w:ascii="Times New Roman" w:hAnsi="Times New Roman" w:cs="Times New Roman"/>
          <w:color w:val="auto"/>
          <w:sz w:val="24"/>
          <w:szCs w:val="24"/>
          <w:highlight w:val="none"/>
          <w:lang w:bidi="ar"/>
        </w:rPr>
        <w:t>5</w:t>
      </w:r>
      <w:r>
        <w:rPr>
          <w:rFonts w:ascii="Times New Roman" w:hAnsi="Times New Roman" w:cs="Times New Roman"/>
          <w:color w:val="auto"/>
          <w:sz w:val="24"/>
          <w:szCs w:val="24"/>
          <w:highlight w:val="none"/>
          <w:lang w:bidi="ar"/>
        </w:rPr>
        <w:t>)</w:t>
      </w:r>
      <w:r>
        <w:rPr>
          <w:rFonts w:hint="eastAsia" w:ascii="Times New Roman" w:hAnsi="Times New Roman" w:cs="Times New Roman"/>
          <w:color w:val="auto"/>
          <w:sz w:val="24"/>
          <w:szCs w:val="24"/>
          <w:highlight w:val="none"/>
          <w:lang w:bidi="ar"/>
        </w:rPr>
        <w:t xml:space="preserve"> </w:t>
      </w:r>
      <w:r>
        <w:rPr>
          <w:rFonts w:ascii="Times New Roman" w:hAnsi="Times New Roman" w:cs="Times New Roman"/>
          <w:color w:val="auto"/>
          <w:sz w:val="24"/>
          <w:szCs w:val="24"/>
          <w:highlight w:val="none"/>
          <w:lang w:bidi="ar"/>
        </w:rPr>
        <w:t xml:space="preserve">at 4 °C overnight. The enriched DNA which associated with the promoter region of </w:t>
      </w:r>
      <w:r>
        <w:rPr>
          <w:rFonts w:hint="eastAsia" w:ascii="Times New Roman" w:hAnsi="Times New Roman" w:cs="Times New Roman"/>
          <w:color w:val="auto"/>
          <w:sz w:val="24"/>
          <w:szCs w:val="24"/>
          <w:highlight w:val="none"/>
          <w:lang w:eastAsia="zh-CN" w:bidi="ar"/>
        </w:rPr>
        <w:t>Circ_0001187</w:t>
      </w:r>
      <w:r>
        <w:rPr>
          <w:rFonts w:ascii="Times New Roman" w:hAnsi="Times New Roman" w:cs="Times New Roman"/>
          <w:color w:val="auto"/>
          <w:sz w:val="24"/>
          <w:szCs w:val="24"/>
          <w:highlight w:val="none"/>
          <w:lang w:bidi="ar"/>
        </w:rPr>
        <w:t xml:space="preserve"> was quantified by qPCR (see</w:t>
      </w:r>
      <w:r>
        <w:rPr>
          <w:rFonts w:hint="eastAsia" w:ascii="Times New Roman" w:hAnsi="Times New Roman" w:cs="Times New Roman"/>
          <w:color w:val="auto"/>
          <w:sz w:val="24"/>
          <w:szCs w:val="24"/>
          <w:highlight w:val="none"/>
          <w:lang w:bidi="ar"/>
        </w:rPr>
        <w:t xml:space="preserve"> </w:t>
      </w:r>
      <w:r>
        <w:rPr>
          <w:rFonts w:ascii="Times New Roman" w:hAnsi="Times New Roman" w:cs="Times New Roman"/>
          <w:color w:val="auto"/>
          <w:sz w:val="24"/>
          <w:szCs w:val="24"/>
          <w:highlight w:val="none"/>
          <w:lang w:bidi="ar"/>
        </w:rPr>
        <w:t xml:space="preserve">Table </w:t>
      </w:r>
      <w:r>
        <w:rPr>
          <w:rFonts w:hint="eastAsia" w:ascii="Times New Roman" w:hAnsi="Times New Roman" w:cs="Times New Roman"/>
          <w:color w:val="auto"/>
          <w:sz w:val="24"/>
          <w:szCs w:val="24"/>
          <w:highlight w:val="none"/>
          <w:lang w:bidi="ar"/>
        </w:rPr>
        <w:t>3</w:t>
      </w:r>
      <w:r>
        <w:rPr>
          <w:rFonts w:ascii="Times New Roman" w:hAnsi="Times New Roman" w:cs="Times New Roman"/>
          <w:color w:val="auto"/>
          <w:sz w:val="24"/>
          <w:szCs w:val="24"/>
          <w:highlight w:val="none"/>
          <w:lang w:bidi="ar"/>
        </w:rPr>
        <w:t xml:space="preserve"> for primer sequences). </w:t>
      </w:r>
    </w:p>
    <w:p>
      <w:pPr>
        <w:widowControl/>
        <w:adjustRightInd w:val="0"/>
        <w:snapToGrid w:val="0"/>
        <w:spacing w:line="480" w:lineRule="auto"/>
        <w:jc w:val="left"/>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Immunofluorescence (IF)</w:t>
      </w:r>
    </w:p>
    <w:p>
      <w:pPr>
        <w:widowControl/>
        <w:adjustRightInd w:val="0"/>
        <w:snapToGrid w:val="0"/>
        <w:spacing w:line="480" w:lineRule="auto"/>
        <w:ind w:firstLine="240" w:firstLineChars="100"/>
        <w:rPr>
          <w:rFonts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rPr>
        <w:t>THP-1</w:t>
      </w:r>
      <w:r>
        <w:rPr>
          <w:rFonts w:ascii="Times New Roman" w:hAnsi="Times New Roman" w:cs="Times New Roman"/>
          <w:color w:val="auto"/>
          <w:sz w:val="24"/>
          <w:szCs w:val="24"/>
          <w:highlight w:val="none"/>
        </w:rPr>
        <w:t xml:space="preserve"> and</w:t>
      </w:r>
      <w:r>
        <w:rPr>
          <w:rFonts w:hint="eastAsia" w:ascii="Times New Roman" w:hAnsi="Times New Roman" w:cs="Times New Roman"/>
          <w:color w:val="auto"/>
          <w:sz w:val="24"/>
          <w:szCs w:val="24"/>
          <w:highlight w:val="none"/>
        </w:rPr>
        <w:t xml:space="preserve"> Molm-13 </w:t>
      </w:r>
      <w:r>
        <w:rPr>
          <w:rFonts w:ascii="Times New Roman" w:hAnsi="Times New Roman" w:cs="Times New Roman"/>
          <w:color w:val="auto"/>
          <w:sz w:val="24"/>
          <w:szCs w:val="24"/>
          <w:highlight w:val="none"/>
        </w:rPr>
        <w:t>cells (2</w:t>
      </w:r>
      <w:r>
        <w:rPr>
          <w:rFonts w:ascii="Times New Roman" w:hAnsi="Times New Roman" w:cs="Times New Roman"/>
          <w:color w:val="auto"/>
          <w:sz w:val="24"/>
          <w:szCs w:val="24"/>
          <w:highlight w:val="none"/>
          <w:lang w:bidi="ar"/>
        </w:rPr>
        <w:t>× 10</w:t>
      </w:r>
      <w:r>
        <w:rPr>
          <w:rFonts w:ascii="Times New Roman" w:hAnsi="Times New Roman" w:cs="Times New Roman"/>
          <w:color w:val="auto"/>
          <w:sz w:val="24"/>
          <w:szCs w:val="24"/>
          <w:highlight w:val="none"/>
          <w:vertAlign w:val="superscript"/>
          <w:lang w:bidi="ar"/>
        </w:rPr>
        <w:t>5</w:t>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rPr>
        <w:t xml:space="preserve"> suspension</w:t>
      </w:r>
      <w:r>
        <w:rPr>
          <w:rFonts w:ascii="Times New Roman" w:hAnsi="Times New Roman" w:cs="Times New Roman"/>
          <w:color w:val="auto"/>
          <w:sz w:val="24"/>
          <w:szCs w:val="24"/>
          <w:highlight w:val="none"/>
        </w:rPr>
        <w:t>s</w:t>
      </w:r>
      <w:r>
        <w:rPr>
          <w:rFonts w:hint="eastAsia" w:ascii="Times New Roman" w:hAnsi="Times New Roman" w:cs="Times New Roman"/>
          <w:color w:val="auto"/>
          <w:sz w:val="24"/>
          <w:szCs w:val="24"/>
          <w:highlight w:val="none"/>
        </w:rPr>
        <w:t xml:space="preserve"> </w:t>
      </w:r>
      <w:r>
        <w:rPr>
          <w:rFonts w:ascii="Times New Roman" w:hAnsi="Times New Roman" w:cs="Times New Roman"/>
          <w:color w:val="auto"/>
          <w:sz w:val="24"/>
          <w:szCs w:val="24"/>
          <w:highlight w:val="none"/>
        </w:rPr>
        <w:t xml:space="preserve">were </w:t>
      </w:r>
      <w:r>
        <w:rPr>
          <w:rFonts w:hint="eastAsia" w:ascii="Times New Roman" w:hAnsi="Times New Roman" w:cs="Times New Roman"/>
          <w:color w:val="auto"/>
          <w:sz w:val="24"/>
          <w:szCs w:val="24"/>
          <w:highlight w:val="none"/>
        </w:rPr>
        <w:t>drop</w:t>
      </w:r>
      <w:r>
        <w:rPr>
          <w:rFonts w:ascii="Times New Roman" w:hAnsi="Times New Roman" w:cs="Times New Roman"/>
          <w:color w:val="auto"/>
          <w:sz w:val="24"/>
          <w:szCs w:val="24"/>
          <w:highlight w:val="none"/>
        </w:rPr>
        <w:t xml:space="preserve">ped onto </w:t>
      </w:r>
      <w:r>
        <w:rPr>
          <w:rFonts w:hint="eastAsia" w:ascii="Times New Roman" w:hAnsi="Times New Roman" w:cs="Times New Roman"/>
          <w:color w:val="auto"/>
          <w:sz w:val="24"/>
          <w:szCs w:val="24"/>
          <w:highlight w:val="none"/>
        </w:rPr>
        <w:t>poly-lysine-treated slides</w:t>
      </w:r>
      <w:r>
        <w:rPr>
          <w:rFonts w:ascii="Times New Roman" w:hAnsi="Times New Roman" w:cs="Times New Roman"/>
          <w:color w:val="auto"/>
          <w:sz w:val="24"/>
          <w:szCs w:val="24"/>
          <w:highlight w:val="none"/>
        </w:rPr>
        <w:t>. The cells were then f</w:t>
      </w:r>
      <w:r>
        <w:rPr>
          <w:rFonts w:hint="eastAsia" w:ascii="Times New Roman" w:hAnsi="Times New Roman" w:cs="Times New Roman"/>
          <w:color w:val="auto"/>
          <w:sz w:val="24"/>
          <w:szCs w:val="24"/>
          <w:highlight w:val="none"/>
        </w:rPr>
        <w:t>i</w:t>
      </w:r>
      <w:r>
        <w:rPr>
          <w:rFonts w:ascii="Times New Roman" w:hAnsi="Times New Roman" w:cs="Times New Roman"/>
          <w:color w:val="auto"/>
          <w:sz w:val="24"/>
          <w:szCs w:val="24"/>
          <w:highlight w:val="none"/>
        </w:rPr>
        <w:t>xed with 4% paraformaldehyde for 20min and treated with 0.1% Triton X-100 in PBS for 10min. Cells were blocked with 5% BSA for 30min at 37°C, incubated with primary antibody overnight at 4°C, and washed with PBS three times. T</w:t>
      </w:r>
      <w:r>
        <w:rPr>
          <w:rFonts w:hint="eastAsia" w:ascii="Times New Roman" w:hAnsi="Times New Roman" w:cs="Times New Roman"/>
          <w:color w:val="auto"/>
          <w:sz w:val="24"/>
          <w:szCs w:val="24"/>
          <w:highlight w:val="none"/>
        </w:rPr>
        <w:t>h</w:t>
      </w:r>
      <w:r>
        <w:rPr>
          <w:rFonts w:ascii="Times New Roman" w:hAnsi="Times New Roman" w:cs="Times New Roman"/>
          <w:color w:val="auto"/>
          <w:sz w:val="24"/>
          <w:szCs w:val="24"/>
          <w:highlight w:val="none"/>
        </w:rPr>
        <w:t xml:space="preserve">en, the cells were incubated with DAPI for 30min. All images were viewed under </w:t>
      </w:r>
      <w:r>
        <w:rPr>
          <w:rFonts w:hint="eastAsia" w:ascii="Times New Roman" w:hAnsi="Times New Roman" w:cs="Times New Roman"/>
          <w:color w:val="auto"/>
          <w:sz w:val="24"/>
          <w:szCs w:val="24"/>
          <w:highlight w:val="none"/>
        </w:rPr>
        <w:t>Laser Confocal Microscope (Carl ZEISS, LSM900</w:t>
      </w:r>
      <w:r>
        <w:rPr>
          <w:rFonts w:ascii="Times New Roman" w:hAnsi="Times New Roman" w:cs="Times New Roman"/>
          <w:color w:val="auto"/>
          <w:sz w:val="24"/>
          <w:szCs w:val="24"/>
          <w:highlight w:val="none"/>
        </w:rPr>
        <w:t>, Germany).</w:t>
      </w:r>
    </w:p>
    <w:p>
      <w:pPr>
        <w:adjustRightInd w:val="0"/>
        <w:snapToGrid w:val="0"/>
        <w:spacing w:line="480" w:lineRule="auto"/>
        <w:rPr>
          <w:rFonts w:ascii="Times New Roman" w:hAnsi="Times New Roman" w:eastAsia="宋体" w:cs="Times New Roman"/>
          <w:b/>
          <w:color w:val="auto"/>
          <w:sz w:val="24"/>
          <w:szCs w:val="24"/>
          <w:highlight w:val="none"/>
        </w:rPr>
      </w:pPr>
      <w:r>
        <w:rPr>
          <w:rFonts w:ascii="Times New Roman" w:hAnsi="Times New Roman" w:eastAsia="宋体" w:cs="Times New Roman"/>
          <w:b/>
          <w:color w:val="auto"/>
          <w:sz w:val="24"/>
          <w:szCs w:val="24"/>
          <w:highlight w:val="none"/>
        </w:rPr>
        <w:t>m</w:t>
      </w:r>
      <w:r>
        <w:rPr>
          <w:rFonts w:ascii="Times New Roman" w:hAnsi="Times New Roman" w:eastAsia="宋体" w:cs="Times New Roman"/>
          <w:b/>
          <w:color w:val="auto"/>
          <w:sz w:val="24"/>
          <w:szCs w:val="24"/>
          <w:highlight w:val="none"/>
          <w:vertAlign w:val="superscript"/>
        </w:rPr>
        <w:t>6</w:t>
      </w:r>
      <w:r>
        <w:rPr>
          <w:rFonts w:ascii="Times New Roman" w:hAnsi="Times New Roman" w:eastAsia="宋体" w:cs="Times New Roman"/>
          <w:b/>
          <w:color w:val="auto"/>
          <w:sz w:val="24"/>
          <w:szCs w:val="24"/>
          <w:highlight w:val="none"/>
        </w:rPr>
        <w:t xml:space="preserve">A dot blot </w:t>
      </w:r>
    </w:p>
    <w:p>
      <w:pPr>
        <w:adjustRightInd w:val="0"/>
        <w:snapToGrid w:val="0"/>
        <w:spacing w:line="480" w:lineRule="auto"/>
        <w:ind w:firstLine="240" w:firstLineChars="100"/>
        <w:rPr>
          <w:rFonts w:ascii="Times New Roman" w:hAnsi="Times New Roman" w:eastAsia="宋体" w:cs="Times New Roman"/>
          <w:b/>
          <w:color w:val="auto"/>
          <w:sz w:val="24"/>
          <w:szCs w:val="24"/>
          <w:highlight w:val="none"/>
        </w:rPr>
      </w:pPr>
      <w:r>
        <w:rPr>
          <w:rFonts w:ascii="Times New Roman" w:hAnsi="Times New Roman" w:eastAsia="宋体" w:cs="Times New Roman"/>
          <w:color w:val="auto"/>
          <w:sz w:val="24"/>
          <w:szCs w:val="24"/>
          <w:highlight w:val="none"/>
        </w:rPr>
        <w:t>The mRNA samples were denatured by heating at 72°C for 5 min followed by immediate chilling on ice. Then, mRNA was dropped on the</w:t>
      </w:r>
      <w:bookmarkStart w:id="3" w:name="OLE_LINK610"/>
      <w:bookmarkStart w:id="4" w:name="OLE_LINK609"/>
      <w:r>
        <w:rPr>
          <w:rFonts w:ascii="Times New Roman" w:hAnsi="Times New Roman" w:eastAsia="宋体" w:cs="Times New Roman"/>
          <w:color w:val="auto"/>
          <w:sz w:val="24"/>
          <w:szCs w:val="24"/>
          <w:highlight w:val="none"/>
        </w:rPr>
        <w:t xml:space="preserve"> Amersham Hybond</w:t>
      </w:r>
      <w:r>
        <w:rPr>
          <w:rFonts w:ascii="Times New Roman" w:hAnsi="Times New Roman" w:eastAsia="宋体" w:cs="Times New Roman"/>
          <w:color w:val="auto"/>
          <w:sz w:val="24"/>
          <w:szCs w:val="24"/>
          <w:highlight w:val="none"/>
          <w:vertAlign w:val="superscript"/>
        </w:rPr>
        <w:t>TM</w:t>
      </w:r>
      <w:r>
        <w:rPr>
          <w:rFonts w:ascii="Times New Roman" w:hAnsi="Times New Roman" w:eastAsia="宋体" w:cs="Times New Roman"/>
          <w:color w:val="auto"/>
          <w:sz w:val="24"/>
          <w:szCs w:val="24"/>
          <w:highlight w:val="none"/>
        </w:rPr>
        <w:t>-N+ membrane (GE Healthcare</w:t>
      </w:r>
      <w:r>
        <w:rPr>
          <w:rFonts w:hint="eastAsia" w:ascii="Times New Roman" w:hAnsi="Times New Roman" w:eastAsia="宋体" w:cs="Times New Roman"/>
          <w:color w:val="auto"/>
          <w:sz w:val="24"/>
          <w:szCs w:val="24"/>
          <w:highlight w:val="none"/>
        </w:rPr>
        <w:t>,</w:t>
      </w:r>
      <w:bookmarkEnd w:id="3"/>
      <w:bookmarkEnd w:id="4"/>
      <w:r>
        <w:rPr>
          <w:rFonts w:hint="eastAsia" w:ascii="Times New Roman" w:hAnsi="Times New Roman" w:eastAsia="宋体" w:cs="Times New Roman"/>
          <w:color w:val="auto"/>
          <w:sz w:val="24"/>
          <w:szCs w:val="24"/>
          <w:highlight w:val="none"/>
        </w:rPr>
        <w:t xml:space="preserve"> #RPN303B</w:t>
      </w:r>
      <w:r>
        <w:rPr>
          <w:rFonts w:ascii="Times New Roman" w:hAnsi="Times New Roman" w:eastAsia="宋体" w:cs="Times New Roman"/>
          <w:color w:val="auto"/>
          <w:sz w:val="24"/>
          <w:szCs w:val="24"/>
          <w:highlight w:val="none"/>
        </w:rPr>
        <w:t xml:space="preserve">) and crosslinked to the membrane twice by UV in autocross link mode (1,200 microjoules [x100]; 25–50 sec) using UVP Crosslinker Analytik-jena. </w:t>
      </w:r>
      <w:r>
        <w:rPr>
          <w:rFonts w:hint="eastAsia" w:ascii="Times New Roman" w:hAnsi="Times New Roman" w:eastAsia="宋体" w:cs="Times New Roman"/>
          <w:color w:val="auto"/>
          <w:sz w:val="24"/>
          <w:szCs w:val="24"/>
          <w:highlight w:val="none"/>
        </w:rPr>
        <w:t>O</w:t>
      </w:r>
      <w:r>
        <w:rPr>
          <w:rFonts w:ascii="Times New Roman" w:hAnsi="Times New Roman" w:eastAsia="宋体" w:cs="Times New Roman"/>
          <w:color w:val="auto"/>
          <w:sz w:val="24"/>
          <w:szCs w:val="24"/>
          <w:highlight w:val="none"/>
        </w:rPr>
        <w:t>ne of the membranes was blocked and detected with an m</w:t>
      </w:r>
      <w:r>
        <w:rPr>
          <w:rFonts w:ascii="Times New Roman" w:hAnsi="Times New Roman" w:eastAsia="宋体" w:cs="Times New Roman"/>
          <w:color w:val="auto"/>
          <w:sz w:val="24"/>
          <w:szCs w:val="24"/>
          <w:highlight w:val="none"/>
          <w:vertAlign w:val="superscript"/>
        </w:rPr>
        <w:t>6</w:t>
      </w:r>
      <w:r>
        <w:rPr>
          <w:rFonts w:ascii="Times New Roman" w:hAnsi="Times New Roman" w:eastAsia="宋体" w:cs="Times New Roman"/>
          <w:color w:val="auto"/>
          <w:sz w:val="24"/>
          <w:szCs w:val="24"/>
          <w:highlight w:val="none"/>
        </w:rPr>
        <w:t>A-specific antibody (Synaptic Systems). The other membrane was stained with methylene blue as a loading control.</w:t>
      </w:r>
    </w:p>
    <w:p>
      <w:pPr>
        <w:widowControl/>
        <w:adjustRightInd w:val="0"/>
        <w:snapToGrid w:val="0"/>
        <w:spacing w:line="480" w:lineRule="auto"/>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AML murine models</w:t>
      </w:r>
    </w:p>
    <w:p>
      <w:pPr>
        <w:widowControl/>
        <w:adjustRightInd w:val="0"/>
        <w:snapToGrid w:val="0"/>
        <w:spacing w:line="480" w:lineRule="auto"/>
        <w:ind w:firstLine="240" w:firstLineChars="1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Six-week-old male NOD-Prkdcscid-Il2rgem1IDMO (NPI) mice were obtained from the Beijing IDMO CO.LTD (Beijing, China</w:t>
      </w:r>
      <w:r>
        <w:rPr>
          <w:rFonts w:hint="eastAsia" w:ascii="Times New Roman" w:hAnsi="Times New Roman" w:cs="Times New Roman"/>
          <w:color w:val="auto"/>
          <w:sz w:val="24"/>
          <w:szCs w:val="24"/>
          <w:highlight w:val="none"/>
        </w:rPr>
        <w:t>)</w:t>
      </w:r>
      <w:r>
        <w:rPr>
          <w:rFonts w:ascii="Times New Roman" w:hAnsi="Times New Roman" w:cs="Times New Roman"/>
          <w:color w:val="auto"/>
          <w:sz w:val="24"/>
          <w:szCs w:val="24"/>
          <w:highlight w:val="none"/>
        </w:rPr>
        <w:t>, and were randomly divided into two groups. They were injected with 5×10</w:t>
      </w:r>
      <w:r>
        <w:rPr>
          <w:rFonts w:ascii="Times New Roman" w:hAnsi="Times New Roman" w:cs="Times New Roman"/>
          <w:color w:val="auto"/>
          <w:sz w:val="24"/>
          <w:szCs w:val="24"/>
          <w:highlight w:val="none"/>
          <w:vertAlign w:val="superscript"/>
        </w:rPr>
        <w:t>6</w:t>
      </w:r>
      <w:r>
        <w:rPr>
          <w:rFonts w:ascii="Times New Roman" w:hAnsi="Times New Roman" w:cs="Times New Roman"/>
          <w:color w:val="auto"/>
          <w:sz w:val="24"/>
          <w:szCs w:val="24"/>
          <w:highlight w:val="none"/>
        </w:rPr>
        <w:t xml:space="preserve"> THP-1 cells transfected with sh-</w:t>
      </w:r>
      <w:r>
        <w:rPr>
          <w:rFonts w:hint="eastAsia" w:ascii="Times New Roman" w:hAnsi="Times New Roman" w:cs="Times New Roman"/>
          <w:color w:val="auto"/>
          <w:sz w:val="24"/>
          <w:szCs w:val="24"/>
          <w:highlight w:val="none"/>
          <w:lang w:eastAsia="zh-CN"/>
        </w:rPr>
        <w:t>Circ_0001187</w:t>
      </w:r>
      <w:r>
        <w:rPr>
          <w:rFonts w:ascii="Times New Roman" w:hAnsi="Times New Roman" w:cs="Times New Roman"/>
          <w:color w:val="auto"/>
          <w:sz w:val="24"/>
          <w:szCs w:val="24"/>
          <w:highlight w:val="none"/>
        </w:rPr>
        <w:t>-GFP or Ctrl-GFP via the tail vein to establish the AML murine model. The AML mice were sacrificed after 40 days, and the leukemia burden and complications in spleen, liver and bone marrow were analyzed.</w:t>
      </w:r>
    </w:p>
    <w:p>
      <w:pPr>
        <w:rPr>
          <w:rFonts w:hint="default" w:ascii="Times New Roman" w:hAnsi="Times New Roman" w:eastAsia="宋体" w:cs="Times New Roman"/>
          <w:b/>
          <w:bCs/>
          <w:sz w:val="24"/>
        </w:rPr>
      </w:pPr>
      <w:bookmarkStart w:id="5" w:name="_GoBack"/>
      <w:bookmarkEnd w:id="5"/>
    </w:p>
    <w:p>
      <w:pPr>
        <w:rPr>
          <w:rFonts w:hint="default" w:ascii="Times New Roman" w:hAnsi="Times New Roman" w:eastAsia="宋体" w:cs="Times New Roman"/>
          <w:b/>
          <w:bCs/>
          <w:sz w:val="24"/>
        </w:rPr>
      </w:pPr>
    </w:p>
    <w:p>
      <w:pPr>
        <w:rPr>
          <w:rFonts w:hint="default" w:ascii="Times New Roman" w:hAnsi="Times New Roman" w:eastAsia="宋体" w:cs="Times New Roman"/>
          <w:b/>
          <w:bCs/>
          <w:sz w:val="24"/>
        </w:rPr>
      </w:pPr>
    </w:p>
    <w:p>
      <w:pPr>
        <w:rPr>
          <w:rFonts w:hint="default" w:ascii="Times New Roman" w:hAnsi="Times New Roman" w:eastAsia="宋体" w:cs="Times New Roman"/>
          <w:b/>
          <w:bCs/>
          <w:sz w:val="24"/>
        </w:rPr>
      </w:pPr>
    </w:p>
    <w:p>
      <w:pPr>
        <w:rPr>
          <w:rFonts w:hint="default" w:ascii="Times New Roman" w:hAnsi="Times New Roman" w:eastAsia="宋体" w:cs="Times New Roman"/>
          <w:sz w:val="24"/>
        </w:rPr>
      </w:pPr>
      <w:r>
        <w:rPr>
          <w:rFonts w:hint="default" w:ascii="Times New Roman" w:hAnsi="Times New Roman" w:eastAsia="宋体" w:cs="Times New Roman"/>
          <w:b/>
          <w:bCs/>
          <w:sz w:val="24"/>
        </w:rPr>
        <w:t>Supplementary figure 1.</w:t>
      </w:r>
      <w:r>
        <w:rPr>
          <w:rFonts w:hint="default" w:ascii="Times New Roman" w:hAnsi="Times New Roman" w:eastAsia="宋体" w:cs="Times New Roman"/>
          <w:sz w:val="24"/>
        </w:rPr>
        <w:t xml:space="preserve"> (A-B) The qRT-PCR results of Circ_0001187 in THP-1 and Molm-13 cells with Circ_0001187 knockdown or overexpression. (C) The proliferation results of THP-1 cells transfected si-Circ1 or si-Circ</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2 by EDU staining. (D-F) GSEA analysis for Circ_0001187 knockdown compared to the control group. (G) KEGG pathways in Circ_0001187 knockdown compared to the control group. (H) The expression results of P53, MDM2, c-myc and LEF1 in THP-1 cells transfected si-Circ or si-NC through qRT-PCR. *p &lt; 0.05; ***p &lt; 0.001; ****p &lt; 0.0001; ns: Not significant.</w:t>
      </w:r>
    </w:p>
    <w:p>
      <w:pPr>
        <w:rPr>
          <w:rFonts w:hint="default" w:ascii="Times New Roman" w:hAnsi="Times New Roman" w:eastAsia="宋体" w:cs="Times New Roman"/>
          <w:sz w:val="24"/>
        </w:rPr>
      </w:pPr>
    </w:p>
    <w:p>
      <w:pPr>
        <w:rPr>
          <w:rFonts w:hint="default" w:ascii="Times New Roman" w:hAnsi="Times New Roman" w:eastAsia="宋体" w:cs="Times New Roman"/>
          <w:sz w:val="24"/>
        </w:rPr>
      </w:pPr>
      <w:r>
        <w:rPr>
          <w:rFonts w:hint="default" w:ascii="Times New Roman" w:hAnsi="Times New Roman" w:eastAsia="宋体" w:cs="Times New Roman"/>
          <w:b/>
          <w:bCs/>
          <w:sz w:val="24"/>
        </w:rPr>
        <w:t>Supplementary figure 2.</w:t>
      </w:r>
      <w:r>
        <w:rPr>
          <w:rFonts w:hint="default" w:ascii="Times New Roman" w:hAnsi="Times New Roman" w:eastAsia="宋体" w:cs="Times New Roman"/>
          <w:sz w:val="24"/>
        </w:rPr>
        <w:t xml:space="preserve"> (A) </w:t>
      </w:r>
      <w:r>
        <w:rPr>
          <w:rFonts w:hint="default" w:ascii="Times New Roman" w:hAnsi="Times New Roman" w:eastAsia="宋体" w:cs="Times New Roman"/>
          <w:sz w:val="24"/>
          <w:lang w:val="en-US" w:eastAsia="zh-CN"/>
        </w:rPr>
        <w:t>T</w:t>
      </w:r>
      <w:r>
        <w:rPr>
          <w:rFonts w:hint="default" w:ascii="Times New Roman" w:hAnsi="Times New Roman" w:eastAsia="宋体" w:cs="Times New Roman"/>
          <w:sz w:val="24"/>
        </w:rPr>
        <w:t xml:space="preserve">he qRT-PCR results of Circ_0001187 in </w:t>
      </w:r>
      <w:r>
        <w:rPr>
          <w:rFonts w:hint="default" w:ascii="Times New Roman" w:hAnsi="Times New Roman" w:eastAsia="宋体" w:cs="Times New Roman"/>
          <w:sz w:val="24"/>
          <w:lang w:val="en-US" w:eastAsia="zh-CN"/>
        </w:rPr>
        <w:t>mice</w:t>
      </w:r>
      <w:r>
        <w:rPr>
          <w:rFonts w:hint="default" w:ascii="Times New Roman" w:hAnsi="Times New Roman" w:eastAsia="宋体" w:cs="Times New Roman"/>
          <w:sz w:val="24"/>
        </w:rPr>
        <w:t xml:space="preserve"> </w:t>
      </w:r>
      <w:r>
        <w:rPr>
          <w:rFonts w:hint="default" w:ascii="Times New Roman" w:hAnsi="Times New Roman" w:eastAsia="宋体" w:cs="Times New Roman"/>
          <w:sz w:val="24"/>
          <w:lang w:val="en-US" w:eastAsia="zh-CN"/>
        </w:rPr>
        <w:t xml:space="preserve">treated </w:t>
      </w:r>
      <w:r>
        <w:rPr>
          <w:rFonts w:hint="default" w:ascii="Times New Roman" w:hAnsi="Times New Roman" w:eastAsia="宋体" w:cs="Times New Roman"/>
          <w:sz w:val="24"/>
        </w:rPr>
        <w:t xml:space="preserve">with </w:t>
      </w:r>
      <w:r>
        <w:rPr>
          <w:rFonts w:hint="default" w:ascii="Times New Roman" w:hAnsi="Times New Roman" w:eastAsia="宋体" w:cs="Times New Roman"/>
          <w:sz w:val="24"/>
          <w:lang w:val="en-US" w:eastAsia="zh-CN"/>
        </w:rPr>
        <w:t>sh-</w:t>
      </w:r>
      <w:r>
        <w:rPr>
          <w:rFonts w:hint="default" w:ascii="Times New Roman" w:hAnsi="Times New Roman" w:eastAsia="宋体" w:cs="Times New Roman"/>
          <w:sz w:val="24"/>
        </w:rPr>
        <w:t>Circ</w:t>
      </w:r>
      <w:r>
        <w:rPr>
          <w:rFonts w:hint="default" w:ascii="Times New Roman" w:hAnsi="Times New Roman" w:eastAsia="宋体" w:cs="Times New Roman"/>
          <w:sz w:val="24"/>
          <w:lang w:val="en-US" w:eastAsia="zh-CN"/>
        </w:rPr>
        <w:t xml:space="preserve"> compared with negative control</w:t>
      </w:r>
      <w:r>
        <w:rPr>
          <w:rFonts w:hint="default" w:ascii="Times New Roman" w:hAnsi="Times New Roman" w:eastAsia="宋体" w:cs="Times New Roman"/>
          <w:sz w:val="24"/>
        </w:rPr>
        <w:t>. (B-C) The spleen and liver weight of AML mice injected with THP-1 cells transfected with sh-Circ_0001187-GFP or Ctrl-GFP. (D, F) Differential expression of miRNA from RNA pull-down. (E)</w:t>
      </w:r>
      <w:r>
        <w:rPr>
          <w:rFonts w:hint="default" w:ascii="Times New Roman" w:hAnsi="Times New Roman" w:eastAsia="宋体" w:cs="Times New Roman"/>
          <w:color w:val="0000FF"/>
          <w:sz w:val="24"/>
        </w:rPr>
        <w:t xml:space="preserve"> </w:t>
      </w:r>
      <w:r>
        <w:rPr>
          <w:rFonts w:hint="default" w:ascii="Times New Roman" w:hAnsi="Times New Roman" w:eastAsia="宋体" w:cs="Times New Roman"/>
          <w:sz w:val="24"/>
        </w:rPr>
        <w:t>miRNA and target mRNA prediction network of Circ_0001187 via RNA pulldown assay. (G-H) The results of GO enrichment correspond to miRNA/mRNA. (I) The results of the pathway related to miRNA/mRNA. *p &lt; 0.05; ***p &lt; 0.001.</w:t>
      </w:r>
    </w:p>
    <w:p>
      <w:pPr>
        <w:rPr>
          <w:rFonts w:hint="default" w:ascii="Times New Roman" w:hAnsi="Times New Roman" w:eastAsia="宋体" w:cs="Times New Roman"/>
          <w:sz w:val="24"/>
        </w:rPr>
      </w:pPr>
    </w:p>
    <w:p>
      <w:pPr>
        <w:adjustRightInd w:val="0"/>
        <w:snapToGrid w:val="0"/>
        <w:spacing w:line="360" w:lineRule="auto"/>
        <w:rPr>
          <w:rFonts w:hint="default" w:ascii="Times New Roman" w:hAnsi="Times New Roman" w:eastAsia="宋体" w:cs="Times New Roman"/>
          <w:sz w:val="24"/>
        </w:rPr>
      </w:pPr>
      <w:r>
        <w:rPr>
          <w:rFonts w:hint="default" w:ascii="Times New Roman" w:hAnsi="Times New Roman" w:eastAsia="宋体" w:cs="Times New Roman"/>
          <w:b/>
          <w:bCs/>
          <w:sz w:val="24"/>
        </w:rPr>
        <w:t>Supplementary figure 3.</w:t>
      </w:r>
      <w:r>
        <w:rPr>
          <w:rFonts w:hint="default" w:ascii="Times New Roman" w:hAnsi="Times New Roman" w:eastAsia="宋体" w:cs="Times New Roman"/>
          <w:sz w:val="24"/>
        </w:rPr>
        <w:t xml:space="preserve"> (A-B) The qRT-PCR results of METTL3 in THP-1 and </w:t>
      </w:r>
      <w:r>
        <w:rPr>
          <w:rFonts w:hint="default" w:ascii="Times New Roman" w:hAnsi="Times New Roman" w:eastAsia="宋体" w:cs="Times New Roman"/>
          <w:sz w:val="24"/>
          <w:lang w:val="en-US" w:eastAsia="zh-CN"/>
        </w:rPr>
        <w:t>Molm-13 AML</w:t>
      </w:r>
      <w:r>
        <w:rPr>
          <w:rFonts w:hint="default" w:ascii="Times New Roman" w:hAnsi="Times New Roman" w:eastAsia="宋体" w:cs="Times New Roman"/>
          <w:sz w:val="24"/>
        </w:rPr>
        <w:t xml:space="preserve"> cells with Circ_0001187 knockdown. (C) The effect of si-Circ</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or si-Circ/METTL3i on the apoptosis of AML cells by flow cytometry. (D) The expression levels of RNF113A from TCGA database. (E-F) The proliferation results of THP-1 and Molm-13 cells with </w:t>
      </w:r>
      <w:r>
        <w:rPr>
          <w:rFonts w:hint="default" w:ascii="Times New Roman" w:hAnsi="Times New Roman" w:eastAsia="宋体" w:cs="Times New Roman"/>
          <w:sz w:val="24"/>
          <w:lang w:val="en-US" w:eastAsia="zh-CN"/>
        </w:rPr>
        <w:t>RNF113A</w:t>
      </w:r>
      <w:r>
        <w:rPr>
          <w:rFonts w:hint="default" w:ascii="Times New Roman" w:hAnsi="Times New Roman" w:eastAsia="宋体" w:cs="Times New Roman"/>
          <w:sz w:val="24"/>
        </w:rPr>
        <w:t xml:space="preserve"> knockdown by CCK-8 assays. (G-H) The effect of RNF113A knockdown or RNF113A overexpression on the apoptosis of THP-1 and Molm-13 cells by flow cytometry. *p &lt; 0.05; **p &lt; 0.01; ***p &lt; 0.001; ****p &lt; 0.0001; ns: Not significant; </w:t>
      </w:r>
    </w:p>
    <w:p>
      <w:pPr>
        <w:adjustRightInd w:val="0"/>
        <w:snapToGrid w:val="0"/>
        <w:spacing w:line="360" w:lineRule="auto"/>
        <w:rPr>
          <w:rFonts w:hint="default" w:ascii="Times New Roman" w:hAnsi="Times New Roman" w:eastAsia="宋体" w:cs="Times New Roman"/>
          <w:sz w:val="24"/>
        </w:rPr>
      </w:pPr>
    </w:p>
    <w:p>
      <w:pPr>
        <w:adjustRightInd w:val="0"/>
        <w:snapToGrid w:val="0"/>
        <w:spacing w:line="360" w:lineRule="auto"/>
        <w:rPr>
          <w:rFonts w:hint="default" w:ascii="Times New Roman" w:hAnsi="Times New Roman" w:eastAsia="宋体" w:cs="Times New Roman"/>
          <w:sz w:val="24"/>
        </w:rPr>
      </w:pPr>
      <w:r>
        <w:rPr>
          <w:rFonts w:hint="default" w:ascii="Times New Roman" w:hAnsi="Times New Roman" w:eastAsia="宋体" w:cs="Times New Roman"/>
          <w:b/>
          <w:bCs/>
          <w:sz w:val="24"/>
        </w:rPr>
        <w:t>Supplementary figure 4.</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(A-B) The effect of </w:t>
      </w:r>
      <w:r>
        <w:rPr>
          <w:rFonts w:hint="default" w:ascii="Times New Roman" w:hAnsi="Times New Roman" w:eastAsia="宋体" w:cs="Times New Roman"/>
          <w:color w:val="000000"/>
          <w:sz w:val="24"/>
        </w:rPr>
        <w:t>miR-499a-5p mimics</w:t>
      </w:r>
      <w:r>
        <w:rPr>
          <w:rFonts w:hint="default" w:ascii="Times New Roman" w:hAnsi="Times New Roman" w:eastAsia="宋体" w:cs="Times New Roman"/>
          <w:sz w:val="24"/>
        </w:rPr>
        <w:t xml:space="preserve"> on the proliferation of THP-1 and Molm-13 cells. (C-D) The effect of </w:t>
      </w:r>
      <w:r>
        <w:rPr>
          <w:rFonts w:hint="default" w:ascii="Times New Roman" w:hAnsi="Times New Roman" w:eastAsia="宋体" w:cs="Times New Roman"/>
          <w:color w:val="000000"/>
          <w:sz w:val="24"/>
        </w:rPr>
        <w:t>miR-499a-5p mimics/inhibitor</w:t>
      </w:r>
      <w:r>
        <w:rPr>
          <w:rFonts w:hint="default" w:ascii="Times New Roman" w:hAnsi="Times New Roman" w:eastAsia="宋体" w:cs="Times New Roman"/>
          <w:sz w:val="24"/>
        </w:rPr>
        <w:t xml:space="preserve"> on the apoptosis of THP-1 and Molm-13 cells. (E)</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szCs w:val="24"/>
        </w:rPr>
        <w:t xml:space="preserve">ChIP‒qPCR </w:t>
      </w:r>
      <w:r>
        <w:rPr>
          <w:rFonts w:hint="default" w:ascii="Times New Roman" w:hAnsi="Times New Roman" w:eastAsia="宋体" w:cs="Times New Roman"/>
          <w:sz w:val="24"/>
          <w:szCs w:val="24"/>
          <w:lang w:val="en-US" w:eastAsia="zh-CN"/>
        </w:rPr>
        <w:t xml:space="preserve">showing </w:t>
      </w:r>
      <w:r>
        <w:rPr>
          <w:rFonts w:hint="default" w:ascii="Times New Roman" w:hAnsi="Times New Roman" w:eastAsia="宋体" w:cs="Times New Roman"/>
          <w:sz w:val="24"/>
          <w:szCs w:val="24"/>
        </w:rPr>
        <w:t xml:space="preserve">the effect of chidamide on the histone acetylation levels of </w:t>
      </w:r>
      <w:r>
        <w:rPr>
          <w:rFonts w:hint="default" w:ascii="Times New Roman" w:hAnsi="Times New Roman" w:eastAsia="宋体" w:cs="Times New Roman"/>
          <w:sz w:val="24"/>
          <w:szCs w:val="24"/>
          <w:lang w:eastAsia="zh-CN"/>
        </w:rPr>
        <w:t>Circ_0001187</w:t>
      </w:r>
      <w:r>
        <w:rPr>
          <w:rFonts w:hint="default" w:ascii="Times New Roman" w:hAnsi="Times New Roman" w:eastAsia="宋体" w:cs="Times New Roman"/>
          <w:sz w:val="24"/>
          <w:szCs w:val="24"/>
          <w:lang w:val="en-US" w:eastAsia="zh-CN"/>
        </w:rPr>
        <w:t xml:space="preserve"> by promoter-2 and promoter-3. (F) </w:t>
      </w:r>
      <w:r>
        <w:rPr>
          <w:rFonts w:hint="default" w:ascii="Times New Roman" w:hAnsi="Times New Roman" w:eastAsia="宋体" w:cs="Times New Roman"/>
          <w:sz w:val="24"/>
        </w:rPr>
        <w:t>The analysis results of Circ_0001187 and EIF4A3 from Circular RNA Interactcome database. (</w:t>
      </w:r>
      <w:r>
        <w:rPr>
          <w:rFonts w:hint="default" w:ascii="Times New Roman" w:hAnsi="Times New Roman" w:eastAsia="宋体" w:cs="Times New Roman"/>
          <w:sz w:val="24"/>
          <w:lang w:val="en-US" w:eastAsia="zh-CN"/>
        </w:rPr>
        <w:t>G</w:t>
      </w:r>
      <w:r>
        <w:rPr>
          <w:rFonts w:hint="default" w:ascii="Times New Roman" w:hAnsi="Times New Roman" w:eastAsia="宋体" w:cs="Times New Roman"/>
          <w:sz w:val="24"/>
        </w:rPr>
        <w:t>) The expression levels of EIF4A3 from TCGA database. (</w:t>
      </w:r>
      <w:r>
        <w:rPr>
          <w:rFonts w:hint="default" w:ascii="Times New Roman" w:hAnsi="Times New Roman" w:eastAsia="宋体" w:cs="Times New Roman"/>
          <w:sz w:val="24"/>
          <w:lang w:val="en-US" w:eastAsia="zh-CN"/>
        </w:rPr>
        <w:t>H</w:t>
      </w:r>
      <w:r>
        <w:rPr>
          <w:rFonts w:hint="default" w:ascii="Times New Roman" w:hAnsi="Times New Roman" w:eastAsia="宋体" w:cs="Times New Roman"/>
          <w:sz w:val="24"/>
        </w:rPr>
        <w:t xml:space="preserve">) The effect of </w:t>
      </w:r>
      <w:r>
        <w:rPr>
          <w:rFonts w:hint="default" w:ascii="Times New Roman" w:hAnsi="Times New Roman" w:eastAsia="宋体" w:cs="Times New Roman"/>
          <w:color w:val="000000"/>
          <w:sz w:val="24"/>
        </w:rPr>
        <w:t>oe-EIF4A3 or oe-EIF4A3/siCirc</w:t>
      </w:r>
      <w:r>
        <w:rPr>
          <w:rFonts w:hint="default" w:ascii="Times New Roman" w:hAnsi="Times New Roman" w:eastAsia="宋体" w:cs="Times New Roman"/>
          <w:sz w:val="24"/>
        </w:rPr>
        <w:t xml:space="preserve"> on the proliferation</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of THP-1 cells. (</w:t>
      </w:r>
      <w:r>
        <w:rPr>
          <w:rFonts w:hint="default" w:ascii="Times New Roman" w:hAnsi="Times New Roman" w:eastAsia="宋体" w:cs="Times New Roman"/>
          <w:sz w:val="24"/>
          <w:lang w:val="en-US" w:eastAsia="zh-CN"/>
        </w:rPr>
        <w:t>I-J</w:t>
      </w:r>
      <w:r>
        <w:rPr>
          <w:rFonts w:hint="default" w:ascii="Times New Roman" w:hAnsi="Times New Roman" w:eastAsia="宋体" w:cs="Times New Roman"/>
          <w:sz w:val="24"/>
        </w:rPr>
        <w:t xml:space="preserve">) The effect of </w:t>
      </w:r>
      <w:r>
        <w:rPr>
          <w:rFonts w:hint="default" w:ascii="Times New Roman" w:hAnsi="Times New Roman" w:eastAsia="宋体" w:cs="Times New Roman"/>
          <w:color w:val="000000"/>
          <w:sz w:val="24"/>
        </w:rPr>
        <w:t>oe-EIF4A3 or oe-EIF4A3/siCirc</w:t>
      </w:r>
      <w:r>
        <w:rPr>
          <w:rFonts w:hint="default" w:ascii="Times New Roman" w:hAnsi="Times New Roman" w:eastAsia="宋体" w:cs="Times New Roman"/>
          <w:sz w:val="24"/>
        </w:rPr>
        <w:t xml:space="preserve"> on the apoptosis</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of THP-1 cells. *p &lt; 0.05; **p &lt; 0.01; ***p &lt; 0.001; ****p &lt; 0.0001.</w:t>
      </w:r>
    </w:p>
    <w:p>
      <w:pPr>
        <w:adjustRightInd w:val="0"/>
        <w:snapToGrid w:val="0"/>
        <w:spacing w:line="360" w:lineRule="auto"/>
        <w:rPr>
          <w:rFonts w:hint="default" w:ascii="Times New Roman" w:hAnsi="Times New Roman" w:eastAsia="宋体" w:cs="Times New Roman"/>
          <w:sz w:val="24"/>
        </w:rPr>
      </w:pPr>
    </w:p>
    <w:p>
      <w:pPr>
        <w:rPr>
          <w:rFonts w:hint="default" w:ascii="Times New Roman" w:hAnsi="Times New Roman" w:eastAsia="宋体" w:cs="Times New Roman"/>
          <w:sz w:val="24"/>
        </w:rPr>
      </w:pPr>
      <w:r>
        <w:rPr>
          <w:rFonts w:hint="default" w:ascii="Times New Roman" w:hAnsi="Times New Roman" w:eastAsia="宋体" w:cs="Times New Roman"/>
          <w:sz w:val="24"/>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0ZTg2ZDI0ZDNlZjA0NmRlNDZjNTU4ZjM5YzI2NGQifQ=="/>
  </w:docVars>
  <w:rsids>
    <w:rsidRoot w:val="14ED33BA"/>
    <w:rsid w:val="06BA630B"/>
    <w:rsid w:val="14ED33BA"/>
    <w:rsid w:val="181810E3"/>
    <w:rsid w:val="20E029BA"/>
    <w:rsid w:val="39117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annotation reference"/>
    <w:basedOn w:val="3"/>
    <w:semiHidden/>
    <w:unhideWhenUsed/>
    <w:qFormat/>
    <w:uiPriority w:val="99"/>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371</Words>
  <Characters>2002</Characters>
  <Lines>0</Lines>
  <Paragraphs>0</Paragraphs>
  <TotalTime>0</TotalTime>
  <ScaleCrop>false</ScaleCrop>
  <LinksUpToDate>false</LinksUpToDate>
  <CharactersWithSpaces>2370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2022-08-29T11:40:00Z</dcterms:created>
  <dc:creator>杨新雨</dc:creator>
  <cp:lastModifiedBy>杨新雨</cp:lastModifiedBy>
  <dcterms:modified xsi:type="dcterms:W3CDTF">2022-08-30T06:03:30Z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9B6D174039BD4BB98072C2BF8697185C</vt:lpwstr>
  </property>
</Properties>
</file>