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</w:pPr>
      <w:r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 xml:space="preserve">Metal tolerance protein </w:t>
      </w:r>
      <w:r>
        <w:rPr>
          <w:rFonts w:hint="eastAsia"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>PCR2</w:t>
      </w:r>
      <w:r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>e</w:t>
      </w:r>
      <w:r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 xml:space="preserve">nhances </w:t>
      </w:r>
      <w:r>
        <w:rPr>
          <w:rFonts w:hint="eastAsia"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>Cd t</w:t>
      </w:r>
      <w:r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 xml:space="preserve">olerance </w:t>
      </w:r>
      <w:r>
        <w:rPr>
          <w:rFonts w:hint="eastAsia"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 xml:space="preserve">by roots efflux of Cd ions </w:t>
      </w:r>
      <w:r>
        <w:rPr>
          <w:rFonts w:ascii="Times New Roman" w:hAnsi="Times New Roman" w:eastAsia="AdvTT3713a231" w:cs="Times New Roman"/>
          <w:b/>
          <w:bCs/>
          <w:color w:val="131413"/>
          <w:kern w:val="0"/>
          <w:szCs w:val="21"/>
          <w:lang w:bidi="ar"/>
        </w:rPr>
        <w:t>in poplar</w:t>
      </w:r>
    </w:p>
    <w:p>
      <w:pPr>
        <w:widowControl/>
        <w:spacing w:line="480" w:lineRule="auto"/>
        <w:jc w:val="left"/>
        <w:rPr>
          <w:rFonts w:ascii="Times New Roman" w:hAnsi="Times New Roman" w:eastAsia="等线 Light" w:cs="Times New Roman"/>
          <w:kern w:val="0"/>
          <w:szCs w:val="21"/>
          <w:vertAlign w:val="superscript"/>
        </w:rPr>
      </w:pPr>
      <w:r>
        <w:rPr>
          <w:rFonts w:hint="eastAsia" w:ascii="Times New Roman" w:hAnsi="Times New Roman" w:cs="Times New Roman"/>
          <w:bCs/>
          <w:szCs w:val="21"/>
        </w:rPr>
        <w:t>Fuling Lv</w:t>
      </w:r>
      <w:r>
        <w:rPr>
          <w:rFonts w:hint="eastAsia" w:ascii="Times New Roman" w:hAnsi="Times New Roman" w:cs="Times New Roman"/>
          <w:bCs/>
          <w:szCs w:val="21"/>
          <w:vertAlign w:val="superscript"/>
        </w:rPr>
        <w:t xml:space="preserve">1, </w:t>
      </w:r>
      <w:r>
        <w:rPr>
          <w:rFonts w:ascii="Times New Roman" w:hAnsi="Times New Roman" w:cs="Times New Roman"/>
          <w:szCs w:val="21"/>
        </w:rPr>
        <w:t>*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hint="eastAsia" w:ascii="Times New Roman" w:hAnsi="Times New Roman" w:cs="Times New Roman"/>
          <w:bCs/>
          <w:szCs w:val="21"/>
        </w:rPr>
        <w:t xml:space="preserve"> Qinghua Shan</w:t>
      </w:r>
      <w:r>
        <w:rPr>
          <w:rFonts w:hint="eastAsia" w:ascii="Times New Roman" w:hAnsi="Times New Roman" w:cs="Times New Roman"/>
          <w:kern w:val="0"/>
          <w:szCs w:val="21"/>
          <w:vertAlign w:val="superscript"/>
        </w:rPr>
        <w:t>2</w:t>
      </w:r>
      <w:r>
        <w:rPr>
          <w:rFonts w:hint="eastAsia" w:ascii="Times New Roman" w:hAnsi="Times New Roman" w:cs="Times New Roman"/>
          <w:bCs/>
          <w:szCs w:val="21"/>
        </w:rPr>
        <w:t>, Kun Qiao</w:t>
      </w:r>
      <w:r>
        <w:rPr>
          <w:rFonts w:hint="eastAsia" w:ascii="Times New Roman" w:hAnsi="Times New Roman" w:cs="Times New Roman"/>
          <w:kern w:val="0"/>
          <w:szCs w:val="21"/>
          <w:vertAlign w:val="superscript"/>
        </w:rPr>
        <w:t>2</w:t>
      </w:r>
      <w:r>
        <w:rPr>
          <w:rFonts w:hint="eastAsia" w:ascii="Times New Roman" w:hAnsi="Times New Roman" w:cs="Times New Roman"/>
          <w:bCs/>
          <w:szCs w:val="21"/>
        </w:rPr>
        <w:t xml:space="preserve">, </w:t>
      </w:r>
      <w:r>
        <w:rPr>
          <w:rFonts w:hint="eastAsia" w:ascii="Times New Roman" w:hAnsi="Times New Roman" w:cs="Times New Roman"/>
          <w:bCs/>
          <w:color w:val="333333"/>
          <w:szCs w:val="21"/>
          <w:shd w:val="clear" w:color="auto" w:fill="FFFFFF"/>
        </w:rPr>
        <w:t>Haizhen Zhang</w:t>
      </w:r>
      <w:r>
        <w:rPr>
          <w:rFonts w:hint="eastAsia" w:ascii="Times New Roman" w:hAnsi="Times New Roman" w:eastAsia="宋体" w:cs="Times New Roman"/>
          <w:kern w:val="0"/>
          <w:szCs w:val="21"/>
          <w:vertAlign w:val="superscript"/>
        </w:rPr>
        <w:t>2</w:t>
      </w:r>
      <w:r>
        <w:rPr>
          <w:rFonts w:hint="eastAsia" w:ascii="Times New Roman" w:hAnsi="Times New Roman" w:cs="Times New Roman"/>
          <w:bCs/>
          <w:color w:val="333333"/>
          <w:szCs w:val="21"/>
          <w:shd w:val="clear" w:color="auto" w:fill="FFFFFF"/>
        </w:rPr>
        <w:t xml:space="preserve">, </w:t>
      </w:r>
      <w:r>
        <w:rPr>
          <w:rFonts w:hint="eastAsia" w:ascii="Times New Roman" w:hAnsi="Times New Roman" w:cs="Times New Roman"/>
          <w:bCs/>
          <w:szCs w:val="21"/>
        </w:rPr>
        <w:t>Aimin Zhou</w:t>
      </w:r>
      <w:r>
        <w:rPr>
          <w:rFonts w:hint="eastAsia" w:ascii="Times New Roman" w:hAnsi="Times New Roman" w:cs="Times New Roman"/>
          <w:bCs/>
          <w:szCs w:val="21"/>
          <w:vertAlign w:val="superscript"/>
        </w:rPr>
        <w:t>2</w:t>
      </w:r>
    </w:p>
    <w:p>
      <w:pPr>
        <w:widowControl/>
        <w:spacing w:line="480" w:lineRule="auto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  <w:vertAlign w:val="superscript"/>
        </w:rPr>
        <w:t xml:space="preserve">1 </w:t>
      </w:r>
      <w:r>
        <w:rPr>
          <w:rFonts w:ascii="Times New Roman" w:hAnsi="Times New Roman" w:eastAsia="仿宋_GB2312" w:cs="Times New Roman"/>
          <w:szCs w:val="21"/>
        </w:rPr>
        <w:t>Chinese Academy of Forestry, Beijing</w:t>
      </w:r>
      <w:r>
        <w:rPr>
          <w:rFonts w:hint="eastAsia" w:ascii="Times New Roman" w:hAnsi="Times New Roman" w:eastAsia="仿宋_GB2312" w:cs="Times New Roman"/>
          <w:szCs w:val="21"/>
        </w:rPr>
        <w:t>,</w:t>
      </w:r>
      <w:r>
        <w:rPr>
          <w:rFonts w:ascii="Times New Roman" w:hAnsi="Times New Roman" w:eastAsia="仿宋_GB2312" w:cs="Times New Roman"/>
          <w:szCs w:val="21"/>
        </w:rPr>
        <w:t xml:space="preserve"> 100091, </w:t>
      </w:r>
      <w:r>
        <w:rPr>
          <w:rFonts w:hint="eastAsia" w:ascii="Times New Roman" w:hAnsi="Times New Roman" w:eastAsia="仿宋_GB2312" w:cs="Times New Roman"/>
          <w:szCs w:val="21"/>
        </w:rPr>
        <w:t xml:space="preserve">PR </w:t>
      </w:r>
      <w:r>
        <w:rPr>
          <w:rFonts w:ascii="Times New Roman" w:hAnsi="Times New Roman" w:eastAsia="仿宋_GB2312" w:cs="Times New Roman"/>
          <w:szCs w:val="21"/>
        </w:rPr>
        <w:t>China</w:t>
      </w:r>
    </w:p>
    <w:p>
      <w:pPr>
        <w:widowControl/>
        <w:spacing w:line="480" w:lineRule="auto"/>
        <w:jc w:val="left"/>
        <w:rPr>
          <w:rFonts w:ascii="Times New Roman" w:hAnsi="Times New Roman" w:eastAsia="CharisSIL-Italic" w:cs="Times New Roman"/>
          <w:iCs/>
          <w:color w:val="000000"/>
          <w:kern w:val="0"/>
          <w:szCs w:val="21"/>
          <w:lang w:bidi="ar"/>
        </w:rPr>
      </w:pPr>
      <w:r>
        <w:rPr>
          <w:rFonts w:hint="eastAsia" w:ascii="Times New Roman" w:hAnsi="Times New Roman" w:eastAsia="宋体" w:cs="Times New Roman"/>
          <w:kern w:val="0"/>
          <w:szCs w:val="21"/>
          <w:vertAlign w:val="superscript"/>
        </w:rPr>
        <w:t xml:space="preserve">2 </w:t>
      </w:r>
      <w:r>
        <w:rPr>
          <w:rFonts w:ascii="Times New Roman" w:hAnsi="Times New Roman" w:eastAsia="CharisSIL-Italic" w:cs="Times New Roman"/>
          <w:iCs/>
          <w:color w:val="000000"/>
          <w:kern w:val="0"/>
          <w:szCs w:val="21"/>
          <w:lang w:bidi="ar"/>
        </w:rPr>
        <w:t xml:space="preserve">College of Horticulture and Landscape Architecture, Northeast Agricultural University, Harbin, 150030, PR China </w:t>
      </w:r>
    </w:p>
    <w:p>
      <w:pPr>
        <w:widowControl/>
        <w:spacing w:line="480" w:lineRule="auto"/>
        <w:jc w:val="left"/>
        <w:rPr>
          <w:rFonts w:ascii="Times New Roman" w:hAnsi="Times New Roman" w:eastAsia="仿宋_GB2312" w:cs="Times New Roman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b/>
          <w:bCs/>
          <w:szCs w:val="21"/>
        </w:rPr>
        <w:t>Corresponding Authors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widowControl/>
        <w:spacing w:line="480" w:lineRule="auto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Fuling Lv, </w:t>
      </w:r>
      <w:r>
        <w:rPr>
          <w:rFonts w:ascii="Times New Roman" w:hAnsi="Times New Roman" w:eastAsia="仿宋_GB2312" w:cs="Times New Roman"/>
          <w:szCs w:val="21"/>
        </w:rPr>
        <w:t>wboffice@caf.ac.cn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S1</w:t>
      </w:r>
      <w:r>
        <w:rPr>
          <w:rFonts w:ascii="Times New Roman" w:hAnsi="Times New Roman" w:cs="Times New Roman"/>
        </w:rPr>
        <w:t xml:space="preserve"> Primer sequences used in this study.</w:t>
      </w:r>
    </w:p>
    <w:tbl>
      <w:tblPr>
        <w:tblStyle w:val="5"/>
        <w:tblW w:w="70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3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5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 name</w:t>
            </w:r>
          </w:p>
        </w:tc>
        <w:tc>
          <w:tcPr>
            <w:tcW w:w="397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 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Primers for cloning 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PePCR2-F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ATGTATCCATCAAAGCAAGACG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PePCR2-R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TCAGCGTTTCATGCCTAGTTC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Primers used for transgenic vector constructed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pCAMIBA1300-PePCR2-F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GGATCCATGTATCCATCAAAGCAAGAC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pCAMIBA1300-PePCR2-R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TCTAGAGCGTTTCATGCCTAGTTC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pYES2-PePCR2-F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GGATCCATGTATCCATCAAAGCAAGAC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pYES2-PePCR2-R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TCTAGATCAGCGTTTCATGCCTAGTTC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Primers for transgenic plants confirmed by 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PePCR2-F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ATGTATCCATCAAAGCAAGACG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GFP-R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GCTTCTCGTTGGGGTCTTTGCT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Primers used for quantitative RT-qPCR 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PePCR2-qF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TTATGGTTCACTGGTTGTCCTTG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PePCR2-qR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TCACTCCACCATTGTGTCTCTCC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PeActin-F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ACTACCCTCCAATCCAGACACTG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PeActin-R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TTGCTGACCGTATGAGCAAG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Actin-F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ACCCTCCAATCCAGACACTG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Actin-R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TTGCTGACCGTATGAGCAAG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NRAMP6-qF(XM_006368452.2)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GTGTATTTGGCTGGGGTTGC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NRAMP6-qR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CACTCCTTCATTACCAGACTCG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HMA3 -qF(XM_006381101.2)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GACCGTAATCGCTGGTTTCG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HMA3 -qR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AGAGAGGTTGGAAATCTGTGAC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HMA5-qF(XM_024603061.1)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ATAGAGGCGGCTGACATAGTTC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HMA5-qR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GCCCAAATGTAGTTCAAGCG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ZIP1-qF(XM_002315039.3)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GTAGCCTTGTCTTTCCACCAG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ZIP1-qR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GTTGTCAGGGAGAAAAATGTTG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ZIP11-qF(XM_002300338.3)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GGTGTCCCCCTATTTTTTGAAG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ZIP11-qR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TTGTCAAATCCTCAAAGGTCTC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PDR2-qF(XM_006381240.2)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GAAGAAGCGTGTGACTACCG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PDR2-qR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GCACTGTCCAACCCTGTAGAT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ABCG29-qF(XM_024601290.1)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GAACCAGGTCAACACAGTCGT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ABCG29-qR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GATTGGATGGGCTCCTCGTT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YSL3-qF(XM_024582239.1)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TGTCTCTGCTGCTCTTCTTGC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YSL3-qR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GAACTATGGTATTCTCTTGTCGG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YSL7-qF(XM_006372292.2)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GCTTCGTGTTGAGCATTTTG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YSL7-qR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CAGCAGAGACATTGAGGGAAG</w:t>
            </w:r>
          </w:p>
        </w:tc>
      </w:tr>
    </w:tbl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3060065"/>
            <wp:effectExtent l="0" t="0" r="2540" b="6985"/>
            <wp:docPr id="1" name="图片 1" descr="E:\5月10日 文件\PePCR2\figure\fig. S1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5月10日 文件\PePCR2\figure\fig. S1(1)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Cs w:val="22"/>
        </w:rPr>
      </w:pPr>
      <w:r>
        <w:rPr>
          <w:rFonts w:hint="eastAsia" w:ascii="Times New Roman" w:hAnsi="Times New Roman" w:cs="Times New Roman"/>
          <w:b/>
        </w:rPr>
        <w:t xml:space="preserve">Fig. S1 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>The g</w:t>
      </w:r>
      <w:r>
        <w:rPr>
          <w:rFonts w:ascii="Times New Roman" w:hAnsi="Times New Roman" w:cs="Times New Roman"/>
          <w:szCs w:val="21"/>
          <w:shd w:val="clear" w:color="auto" w:fill="FFFFFF"/>
        </w:rPr>
        <w:t>eneration and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 xml:space="preserve"> determination 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of </w:t>
      </w:r>
      <w:r>
        <w:rPr>
          <w:rFonts w:hint="eastAsia" w:ascii="Times New Roman" w:hAnsi="Times New Roman" w:cs="Times New Roman"/>
          <w:i/>
          <w:szCs w:val="21"/>
          <w:shd w:val="clear" w:color="auto" w:fill="FFFFFF"/>
        </w:rPr>
        <w:t>PePCR2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>t</w:t>
      </w:r>
      <w:r>
        <w:rPr>
          <w:rFonts w:ascii="Times New Roman" w:hAnsi="Times New Roman" w:cs="Times New Roman"/>
          <w:szCs w:val="21"/>
          <w:shd w:val="clear" w:color="auto" w:fill="FFFFFF"/>
        </w:rPr>
        <w:t>ransgenic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 xml:space="preserve"> 84K poplar. </w:t>
      </w:r>
      <w:r>
        <w:rPr>
          <w:rFonts w:hint="eastAsia" w:ascii="Times New Roman" w:hAnsi="Times New Roman" w:cs="Times New Roman"/>
          <w:b/>
          <w:szCs w:val="21"/>
          <w:shd w:val="clear" w:color="auto" w:fill="FFFFFF"/>
        </w:rPr>
        <w:t>A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 xml:space="preserve">: The transformation of </w:t>
      </w:r>
      <w:bookmarkStart w:id="0" w:name="_GoBack"/>
      <w:r>
        <w:rPr>
          <w:rFonts w:hint="eastAsia" w:ascii="Times New Roman" w:hAnsi="Times New Roman" w:cs="Times New Roman"/>
          <w:i/>
          <w:iCs/>
          <w:szCs w:val="21"/>
          <w:shd w:val="clear" w:color="auto" w:fill="FFFFFF"/>
        </w:rPr>
        <w:t xml:space="preserve">PePCR2 </w:t>
      </w:r>
      <w:bookmarkEnd w:id="0"/>
      <w:r>
        <w:rPr>
          <w:rFonts w:hint="eastAsia" w:ascii="Times New Roman" w:hAnsi="Times New Roman" w:cs="Times New Roman"/>
          <w:szCs w:val="21"/>
          <w:shd w:val="clear" w:color="auto" w:fill="FFFFFF"/>
        </w:rPr>
        <w:t>into 84K poplar</w:t>
      </w:r>
      <w:r>
        <w:rPr>
          <w:rFonts w:hint="eastAsia" w:ascii="Times New Roman" w:hAnsi="Times New Roman" w:cs="Times New Roman"/>
          <w:szCs w:val="21"/>
          <w:shd w:val="clear" w:color="auto" w:fill="FFFFFF"/>
          <w:lang w:val="en-US" w:eastAsia="zh-CN"/>
        </w:rPr>
        <w:t xml:space="preserve"> using the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leaf disk transformation method</w:t>
      </w: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lang w:val="en-US" w:eastAsia="zh-CN"/>
        </w:rPr>
        <w:t>;</w:t>
      </w:r>
      <w:r>
        <w:rPr>
          <w:rFonts w:hint="eastAsia" w:ascii="Times New Roman" w:hAnsi="Times New Roman" w:cs="Times New Roman"/>
          <w:szCs w:val="21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b/>
          <w:szCs w:val="22"/>
        </w:rPr>
        <w:t>B</w:t>
      </w:r>
      <w:r>
        <w:rPr>
          <w:rFonts w:hint="eastAsia" w:ascii="Times New Roman" w:hAnsi="Times New Roman" w:cs="Times New Roman"/>
          <w:szCs w:val="22"/>
        </w:rPr>
        <w:t xml:space="preserve">: </w:t>
      </w:r>
      <w:r>
        <w:rPr>
          <w:rFonts w:ascii="Times New Roman" w:hAnsi="Times New Roman" w:cs="Times New Roman"/>
          <w:szCs w:val="22"/>
        </w:rPr>
        <w:t>The identification</w:t>
      </w:r>
      <w:r>
        <w:rPr>
          <w:rFonts w:hint="eastAsia" w:ascii="Times New Roman" w:hAnsi="Times New Roman" w:cs="Times New Roman"/>
          <w:szCs w:val="22"/>
        </w:rPr>
        <w:t xml:space="preserve"> of seven </w:t>
      </w:r>
      <w:r>
        <w:rPr>
          <w:rFonts w:hint="eastAsia" w:ascii="Times New Roman" w:hAnsi="Times New Roman" w:cs="Times New Roman"/>
          <w:i/>
          <w:szCs w:val="22"/>
        </w:rPr>
        <w:t>PePCR2</w:t>
      </w:r>
      <w:r>
        <w:rPr>
          <w:rFonts w:hint="eastAsia" w:ascii="Times New Roman" w:hAnsi="Times New Roman" w:cs="Times New Roman"/>
          <w:szCs w:val="22"/>
        </w:rPr>
        <w:t xml:space="preserve"> transgenic poplar lines by semi-quantitative PCR; </w:t>
      </w:r>
      <w:r>
        <w:rPr>
          <w:rFonts w:hint="eastAsia" w:ascii="Times New Roman" w:hAnsi="Times New Roman" w:cs="Times New Roman"/>
          <w:b/>
          <w:szCs w:val="22"/>
        </w:rPr>
        <w:t>C</w:t>
      </w:r>
      <w:r>
        <w:rPr>
          <w:rFonts w:hint="eastAsia" w:ascii="Times New Roman" w:hAnsi="Times New Roman" w:cs="Times New Roman"/>
          <w:szCs w:val="22"/>
        </w:rPr>
        <w:t xml:space="preserve">: </w:t>
      </w:r>
      <w:r>
        <w:rPr>
          <w:rFonts w:ascii="Times New Roman" w:hAnsi="Times New Roman" w:cs="Times New Roman"/>
          <w:szCs w:val="22"/>
        </w:rPr>
        <w:t xml:space="preserve">The </w:t>
      </w:r>
      <w:r>
        <w:rPr>
          <w:rFonts w:hint="eastAsia" w:ascii="Times New Roman" w:hAnsi="Times New Roman" w:cs="Times New Roman"/>
          <w:szCs w:val="22"/>
        </w:rPr>
        <w:t xml:space="preserve">molecular </w:t>
      </w:r>
      <w:r>
        <w:rPr>
          <w:rFonts w:ascii="Times New Roman" w:hAnsi="Times New Roman" w:cs="Times New Roman"/>
          <w:szCs w:val="22"/>
        </w:rPr>
        <w:t>identification</w:t>
      </w:r>
      <w:r>
        <w:rPr>
          <w:rFonts w:hint="eastAsia" w:ascii="Times New Roman" w:hAnsi="Times New Roman" w:cs="Times New Roman"/>
          <w:szCs w:val="22"/>
        </w:rPr>
        <w:t xml:space="preserve"> of seven </w:t>
      </w:r>
      <w:r>
        <w:rPr>
          <w:rFonts w:hint="eastAsia" w:ascii="Times New Roman" w:hAnsi="Times New Roman" w:cs="Times New Roman"/>
          <w:i/>
          <w:szCs w:val="22"/>
        </w:rPr>
        <w:t>PePCR3</w:t>
      </w:r>
      <w:r>
        <w:rPr>
          <w:rFonts w:hint="eastAsia"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transgenic poplars</w:t>
      </w:r>
      <w:r>
        <w:rPr>
          <w:rFonts w:hint="eastAsia" w:ascii="Times New Roman" w:hAnsi="Times New Roman" w:cs="Times New Roman"/>
          <w:szCs w:val="22"/>
        </w:rPr>
        <w:t xml:space="preserve"> using real-time quantitative PCR</w:t>
      </w:r>
      <w:r>
        <w:rPr>
          <w:rFonts w:ascii="Times New Roman" w:hAnsi="Times New Roman" w:cs="Times New Roman"/>
          <w:szCs w:val="22"/>
        </w:rPr>
        <w:t>.</w:t>
      </w:r>
      <w:r>
        <w:rPr>
          <w:rFonts w:hint="eastAsia" w:ascii="Times New Roman" w:hAnsi="Times New Roman" w:cs="Times New Roman"/>
          <w:szCs w:val="22"/>
        </w:rPr>
        <w:t xml:space="preserve"> </w:t>
      </w:r>
      <w:r>
        <w:rPr>
          <w:rFonts w:hint="eastAsia" w:ascii="Times New Roman" w:hAnsi="Times New Roman" w:cs="Times New Roman"/>
          <w:b/>
          <w:szCs w:val="22"/>
        </w:rPr>
        <w:t>D</w:t>
      </w:r>
      <w:r>
        <w:rPr>
          <w:rFonts w:hint="eastAsia" w:ascii="Times New Roman" w:hAnsi="Times New Roman" w:cs="Times New Roman"/>
          <w:szCs w:val="22"/>
        </w:rPr>
        <w:t xml:space="preserve">: </w:t>
      </w:r>
      <w:r>
        <w:rPr>
          <w:rFonts w:ascii="Times New Roman" w:hAnsi="Times New Roman" w:cs="Times New Roman"/>
          <w:szCs w:val="22"/>
        </w:rPr>
        <w:t xml:space="preserve">Dissolution curves of </w:t>
      </w:r>
      <w:r>
        <w:rPr>
          <w:rFonts w:ascii="Times New Roman" w:hAnsi="Times New Roman" w:cs="Times New Roman"/>
          <w:i/>
          <w:szCs w:val="22"/>
        </w:rPr>
        <w:t>PePCR</w:t>
      </w:r>
      <w:r>
        <w:rPr>
          <w:rFonts w:hint="eastAsia" w:ascii="Times New Roman" w:hAnsi="Times New Roman" w:cs="Times New Roman"/>
          <w:i/>
          <w:szCs w:val="22"/>
        </w:rPr>
        <w:t>2</w:t>
      </w:r>
      <w:r>
        <w:rPr>
          <w:rFonts w:hint="eastAsia" w:ascii="Times New Roman" w:hAnsi="Times New Roman" w:cs="Times New Roman"/>
          <w:szCs w:val="22"/>
        </w:rPr>
        <w:t xml:space="preserve"> transgenic</w:t>
      </w:r>
      <w:r>
        <w:rPr>
          <w:rFonts w:ascii="Times New Roman" w:hAnsi="Times New Roman" w:cs="Times New Roman"/>
          <w:szCs w:val="22"/>
        </w:rPr>
        <w:t xml:space="preserve"> lines</w:t>
      </w:r>
      <w:r>
        <w:rPr>
          <w:rFonts w:hint="eastAsia" w:ascii="Times New Roman" w:hAnsi="Times New Roman" w:cs="Times New Roman"/>
          <w:szCs w:val="22"/>
        </w:rPr>
        <w:t>.</w:t>
      </w:r>
    </w:p>
    <w:p>
      <w:pPr>
        <w:rPr>
          <w:rFonts w:ascii="Times New Roman" w:hAnsi="Times New Roman" w:cs="Times New Roman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3713a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harisSIL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OTlhMmQ2MjU5NzhiODdlNDFmMzg2Mzc0NjdhODMifQ=="/>
  </w:docVars>
  <w:rsids>
    <w:rsidRoot w:val="00310390"/>
    <w:rsid w:val="001B2ACD"/>
    <w:rsid w:val="00310390"/>
    <w:rsid w:val="00330078"/>
    <w:rsid w:val="003C3F97"/>
    <w:rsid w:val="00476E5F"/>
    <w:rsid w:val="0062145E"/>
    <w:rsid w:val="00626278"/>
    <w:rsid w:val="00675FC2"/>
    <w:rsid w:val="00691457"/>
    <w:rsid w:val="00BA4A61"/>
    <w:rsid w:val="00BC205B"/>
    <w:rsid w:val="0EB65F51"/>
    <w:rsid w:val="2A61229F"/>
    <w:rsid w:val="38570C90"/>
    <w:rsid w:val="42635DAE"/>
    <w:rsid w:val="70942FAA"/>
    <w:rsid w:val="7AAC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466</Words>
  <Characters>2658</Characters>
  <Lines>22</Lines>
  <Paragraphs>6</Paragraphs>
  <TotalTime>2</TotalTime>
  <ScaleCrop>false</ScaleCrop>
  <LinksUpToDate>false</LinksUpToDate>
  <CharactersWithSpaces>3118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2022-07-14T11:25:00Z</dcterms:created>
  <dc:creator>lenovo</dc:creator>
  <cp:lastModifiedBy>QK</cp:lastModifiedBy>
  <dcterms:modified xsi:type="dcterms:W3CDTF">2022-08-09T14:39:05Z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6F8216F67796442A82D50A6274E0CAD2</vt:lpwstr>
  </property>
</Properties>
</file>