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4666" w:rsidRDefault="00EE4666" w:rsidP="00EE4666">
      <w:pPr>
        <w:pStyle w:val="NoSpacing"/>
        <w:jc w:val="center"/>
        <w:rPr>
          <w:rFonts w:ascii="Times New Roman" w:hAnsi="Times New Roman" w:cs="Times New Roman"/>
          <w:b/>
          <w:bCs/>
          <w:sz w:val="20"/>
          <w:szCs w:val="20"/>
        </w:rPr>
      </w:pPr>
      <w:r>
        <w:rPr>
          <w:rFonts w:ascii="Times New Roman" w:hAnsi="Times New Roman" w:cs="Times New Roman"/>
          <w:b/>
          <w:bCs/>
          <w:sz w:val="20"/>
          <w:szCs w:val="20"/>
        </w:rPr>
        <w:t>Supplemental material</w:t>
      </w:r>
    </w:p>
    <w:p w:rsidR="00EE4666" w:rsidRDefault="00EE4666" w:rsidP="00EE4666">
      <w:pPr>
        <w:pStyle w:val="NoSpacing"/>
        <w:jc w:val="center"/>
        <w:rPr>
          <w:rFonts w:ascii="Times New Roman" w:hAnsi="Times New Roman" w:cs="Times New Roman"/>
          <w:b/>
          <w:bCs/>
          <w:sz w:val="20"/>
          <w:szCs w:val="20"/>
        </w:rPr>
      </w:pPr>
    </w:p>
    <w:p w:rsidR="00EE4666" w:rsidRPr="00AA6349" w:rsidRDefault="008A5427" w:rsidP="00EE4666">
      <w:pPr>
        <w:pStyle w:val="NoSpacing"/>
        <w:jc w:val="both"/>
        <w:rPr>
          <w:rFonts w:ascii="Times New Roman" w:hAnsi="Times New Roman" w:cs="Times New Roman"/>
          <w:b/>
          <w:bCs/>
          <w:i/>
          <w:iCs/>
          <w:sz w:val="20"/>
          <w:szCs w:val="20"/>
        </w:rPr>
      </w:pPr>
      <w:r>
        <w:rPr>
          <w:rFonts w:ascii="Times New Roman" w:hAnsi="Times New Roman" w:cs="Times New Roman"/>
          <w:b/>
          <w:bCs/>
          <w:sz w:val="20"/>
          <w:szCs w:val="20"/>
        </w:rPr>
        <w:t xml:space="preserve">AN </w:t>
      </w:r>
      <w:bookmarkStart w:id="0" w:name="_GoBack"/>
      <w:bookmarkEnd w:id="0"/>
      <w:r w:rsidR="00EE4666" w:rsidRPr="00AA6349">
        <w:rPr>
          <w:rFonts w:ascii="Times New Roman" w:hAnsi="Times New Roman" w:cs="Times New Roman"/>
          <w:b/>
          <w:bCs/>
          <w:sz w:val="20"/>
          <w:szCs w:val="20"/>
        </w:rPr>
        <w:t>INTERPRETA</w:t>
      </w:r>
      <w:r w:rsidR="00EE4666">
        <w:rPr>
          <w:rFonts w:ascii="Times New Roman" w:hAnsi="Times New Roman" w:cs="Times New Roman"/>
          <w:b/>
          <w:bCs/>
          <w:sz w:val="20"/>
          <w:szCs w:val="20"/>
        </w:rPr>
        <w:t>T</w:t>
      </w:r>
      <w:r w:rsidR="00EE4666" w:rsidRPr="00AA6349">
        <w:rPr>
          <w:rFonts w:ascii="Times New Roman" w:hAnsi="Times New Roman" w:cs="Times New Roman"/>
          <w:b/>
          <w:bCs/>
          <w:sz w:val="20"/>
          <w:szCs w:val="20"/>
        </w:rPr>
        <w:t xml:space="preserve">ION OF CRUSTAL STRUCTURE AND HYDROCARBON EVOLUTION OF THE SOUTH CASPIAN AND KURA BASINS, AZERBAIJAN </w:t>
      </w:r>
    </w:p>
    <w:p w:rsidR="00EE4666" w:rsidRPr="00AA6349" w:rsidRDefault="00EE4666" w:rsidP="00EE4666">
      <w:pPr>
        <w:pStyle w:val="NoSpacing"/>
        <w:jc w:val="both"/>
        <w:rPr>
          <w:rFonts w:ascii="Times New Roman" w:hAnsi="Times New Roman" w:cs="Times New Roman"/>
          <w:b/>
          <w:bCs/>
          <w:sz w:val="20"/>
          <w:szCs w:val="20"/>
        </w:rPr>
      </w:pPr>
    </w:p>
    <w:p w:rsidR="00EE4666" w:rsidRPr="00AA6349" w:rsidRDefault="00EE4666" w:rsidP="00EE4666">
      <w:pPr>
        <w:spacing w:after="0" w:line="240" w:lineRule="auto"/>
        <w:jc w:val="both"/>
        <w:rPr>
          <w:rFonts w:ascii="Times New Roman" w:hAnsi="Times New Roman" w:cs="Times New Roman"/>
          <w:b/>
          <w:bCs/>
          <w:sz w:val="20"/>
          <w:szCs w:val="20"/>
        </w:rPr>
      </w:pPr>
    </w:p>
    <w:p w:rsidR="00EE4666" w:rsidRPr="00AA6349" w:rsidRDefault="00042BEE" w:rsidP="00EE4666">
      <w:pPr>
        <w:spacing w:after="0" w:line="240" w:lineRule="auto"/>
        <w:jc w:val="both"/>
        <w:rPr>
          <w:rFonts w:ascii="Times New Roman" w:hAnsi="Times New Roman" w:cs="Times New Roman"/>
          <w:b/>
          <w:sz w:val="20"/>
          <w:szCs w:val="20"/>
          <w:vertAlign w:val="superscript"/>
        </w:rPr>
      </w:pPr>
      <w:r>
        <w:rPr>
          <w:rFonts w:ascii="Times New Roman" w:hAnsi="Times New Roman" w:cs="Times New Roman"/>
          <w:b/>
          <w:bCs/>
          <w:sz w:val="20"/>
          <w:szCs w:val="20"/>
        </w:rPr>
        <w:t>N. R. Abdullayev</w:t>
      </w:r>
      <w:r w:rsidR="00F850F3" w:rsidRPr="00F850F3">
        <w:rPr>
          <w:rFonts w:ascii="Times New Roman" w:hAnsi="Times New Roman" w:cs="Times New Roman"/>
          <w:b/>
          <w:bCs/>
          <w:sz w:val="20"/>
          <w:szCs w:val="20"/>
          <w:vertAlign w:val="superscript"/>
        </w:rPr>
        <w:t>1</w:t>
      </w:r>
      <w:r>
        <w:rPr>
          <w:rFonts w:ascii="Times New Roman" w:hAnsi="Times New Roman" w:cs="Times New Roman"/>
          <w:b/>
          <w:bCs/>
          <w:sz w:val="20"/>
          <w:szCs w:val="20"/>
        </w:rPr>
        <w:t xml:space="preserve"> *,</w:t>
      </w:r>
      <w:r w:rsidRPr="00042BEE">
        <w:rPr>
          <w:rFonts w:ascii="Times New Roman" w:hAnsi="Times New Roman" w:cs="Times New Roman"/>
          <w:b/>
          <w:bCs/>
          <w:sz w:val="20"/>
          <w:szCs w:val="20"/>
        </w:rPr>
        <w:t xml:space="preserve"> Sh. M. Huseynova</w:t>
      </w:r>
      <w:r w:rsidRPr="00F850F3">
        <w:rPr>
          <w:rFonts w:ascii="Times New Roman" w:hAnsi="Times New Roman" w:cs="Times New Roman"/>
          <w:b/>
          <w:bCs/>
          <w:sz w:val="20"/>
          <w:szCs w:val="20"/>
          <w:vertAlign w:val="superscript"/>
        </w:rPr>
        <w:t>1</w:t>
      </w:r>
      <w:r w:rsidRPr="00042BEE">
        <w:rPr>
          <w:rFonts w:ascii="Times New Roman" w:hAnsi="Times New Roman" w:cs="Times New Roman"/>
          <w:b/>
          <w:bCs/>
          <w:sz w:val="20"/>
          <w:szCs w:val="20"/>
        </w:rPr>
        <w:t>, A. Javadova</w:t>
      </w:r>
      <w:r w:rsidRPr="00F850F3">
        <w:rPr>
          <w:rFonts w:ascii="Times New Roman" w:hAnsi="Times New Roman" w:cs="Times New Roman"/>
          <w:b/>
          <w:bCs/>
          <w:sz w:val="20"/>
          <w:szCs w:val="20"/>
          <w:vertAlign w:val="superscript"/>
        </w:rPr>
        <w:t>1</w:t>
      </w:r>
      <w:r w:rsidRPr="00042BEE">
        <w:rPr>
          <w:rFonts w:ascii="Times New Roman" w:hAnsi="Times New Roman" w:cs="Times New Roman"/>
          <w:b/>
          <w:bCs/>
          <w:sz w:val="20"/>
          <w:szCs w:val="20"/>
        </w:rPr>
        <w:t xml:space="preserve"> , F. A. Kadirov</w:t>
      </w:r>
      <w:r w:rsidRPr="00F850F3">
        <w:rPr>
          <w:rFonts w:ascii="Times New Roman" w:hAnsi="Times New Roman" w:cs="Times New Roman"/>
          <w:b/>
          <w:bCs/>
          <w:sz w:val="20"/>
          <w:szCs w:val="20"/>
          <w:vertAlign w:val="superscript"/>
        </w:rPr>
        <w:t>1</w:t>
      </w:r>
      <w:r w:rsidRPr="00042BEE">
        <w:rPr>
          <w:rFonts w:ascii="Times New Roman" w:hAnsi="Times New Roman" w:cs="Times New Roman"/>
          <w:b/>
          <w:bCs/>
          <w:sz w:val="20"/>
          <w:szCs w:val="20"/>
        </w:rPr>
        <w:t>, M. Maharramov</w:t>
      </w:r>
      <w:r w:rsidRPr="00F850F3">
        <w:rPr>
          <w:rFonts w:ascii="Times New Roman" w:hAnsi="Times New Roman" w:cs="Times New Roman"/>
          <w:b/>
          <w:bCs/>
          <w:sz w:val="20"/>
          <w:szCs w:val="20"/>
          <w:vertAlign w:val="superscript"/>
        </w:rPr>
        <w:t>2</w:t>
      </w:r>
      <w:r w:rsidRPr="00042BEE">
        <w:rPr>
          <w:rFonts w:ascii="Times New Roman" w:hAnsi="Times New Roman" w:cs="Times New Roman"/>
          <w:b/>
          <w:bCs/>
          <w:sz w:val="20"/>
          <w:szCs w:val="20"/>
        </w:rPr>
        <w:t>,  A. Mukhtarov</w:t>
      </w:r>
      <w:r w:rsidRPr="00F850F3">
        <w:rPr>
          <w:rFonts w:ascii="Times New Roman" w:hAnsi="Times New Roman" w:cs="Times New Roman"/>
          <w:b/>
          <w:bCs/>
          <w:sz w:val="20"/>
          <w:szCs w:val="20"/>
          <w:vertAlign w:val="superscript"/>
        </w:rPr>
        <w:t>3</w:t>
      </w:r>
    </w:p>
    <w:p w:rsidR="00EE4666" w:rsidRDefault="00EE4666" w:rsidP="00E914A1">
      <w:pPr>
        <w:rPr>
          <w:rFonts w:ascii="Times New Roman" w:hAnsi="Times New Roman" w:cs="Times New Roman"/>
        </w:rPr>
      </w:pPr>
    </w:p>
    <w:p w:rsidR="00E914A1" w:rsidRPr="00E914A1" w:rsidRDefault="00E914A1" w:rsidP="00E914A1">
      <w:pPr>
        <w:rPr>
          <w:rFonts w:ascii="Times New Roman" w:hAnsi="Times New Roman" w:cs="Times New Roman"/>
        </w:rPr>
      </w:pPr>
      <w:r w:rsidRPr="00E914A1">
        <w:rPr>
          <w:rFonts w:ascii="Times New Roman" w:hAnsi="Times New Roman" w:cs="Times New Roman"/>
        </w:rPr>
        <w:t>The offshore South Caspian Basin</w:t>
      </w:r>
      <w:r>
        <w:rPr>
          <w:rFonts w:ascii="Times New Roman" w:hAnsi="Times New Roman" w:cs="Times New Roman"/>
        </w:rPr>
        <w:t xml:space="preserve">, </w:t>
      </w:r>
      <w:r w:rsidRPr="00E914A1">
        <w:rPr>
          <w:rFonts w:ascii="Times New Roman" w:hAnsi="Times New Roman" w:cs="Times New Roman"/>
        </w:rPr>
        <w:t>South Caspian, Lower and onshore Azerbaijan</w:t>
      </w:r>
      <w:r>
        <w:rPr>
          <w:rFonts w:ascii="Times New Roman" w:hAnsi="Times New Roman" w:cs="Times New Roman"/>
        </w:rPr>
        <w:t>,</w:t>
      </w:r>
      <w:r w:rsidRPr="00E914A1">
        <w:rPr>
          <w:rFonts w:ascii="Times New Roman" w:hAnsi="Times New Roman" w:cs="Times New Roman"/>
        </w:rPr>
        <w:t xml:space="preserve"> and Georgia Upper Kura Basins are a genetically linked basin system created in a Mesozoic extensional setting with a complex Cenozoic sediment fill history. </w:t>
      </w:r>
      <w:r w:rsidR="00EE4666">
        <w:rPr>
          <w:rFonts w:ascii="Times New Roman" w:hAnsi="Times New Roman" w:cs="Times New Roman"/>
        </w:rPr>
        <w:t>Delineating</w:t>
      </w:r>
      <w:r w:rsidRPr="00E914A1">
        <w:rPr>
          <w:rFonts w:ascii="Times New Roman" w:hAnsi="Times New Roman" w:cs="Times New Roman"/>
        </w:rPr>
        <w:t xml:space="preserve"> these basins</w:t>
      </w:r>
      <w:r>
        <w:rPr>
          <w:rFonts w:ascii="Times New Roman" w:hAnsi="Times New Roman" w:cs="Times New Roman"/>
        </w:rPr>
        <w:t xml:space="preserve"> </w:t>
      </w:r>
      <w:r w:rsidR="00EE4666">
        <w:rPr>
          <w:rFonts w:ascii="Times New Roman" w:hAnsi="Times New Roman" w:cs="Times New Roman"/>
        </w:rPr>
        <w:t xml:space="preserve">shed new light on </w:t>
      </w:r>
      <w:r>
        <w:rPr>
          <w:rFonts w:ascii="Times New Roman" w:hAnsi="Times New Roman" w:cs="Times New Roman"/>
        </w:rPr>
        <w:t>understand</w:t>
      </w:r>
      <w:r w:rsidR="00EE4666">
        <w:rPr>
          <w:rFonts w:ascii="Times New Roman" w:hAnsi="Times New Roman" w:cs="Times New Roman"/>
        </w:rPr>
        <w:t>ing</w:t>
      </w:r>
      <w:r w:rsidRPr="00E914A1">
        <w:rPr>
          <w:rFonts w:ascii="Times New Roman" w:hAnsi="Times New Roman" w:cs="Times New Roman"/>
        </w:rPr>
        <w:t xml:space="preserve"> the</w:t>
      </w:r>
      <w:r>
        <w:rPr>
          <w:rFonts w:ascii="Times New Roman" w:hAnsi="Times New Roman" w:cs="Times New Roman"/>
        </w:rPr>
        <w:t xml:space="preserve"> complex</w:t>
      </w:r>
      <w:r w:rsidRPr="00E914A1">
        <w:rPr>
          <w:rFonts w:ascii="Times New Roman" w:hAnsi="Times New Roman" w:cs="Times New Roman"/>
        </w:rPr>
        <w:t xml:space="preserve"> geodynamic history of the region between the Black Sea and the Caspian Sea and </w:t>
      </w:r>
      <w:r>
        <w:rPr>
          <w:rFonts w:ascii="Times New Roman" w:hAnsi="Times New Roman" w:cs="Times New Roman"/>
        </w:rPr>
        <w:t>elucidate the petroleum prospectivity of</w:t>
      </w:r>
      <w:r w:rsidRPr="00E914A1">
        <w:rPr>
          <w:rFonts w:ascii="Times New Roman" w:hAnsi="Times New Roman" w:cs="Times New Roman"/>
        </w:rPr>
        <w:t xml:space="preserve"> the region. </w:t>
      </w:r>
    </w:p>
    <w:p w:rsidR="00EE4666" w:rsidRPr="00E914A1" w:rsidRDefault="00E914A1" w:rsidP="00E914A1">
      <w:pPr>
        <w:rPr>
          <w:rFonts w:ascii="Times New Roman" w:hAnsi="Times New Roman" w:cs="Times New Roman"/>
        </w:rPr>
      </w:pPr>
      <w:r w:rsidRPr="00E914A1">
        <w:rPr>
          <w:rFonts w:ascii="Times New Roman" w:hAnsi="Times New Roman" w:cs="Times New Roman"/>
        </w:rPr>
        <w:t xml:space="preserve">Key data used for basin analysis were </w:t>
      </w:r>
      <w:r>
        <w:rPr>
          <w:rFonts w:ascii="Times New Roman" w:hAnsi="Times New Roman" w:cs="Times New Roman"/>
        </w:rPr>
        <w:t xml:space="preserve">a </w:t>
      </w:r>
      <w:r w:rsidRPr="00E914A1">
        <w:rPr>
          <w:rFonts w:ascii="Times New Roman" w:hAnsi="Times New Roman" w:cs="Times New Roman"/>
        </w:rPr>
        <w:t>series of regional isopach maps, temperature measurements from over 150 onshore and offshore boreholes in Azerbaijan</w:t>
      </w:r>
      <w:r>
        <w:rPr>
          <w:rFonts w:ascii="Times New Roman" w:hAnsi="Times New Roman" w:cs="Times New Roman"/>
        </w:rPr>
        <w:t>,</w:t>
      </w:r>
      <w:r w:rsidRPr="00E914A1">
        <w:rPr>
          <w:rFonts w:ascii="Times New Roman" w:hAnsi="Times New Roman" w:cs="Times New Roman"/>
        </w:rPr>
        <w:t xml:space="preserve"> derived geothermal gradient data</w:t>
      </w:r>
      <w:r>
        <w:rPr>
          <w:rFonts w:ascii="Times New Roman" w:hAnsi="Times New Roman" w:cs="Times New Roman"/>
        </w:rPr>
        <w:t>,</w:t>
      </w:r>
      <w:r w:rsidRPr="00E914A1">
        <w:rPr>
          <w:rFonts w:ascii="Times New Roman" w:hAnsi="Times New Roman" w:cs="Times New Roman"/>
        </w:rPr>
        <w:t xml:space="preserve"> and published surface heat flow data. Analysis of these data allowed us to put some constraints on the crustal structure of an area where accurate measurements of these parameters are limited. An integrated set of offshore and onshore regional isopach maps for key stratigraphic units from Ju</w:t>
      </w:r>
      <w:r w:rsidR="00662B9C">
        <w:rPr>
          <w:rFonts w:ascii="Times New Roman" w:hAnsi="Times New Roman" w:cs="Times New Roman"/>
        </w:rPr>
        <w:t>rass</w:t>
      </w:r>
      <w:r w:rsidR="00EE4666">
        <w:rPr>
          <w:rFonts w:ascii="Times New Roman" w:hAnsi="Times New Roman" w:cs="Times New Roman"/>
        </w:rPr>
        <w:t xml:space="preserve">ic to Pleistocene were created </w:t>
      </w:r>
      <w:r w:rsidRPr="00E914A1">
        <w:rPr>
          <w:rFonts w:ascii="Times New Roman" w:hAnsi="Times New Roman" w:cs="Times New Roman"/>
        </w:rPr>
        <w:t xml:space="preserve">and validated the depth to basement estimates and the crustal thickness across the four seismic cross-sections, the longest of which is around 700 kilometers, via interpretation of isopach maps and gravity and </w:t>
      </w:r>
      <w:r w:rsidR="00EE4666">
        <w:rPr>
          <w:rFonts w:ascii="Times New Roman" w:hAnsi="Times New Roman" w:cs="Times New Roman"/>
        </w:rPr>
        <w:t>magnetic</w:t>
      </w:r>
      <w:r w:rsidRPr="00E914A1">
        <w:rPr>
          <w:rFonts w:ascii="Times New Roman" w:hAnsi="Times New Roman" w:cs="Times New Roman"/>
        </w:rPr>
        <w:t xml:space="preserve"> </w:t>
      </w:r>
      <w:r w:rsidR="00EE4666">
        <w:rPr>
          <w:rFonts w:ascii="Times New Roman" w:hAnsi="Times New Roman" w:cs="Times New Roman"/>
        </w:rPr>
        <w:t>modeling</w:t>
      </w:r>
      <w:r w:rsidRPr="00E914A1">
        <w:rPr>
          <w:rFonts w:ascii="Times New Roman" w:hAnsi="Times New Roman" w:cs="Times New Roman"/>
        </w:rPr>
        <w:t xml:space="preserve">. </w:t>
      </w:r>
    </w:p>
    <w:p w:rsidR="00E914A1" w:rsidRPr="00E914A1" w:rsidRDefault="00EE4666" w:rsidP="00E914A1">
      <w:pPr>
        <w:rPr>
          <w:rFonts w:ascii="Times New Roman" w:hAnsi="Times New Roman" w:cs="Times New Roman"/>
        </w:rPr>
      </w:pPr>
      <w:r>
        <w:rPr>
          <w:rFonts w:ascii="Times New Roman" w:hAnsi="Times New Roman" w:cs="Times New Roman"/>
        </w:rPr>
        <w:t>The</w:t>
      </w:r>
      <w:r w:rsidR="00E914A1" w:rsidRPr="00E914A1">
        <w:rPr>
          <w:rFonts w:ascii="Times New Roman" w:hAnsi="Times New Roman" w:cs="Times New Roman"/>
        </w:rPr>
        <w:t xml:space="preserve"> results encompass the area from the onshore Kura Basin in eastern Georgia to the offshore South Caspian. A number </w:t>
      </w:r>
      <w:r>
        <w:rPr>
          <w:rFonts w:ascii="Times New Roman" w:hAnsi="Times New Roman" w:cs="Times New Roman"/>
        </w:rPr>
        <w:t>of several</w:t>
      </w:r>
      <w:r w:rsidR="00E914A1" w:rsidRPr="00E914A1">
        <w:rPr>
          <w:rFonts w:ascii="Times New Roman" w:hAnsi="Times New Roman" w:cs="Times New Roman"/>
        </w:rPr>
        <w:t xml:space="preserve"> specific regions were differentiated, including a “cold” region in the South Caspian Basin</w:t>
      </w:r>
      <w:r>
        <w:rPr>
          <w:rFonts w:ascii="Times New Roman" w:hAnsi="Times New Roman" w:cs="Times New Roman"/>
        </w:rPr>
        <w:t xml:space="preserve"> </w:t>
      </w:r>
      <w:r w:rsidR="00E914A1" w:rsidRPr="00E914A1">
        <w:rPr>
          <w:rFonts w:ascii="Times New Roman" w:hAnsi="Times New Roman" w:cs="Times New Roman"/>
        </w:rPr>
        <w:t xml:space="preserve">SCB </w:t>
      </w:r>
      <w:r>
        <w:rPr>
          <w:rFonts w:ascii="Times New Roman" w:hAnsi="Times New Roman" w:cs="Times New Roman"/>
        </w:rPr>
        <w:t>where</w:t>
      </w:r>
      <w:r w:rsidR="00E914A1" w:rsidRPr="00E914A1">
        <w:rPr>
          <w:rFonts w:ascii="Times New Roman" w:hAnsi="Times New Roman" w:cs="Times New Roman"/>
        </w:rPr>
        <w:t xml:space="preserve"> the sedimentary cover is over 20 km thick sedimentary cover and geothermal gra</w:t>
      </w:r>
      <w:r>
        <w:rPr>
          <w:rFonts w:ascii="Times New Roman" w:hAnsi="Times New Roman" w:cs="Times New Roman"/>
        </w:rPr>
        <w:t>dients vary from 15 to 18°C/km,</w:t>
      </w:r>
      <w:r w:rsidR="00E914A1" w:rsidRPr="00E914A1">
        <w:rPr>
          <w:rFonts w:ascii="Times New Roman" w:hAnsi="Times New Roman" w:cs="Times New Roman"/>
        </w:rPr>
        <w:t xml:space="preserve"> </w:t>
      </w:r>
      <w:r>
        <w:rPr>
          <w:rFonts w:ascii="Times New Roman" w:hAnsi="Times New Roman" w:cs="Times New Roman"/>
        </w:rPr>
        <w:t xml:space="preserve">and </w:t>
      </w:r>
      <w:r w:rsidR="00E914A1" w:rsidRPr="00E914A1">
        <w:rPr>
          <w:rFonts w:ascii="Times New Roman" w:hAnsi="Times New Roman" w:cs="Times New Roman"/>
        </w:rPr>
        <w:t>the Lower Kura Basin, where geothe</w:t>
      </w:r>
      <w:r>
        <w:rPr>
          <w:rFonts w:ascii="Times New Roman" w:hAnsi="Times New Roman" w:cs="Times New Roman"/>
        </w:rPr>
        <w:t>rmal gradients average 20°C/km,</w:t>
      </w:r>
      <w:r w:rsidR="00E914A1" w:rsidRPr="00E914A1">
        <w:rPr>
          <w:rFonts w:ascii="Times New Roman" w:hAnsi="Times New Roman" w:cs="Times New Roman"/>
        </w:rPr>
        <w:t xml:space="preserve"> and the Upper Kura Basin close to the Lesser Caucasus, </w:t>
      </w:r>
      <w:r>
        <w:rPr>
          <w:rFonts w:ascii="Times New Roman" w:hAnsi="Times New Roman" w:cs="Times New Roman"/>
        </w:rPr>
        <w:t>with here</w:t>
      </w:r>
      <w:r w:rsidR="00E914A1" w:rsidRPr="00E914A1">
        <w:rPr>
          <w:rFonts w:ascii="Times New Roman" w:hAnsi="Times New Roman" w:cs="Times New Roman"/>
        </w:rPr>
        <w:t xml:space="preserve"> geothermal gradients vary between 26 and 40°C/km. A reasonable correlation was established between basement depth, crustal thicknesses</w:t>
      </w:r>
      <w:r>
        <w:rPr>
          <w:rFonts w:ascii="Times New Roman" w:hAnsi="Times New Roman" w:cs="Times New Roman"/>
        </w:rPr>
        <w:t>,</w:t>
      </w:r>
      <w:r w:rsidR="00E914A1" w:rsidRPr="00E914A1">
        <w:rPr>
          <w:rFonts w:ascii="Times New Roman" w:hAnsi="Times New Roman" w:cs="Times New Roman"/>
        </w:rPr>
        <w:t xml:space="preserve"> and geothermal gradients.</w:t>
      </w:r>
    </w:p>
    <w:p w:rsidR="00E914A1" w:rsidRPr="00E914A1" w:rsidRDefault="00E914A1" w:rsidP="00E914A1">
      <w:pPr>
        <w:rPr>
          <w:rFonts w:ascii="Times New Roman" w:hAnsi="Times New Roman" w:cs="Times New Roman"/>
        </w:rPr>
      </w:pPr>
      <w:r w:rsidRPr="00E914A1">
        <w:rPr>
          <w:rFonts w:ascii="Times New Roman" w:hAnsi="Times New Roman" w:cs="Times New Roman"/>
        </w:rPr>
        <w:t xml:space="preserve">On </w:t>
      </w:r>
      <w:r w:rsidR="00EE4666">
        <w:rPr>
          <w:rFonts w:ascii="Times New Roman" w:hAnsi="Times New Roman" w:cs="Times New Roman"/>
        </w:rPr>
        <w:t>seismic profiles, the depth to</w:t>
      </w:r>
      <w:r w:rsidRPr="00E914A1">
        <w:rPr>
          <w:rFonts w:ascii="Times New Roman" w:hAnsi="Times New Roman" w:cs="Times New Roman"/>
        </w:rPr>
        <w:t xml:space="preserve"> basement in the central part of the Kura Basin (the Yevlakh Agjabedi depression) reaches 14 km. </w:t>
      </w:r>
      <w:r w:rsidR="00EE4666">
        <w:rPr>
          <w:rFonts w:ascii="Times New Roman" w:hAnsi="Times New Roman" w:cs="Times New Roman"/>
        </w:rPr>
        <w:t>The consolidated</w:t>
      </w:r>
      <w:r w:rsidRPr="00E914A1">
        <w:rPr>
          <w:rFonts w:ascii="Times New Roman" w:hAnsi="Times New Roman" w:cs="Times New Roman"/>
        </w:rPr>
        <w:t xml:space="preserve"> extended continental crust of </w:t>
      </w:r>
      <w:r w:rsidR="00EE4666">
        <w:rPr>
          <w:rFonts w:ascii="Times New Roman" w:hAnsi="Times New Roman" w:cs="Times New Roman"/>
        </w:rPr>
        <w:t xml:space="preserve">the </w:t>
      </w:r>
      <w:r w:rsidRPr="00E914A1">
        <w:rPr>
          <w:rFonts w:ascii="Times New Roman" w:hAnsi="Times New Roman" w:cs="Times New Roman"/>
        </w:rPr>
        <w:t xml:space="preserve">onshore Kura Basin is 20 to 25 km thick. and is interpreted to be </w:t>
      </w:r>
      <w:r w:rsidR="00EE4666">
        <w:rPr>
          <w:rFonts w:ascii="Times New Roman" w:hAnsi="Times New Roman" w:cs="Times New Roman"/>
        </w:rPr>
        <w:t xml:space="preserve">the </w:t>
      </w:r>
      <w:r w:rsidRPr="00E914A1">
        <w:rPr>
          <w:rFonts w:ascii="Times New Roman" w:hAnsi="Times New Roman" w:cs="Times New Roman"/>
        </w:rPr>
        <w:t xml:space="preserve">extended continental crust. By contrast, the offshore South Caspian Basin sediment is over 25 km thick and while the thickness of the “oceanic affinity” crust is only 5-10 km thick. The tectonic boundary between these two basins controls the geothermal gradient change and therefore the hydrocarbon potential. </w:t>
      </w:r>
    </w:p>
    <w:p w:rsidR="00E914A1" w:rsidRPr="00E914A1" w:rsidRDefault="00E914A1" w:rsidP="00E914A1">
      <w:pPr>
        <w:rPr>
          <w:rFonts w:ascii="Times New Roman" w:hAnsi="Times New Roman" w:cs="Times New Roman"/>
        </w:rPr>
      </w:pPr>
      <w:r w:rsidRPr="00E914A1">
        <w:rPr>
          <w:rFonts w:ascii="Times New Roman" w:hAnsi="Times New Roman" w:cs="Times New Roman"/>
        </w:rPr>
        <w:t>The western margin of the South Caspian Basin</w:t>
      </w:r>
      <w:r w:rsidR="00EE4666">
        <w:rPr>
          <w:rFonts w:ascii="Times New Roman" w:hAnsi="Times New Roman" w:cs="Times New Roman"/>
        </w:rPr>
        <w:t xml:space="preserve"> </w:t>
      </w:r>
      <w:r w:rsidRPr="00E914A1">
        <w:rPr>
          <w:rFonts w:ascii="Times New Roman" w:hAnsi="Times New Roman" w:cs="Times New Roman"/>
        </w:rPr>
        <w:t>represents a long-standing crustal boundary between the SCB oceanic crust of the SCB and the thicker crust of the Kura basin of the island-arc</w:t>
      </w:r>
      <w:r w:rsidR="00EE4666">
        <w:rPr>
          <w:rFonts w:ascii="Times New Roman" w:hAnsi="Times New Roman" w:cs="Times New Roman"/>
        </w:rPr>
        <w:t xml:space="preserve"> </w:t>
      </w:r>
      <w:r w:rsidRPr="00E914A1">
        <w:rPr>
          <w:rFonts w:ascii="Times New Roman" w:hAnsi="Times New Roman" w:cs="Times New Roman"/>
        </w:rPr>
        <w:t xml:space="preserve">origin Kura Basin crust. The Mesozoic evolution of these basins started as a result of an island arc extension in Mesozoic, followed by Cenozoic flexural overprint with rapid burial and significant sediment flux, thus </w:t>
      </w:r>
      <w:r w:rsidR="00EE4666">
        <w:rPr>
          <w:rFonts w:ascii="Times New Roman" w:hAnsi="Times New Roman" w:cs="Times New Roman"/>
        </w:rPr>
        <w:t>creating</w:t>
      </w:r>
      <w:r w:rsidRPr="00E914A1">
        <w:rPr>
          <w:rFonts w:ascii="Times New Roman" w:hAnsi="Times New Roman" w:cs="Times New Roman"/>
        </w:rPr>
        <w:t xml:space="preserve"> suitable conditions for the development of a dynamic petroleum system. in the South Caspian Basin. </w:t>
      </w:r>
    </w:p>
    <w:p w:rsidR="00E914A1" w:rsidRPr="00E914A1" w:rsidRDefault="00E914A1" w:rsidP="00E914A1">
      <w:pPr>
        <w:rPr>
          <w:rFonts w:ascii="Times New Roman" w:hAnsi="Times New Roman" w:cs="Times New Roman"/>
        </w:rPr>
      </w:pPr>
      <w:r w:rsidRPr="00E914A1">
        <w:rPr>
          <w:rFonts w:ascii="Times New Roman" w:hAnsi="Times New Roman" w:cs="Times New Roman"/>
        </w:rPr>
        <w:t>The hydrocarbon potential is high in the</w:t>
      </w:r>
      <w:r w:rsidR="00EE4666">
        <w:rPr>
          <w:rFonts w:ascii="Times New Roman" w:hAnsi="Times New Roman" w:cs="Times New Roman"/>
        </w:rPr>
        <w:t xml:space="preserve"> offshore South Caspian Basin</w:t>
      </w:r>
      <w:r w:rsidRPr="00E914A1">
        <w:rPr>
          <w:rFonts w:ascii="Times New Roman" w:hAnsi="Times New Roman" w:cs="Times New Roman"/>
        </w:rPr>
        <w:t xml:space="preserve"> where prolific Oligo-Miocene source rocks of Maikop and Diatom groups continue to generate hydrocarbons, at depths greater than 13 km,</w:t>
      </w:r>
      <w:r w:rsidR="00EE4666" w:rsidRPr="00E914A1">
        <w:rPr>
          <w:rFonts w:ascii="Times New Roman" w:hAnsi="Times New Roman" w:cs="Times New Roman"/>
        </w:rPr>
        <w:t xml:space="preserve"> </w:t>
      </w:r>
      <w:r w:rsidRPr="00E914A1">
        <w:rPr>
          <w:rFonts w:ascii="Times New Roman" w:hAnsi="Times New Roman" w:cs="Times New Roman"/>
        </w:rPr>
        <w:t xml:space="preserve">making it the world’s deepest active petroleum system. This petroleum system is a result of the rapid Neogene sedimentation, </w:t>
      </w:r>
      <w:r w:rsidR="00EE4666">
        <w:rPr>
          <w:rFonts w:ascii="Times New Roman" w:hAnsi="Times New Roman" w:cs="Times New Roman"/>
        </w:rPr>
        <w:t>low-temperature</w:t>
      </w:r>
      <w:r w:rsidRPr="00E914A1">
        <w:rPr>
          <w:rFonts w:ascii="Times New Roman" w:hAnsi="Times New Roman" w:cs="Times New Roman"/>
        </w:rPr>
        <w:t xml:space="preserve"> gradients, delayed petroleum generation, reservoir diagenetic processes, and regionally continuous Pliocene Productive Series reservoir systems folded in large anticlines. </w:t>
      </w:r>
    </w:p>
    <w:p w:rsidR="003D2951" w:rsidRDefault="00E914A1" w:rsidP="00E914A1">
      <w:pPr>
        <w:rPr>
          <w:rFonts w:ascii="Times New Roman" w:hAnsi="Times New Roman" w:cs="Times New Roman"/>
        </w:rPr>
      </w:pPr>
      <w:r w:rsidRPr="00E914A1">
        <w:rPr>
          <w:rFonts w:ascii="Times New Roman" w:hAnsi="Times New Roman" w:cs="Times New Roman"/>
        </w:rPr>
        <w:lastRenderedPageBreak/>
        <w:t>Onshore Kura Basin potential is limited, as the sedimentary cover is thin, source rocks are diluted by coarser clastics</w:t>
      </w:r>
      <w:r w:rsidR="00EE4666">
        <w:rPr>
          <w:rFonts w:ascii="Times New Roman" w:hAnsi="Times New Roman" w:cs="Times New Roman"/>
        </w:rPr>
        <w:t>,</w:t>
      </w:r>
      <w:r w:rsidRPr="00E914A1">
        <w:rPr>
          <w:rFonts w:ascii="Times New Roman" w:hAnsi="Times New Roman" w:cs="Times New Roman"/>
        </w:rPr>
        <w:t xml:space="preserve"> and reservoir systems are less regionally continuous than the offshore system. The difference between the onshore Kura Basin and offshore South Caspian is linked to inherited their basin geometries and crustal boundaries which exert fundamental control of sediment deposition.</w:t>
      </w:r>
    </w:p>
    <w:p w:rsidR="00232584" w:rsidRDefault="00232584" w:rsidP="00E914A1">
      <w:pPr>
        <w:rPr>
          <w:rFonts w:ascii="Times New Roman" w:hAnsi="Times New Roman" w:cs="Times New Roman"/>
        </w:rPr>
      </w:pPr>
    </w:p>
    <w:p w:rsidR="00232584" w:rsidRDefault="00232584" w:rsidP="00232584">
      <w:pPr>
        <w:keepNext/>
      </w:pPr>
      <w:r w:rsidRPr="00C3204E">
        <w:rPr>
          <w:rFonts w:ascii="Times New Roman" w:hAnsi="Times New Roman" w:cs="Times New Roman"/>
          <w:noProof/>
        </w:rPr>
        <w:drawing>
          <wp:inline distT="0" distB="0" distL="0" distR="0" wp14:anchorId="372DE244" wp14:editId="764E0B10">
            <wp:extent cx="5838529" cy="4184452"/>
            <wp:effectExtent l="0" t="0" r="0" b="6985"/>
            <wp:docPr id="1" name="Picture 1" descr="D:\Documents\Kolabtree\Nazim\2022\Figures\Figs supplemental\Figure 1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Kolabtree\Nazim\2022\Figures\Figs supplemental\Figure 1s.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41409" cy="4186516"/>
                    </a:xfrm>
                    <a:prstGeom prst="rect">
                      <a:avLst/>
                    </a:prstGeom>
                    <a:noFill/>
                    <a:ln>
                      <a:noFill/>
                    </a:ln>
                  </pic:spPr>
                </pic:pic>
              </a:graphicData>
            </a:graphic>
          </wp:inline>
        </w:drawing>
      </w:r>
    </w:p>
    <w:p w:rsidR="00232584" w:rsidRDefault="00232584" w:rsidP="00232584">
      <w:pPr>
        <w:pStyle w:val="Caption"/>
        <w:rPr>
          <w:rFonts w:ascii="Times New Roman" w:hAnsi="Times New Roman" w:cs="Times New Roman"/>
        </w:rPr>
      </w:pPr>
      <w:r>
        <w:t xml:space="preserve">Figure </w:t>
      </w:r>
      <w:r w:rsidR="00820457">
        <w:fldChar w:fldCharType="begin"/>
      </w:r>
      <w:r w:rsidR="00820457">
        <w:instrText xml:space="preserve"> SEQ Figure \* ARABIC </w:instrText>
      </w:r>
      <w:r w:rsidR="00820457">
        <w:fldChar w:fldCharType="separate"/>
      </w:r>
      <w:r w:rsidR="00225717">
        <w:rPr>
          <w:noProof/>
        </w:rPr>
        <w:t>1</w:t>
      </w:r>
      <w:r w:rsidR="00820457">
        <w:rPr>
          <w:noProof/>
        </w:rPr>
        <w:fldChar w:fldCharType="end"/>
      </w:r>
      <w:r>
        <w:t>s.</w:t>
      </w:r>
      <w:r w:rsidRPr="00232584">
        <w:t xml:space="preserve"> Isopach maps of eastern Azerbaijan and the adjacent offshore showing the thickness (m) of Upper Jurassic, Cretaceous, Paleocene</w:t>
      </w:r>
      <w:r>
        <w:t>,</w:t>
      </w:r>
      <w:r w:rsidRPr="00232584">
        <w:t xml:space="preserve"> and Eocene intervals, based on Salmanov et al., (2015). The star indicates the location of the superdeep Saatly well. Abbreviations: A, Agzibirchala; Ag, Agjebedi; B, Borsunlu; Y, Yalama; Am, Amirarkh; M, Muradkhanli; J, Jarly; S, Sorsor; K-Q, Kura-Qabirri interfluve; T, Tarsdallar;</w:t>
      </w:r>
    </w:p>
    <w:p w:rsidR="00C3204E" w:rsidRDefault="00C3204E" w:rsidP="00E914A1">
      <w:pPr>
        <w:rPr>
          <w:rFonts w:ascii="Times New Roman" w:hAnsi="Times New Roman" w:cs="Times New Roman"/>
        </w:rPr>
      </w:pPr>
    </w:p>
    <w:p w:rsidR="00F70F7A" w:rsidRDefault="00F70F7A" w:rsidP="00F70F7A">
      <w:pPr>
        <w:keepNext/>
      </w:pPr>
      <w:r w:rsidRPr="00C3204E">
        <w:rPr>
          <w:rFonts w:ascii="Times New Roman" w:hAnsi="Times New Roman" w:cs="Times New Roman"/>
          <w:noProof/>
        </w:rPr>
        <w:lastRenderedPageBreak/>
        <w:drawing>
          <wp:inline distT="0" distB="0" distL="0" distR="0" wp14:anchorId="2430D4CD" wp14:editId="00608588">
            <wp:extent cx="5324475" cy="2247900"/>
            <wp:effectExtent l="0" t="0" r="9525" b="0"/>
            <wp:docPr id="2" name="Picture 2" descr="D:\Documents\Kolabtree\Nazim\2022\Figures\Figs supplemental\Figure 2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Documents\Kolabtree\Nazim\2022\Figures\Figs supplemental\Figure 2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24475" cy="2247900"/>
                    </a:xfrm>
                    <a:prstGeom prst="rect">
                      <a:avLst/>
                    </a:prstGeom>
                    <a:noFill/>
                    <a:ln>
                      <a:noFill/>
                    </a:ln>
                  </pic:spPr>
                </pic:pic>
              </a:graphicData>
            </a:graphic>
          </wp:inline>
        </w:drawing>
      </w:r>
    </w:p>
    <w:p w:rsidR="00F70F7A" w:rsidRDefault="00F70F7A" w:rsidP="00F70F7A">
      <w:pPr>
        <w:pStyle w:val="Caption"/>
      </w:pPr>
      <w:r>
        <w:t xml:space="preserve">Figure </w:t>
      </w:r>
      <w:r w:rsidR="00820457">
        <w:fldChar w:fldCharType="begin"/>
      </w:r>
      <w:r w:rsidR="00820457">
        <w:instrText xml:space="preserve"> SEQ Figure \* ARABIC </w:instrText>
      </w:r>
      <w:r w:rsidR="00820457">
        <w:fldChar w:fldCharType="separate"/>
      </w:r>
      <w:r w:rsidR="00225717">
        <w:rPr>
          <w:noProof/>
        </w:rPr>
        <w:t>2</w:t>
      </w:r>
      <w:r w:rsidR="00820457">
        <w:rPr>
          <w:noProof/>
        </w:rPr>
        <w:fldChar w:fldCharType="end"/>
      </w:r>
      <w:r>
        <w:t xml:space="preserve">s. </w:t>
      </w:r>
      <w:r w:rsidRPr="00F70F7A">
        <w:t>Isopach maps of eastern Azerbaijan and the adjacent offshore showing the thickness (m) of (A) the Oligocene-Miocene Maikop Group, and (B) the Miocene interval, modified from Salmanov et al., (2015).</w:t>
      </w:r>
    </w:p>
    <w:p w:rsidR="008425AF" w:rsidRDefault="008425AF" w:rsidP="008425AF"/>
    <w:p w:rsidR="008425AF" w:rsidRDefault="008425AF" w:rsidP="008425AF">
      <w:pPr>
        <w:keepNext/>
      </w:pPr>
      <w:r w:rsidRPr="00C3204E">
        <w:rPr>
          <w:rFonts w:ascii="Times New Roman" w:hAnsi="Times New Roman" w:cs="Times New Roman"/>
          <w:noProof/>
        </w:rPr>
        <w:drawing>
          <wp:inline distT="0" distB="0" distL="0" distR="0" wp14:anchorId="664D1D30" wp14:editId="3765AA75">
            <wp:extent cx="5257800" cy="2050696"/>
            <wp:effectExtent l="0" t="0" r="0" b="6985"/>
            <wp:docPr id="3" name="Picture 3" descr="D:\Documents\Kolabtree\Nazim\2022\Figures\Figs supplemental\Figure 3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ocuments\Kolabtree\Nazim\2022\Figures\Figs supplemental\Figure 3s.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65193" cy="2053579"/>
                    </a:xfrm>
                    <a:prstGeom prst="rect">
                      <a:avLst/>
                    </a:prstGeom>
                    <a:noFill/>
                    <a:ln>
                      <a:noFill/>
                    </a:ln>
                  </pic:spPr>
                </pic:pic>
              </a:graphicData>
            </a:graphic>
          </wp:inline>
        </w:drawing>
      </w:r>
    </w:p>
    <w:p w:rsidR="008425AF" w:rsidRDefault="008425AF" w:rsidP="008425AF">
      <w:pPr>
        <w:pStyle w:val="Caption"/>
      </w:pPr>
      <w:r>
        <w:t xml:space="preserve">Figure </w:t>
      </w:r>
      <w:r w:rsidR="00820457">
        <w:fldChar w:fldCharType="begin"/>
      </w:r>
      <w:r w:rsidR="00820457">
        <w:instrText xml:space="preserve"> SEQ Figure \* ARABIC </w:instrText>
      </w:r>
      <w:r w:rsidR="00820457">
        <w:fldChar w:fldCharType="separate"/>
      </w:r>
      <w:r w:rsidR="00225717">
        <w:rPr>
          <w:noProof/>
        </w:rPr>
        <w:t>3</w:t>
      </w:r>
      <w:r w:rsidR="00820457">
        <w:rPr>
          <w:noProof/>
        </w:rPr>
        <w:fldChar w:fldCharType="end"/>
      </w:r>
      <w:r>
        <w:t xml:space="preserve">s. </w:t>
      </w:r>
      <w:r w:rsidRPr="008425AF">
        <w:t xml:space="preserve"> Isopach maps of eastern Azerbaijan and the adjacent offshore showing the thickness (m) of the Pliocene Productive Series and the Pleistocene based on (Abdullayev et al., 2012a; Salmanov et al., 2015).</w:t>
      </w:r>
    </w:p>
    <w:p w:rsidR="006769A5" w:rsidRDefault="006769A5" w:rsidP="006769A5">
      <w:pPr>
        <w:keepNext/>
      </w:pPr>
      <w:r w:rsidRPr="00C3204E">
        <w:rPr>
          <w:rFonts w:ascii="Times New Roman" w:hAnsi="Times New Roman" w:cs="Times New Roman"/>
          <w:noProof/>
        </w:rPr>
        <w:lastRenderedPageBreak/>
        <w:drawing>
          <wp:inline distT="0" distB="0" distL="0" distR="0" wp14:anchorId="0CB41751" wp14:editId="73EF487D">
            <wp:extent cx="4432207" cy="6267450"/>
            <wp:effectExtent l="0" t="0" r="0" b="0"/>
            <wp:docPr id="4" name="Picture 4" descr="D:\Documents\Kolabtree\Nazim\2022\Figures\Figs supplemental\Figure 4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ocuments\Kolabtree\Nazim\2022\Figures\Figs supplemental\Figure 4s.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38463" cy="6276296"/>
                    </a:xfrm>
                    <a:prstGeom prst="rect">
                      <a:avLst/>
                    </a:prstGeom>
                    <a:noFill/>
                    <a:ln>
                      <a:noFill/>
                    </a:ln>
                  </pic:spPr>
                </pic:pic>
              </a:graphicData>
            </a:graphic>
          </wp:inline>
        </w:drawing>
      </w:r>
    </w:p>
    <w:p w:rsidR="006769A5" w:rsidRDefault="006769A5" w:rsidP="006769A5">
      <w:pPr>
        <w:pStyle w:val="Caption"/>
      </w:pPr>
      <w:r>
        <w:t xml:space="preserve">Figure </w:t>
      </w:r>
      <w:r w:rsidR="00820457">
        <w:fldChar w:fldCharType="begin"/>
      </w:r>
      <w:r w:rsidR="00820457">
        <w:instrText xml:space="preserve"> SEQ Figure \* ARABIC </w:instrText>
      </w:r>
      <w:r w:rsidR="00820457">
        <w:fldChar w:fldCharType="separate"/>
      </w:r>
      <w:r w:rsidR="00225717">
        <w:rPr>
          <w:noProof/>
        </w:rPr>
        <w:t>4</w:t>
      </w:r>
      <w:r w:rsidR="00820457">
        <w:rPr>
          <w:noProof/>
        </w:rPr>
        <w:fldChar w:fldCharType="end"/>
      </w:r>
      <w:r>
        <w:t>s.</w:t>
      </w:r>
      <w:r w:rsidRPr="006769A5">
        <w:t xml:space="preserve"> Surface heat flow map of Azerbaijan and surrounding territories, modified from (Aliyev and Aliyev, 1995; Alizadeh et al., 2017; Tomara, 1979; Zui and Mansouri Far, 2019). Locations of 4 </w:t>
      </w:r>
      <w:r>
        <w:t>modeled</w:t>
      </w:r>
      <w:r w:rsidRPr="006769A5">
        <w:t xml:space="preserve"> regional cross-sections are shown (1 to 4), from Salmanov et al</w:t>
      </w:r>
      <w:r w:rsidR="003D147D">
        <w:t xml:space="preserve">. (2015), </w:t>
      </w:r>
      <w:r w:rsidRPr="006769A5">
        <w:t>(B) crustal thickness (modified from Glumov et al., (2004). Red dots designate location</w:t>
      </w:r>
      <w:r w:rsidR="003D147D">
        <w:t>s</w:t>
      </w:r>
      <w:r w:rsidRPr="006769A5">
        <w:t xml:space="preserve"> of averaged geothermal gradient measurements derived fr</w:t>
      </w:r>
      <w:r w:rsidR="003D147D">
        <w:t xml:space="preserve">om well data from Mukhtarov et al. </w:t>
      </w:r>
      <w:r w:rsidRPr="006769A5">
        <w:t>(2018)</w:t>
      </w:r>
    </w:p>
    <w:p w:rsidR="000A4F0E" w:rsidRDefault="000A4F0E" w:rsidP="000A4F0E">
      <w:pPr>
        <w:keepNext/>
      </w:pPr>
      <w:r w:rsidRPr="00C3204E">
        <w:rPr>
          <w:rFonts w:ascii="Times New Roman" w:hAnsi="Times New Roman" w:cs="Times New Roman"/>
          <w:noProof/>
        </w:rPr>
        <w:lastRenderedPageBreak/>
        <w:drawing>
          <wp:inline distT="0" distB="0" distL="0" distR="0" wp14:anchorId="59189C50" wp14:editId="2031944A">
            <wp:extent cx="5943600" cy="2299357"/>
            <wp:effectExtent l="0" t="0" r="0" b="0"/>
            <wp:docPr id="5" name="Picture 5" descr="D:\Documents\Kolabtree\Nazim\2022\Figures\Figs supplemental\Figure 5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ocuments\Kolabtree\Nazim\2022\Figures\Figs supplemental\Figure 5s.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3600" cy="2299357"/>
                    </a:xfrm>
                    <a:prstGeom prst="rect">
                      <a:avLst/>
                    </a:prstGeom>
                    <a:noFill/>
                    <a:ln>
                      <a:noFill/>
                    </a:ln>
                  </pic:spPr>
                </pic:pic>
              </a:graphicData>
            </a:graphic>
          </wp:inline>
        </w:drawing>
      </w:r>
    </w:p>
    <w:p w:rsidR="000A4F0E" w:rsidRDefault="000A4F0E" w:rsidP="000A4F0E">
      <w:pPr>
        <w:pStyle w:val="Caption"/>
      </w:pPr>
      <w:r>
        <w:t xml:space="preserve">Figure </w:t>
      </w:r>
      <w:r w:rsidR="00820457">
        <w:fldChar w:fldCharType="begin"/>
      </w:r>
      <w:r w:rsidR="00820457">
        <w:instrText xml:space="preserve"> SEQ Figure \* ARABIC </w:instrText>
      </w:r>
      <w:r w:rsidR="00820457">
        <w:fldChar w:fldCharType="separate"/>
      </w:r>
      <w:r w:rsidR="00225717">
        <w:rPr>
          <w:noProof/>
        </w:rPr>
        <w:t>5</w:t>
      </w:r>
      <w:r w:rsidR="00820457">
        <w:rPr>
          <w:noProof/>
        </w:rPr>
        <w:fldChar w:fldCharType="end"/>
      </w:r>
      <w:r>
        <w:t xml:space="preserve">s. </w:t>
      </w:r>
      <w:r w:rsidRPr="000A4F0E">
        <w:t xml:space="preserve">Potential fields maps of Azerbaijan and the adjacent offshore areas of SCB: (A) Bouguer anomaly map (mgal), based on Kadirov et al.,(2000); and (B) magnetic anomaly map (nT) (Glumov et al., 2004). </w:t>
      </w:r>
    </w:p>
    <w:p w:rsidR="000A4F0E" w:rsidRDefault="000A4F0E" w:rsidP="000A4F0E">
      <w:pPr>
        <w:keepNext/>
      </w:pPr>
      <w:r w:rsidRPr="00C3204E">
        <w:rPr>
          <w:rFonts w:ascii="Times New Roman" w:hAnsi="Times New Roman" w:cs="Times New Roman"/>
          <w:noProof/>
        </w:rPr>
        <w:drawing>
          <wp:inline distT="0" distB="0" distL="0" distR="0" wp14:anchorId="67606FDF" wp14:editId="79B0B299">
            <wp:extent cx="5943600" cy="3399875"/>
            <wp:effectExtent l="0" t="0" r="0" b="0"/>
            <wp:docPr id="6" name="Picture 6" descr="D:\Documents\Kolabtree\Nazim\2022\Figures\Figs supplemental\Figure 6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ocuments\Kolabtree\Nazim\2022\Figures\Figs supplemental\Figure 6s.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3399875"/>
                    </a:xfrm>
                    <a:prstGeom prst="rect">
                      <a:avLst/>
                    </a:prstGeom>
                    <a:noFill/>
                    <a:ln>
                      <a:noFill/>
                    </a:ln>
                  </pic:spPr>
                </pic:pic>
              </a:graphicData>
            </a:graphic>
          </wp:inline>
        </w:drawing>
      </w:r>
    </w:p>
    <w:p w:rsidR="000A4F0E" w:rsidRDefault="000A4F0E" w:rsidP="00915782">
      <w:pPr>
        <w:pStyle w:val="Caption"/>
      </w:pPr>
      <w:r>
        <w:t xml:space="preserve">Figure </w:t>
      </w:r>
      <w:r w:rsidR="00820457">
        <w:fldChar w:fldCharType="begin"/>
      </w:r>
      <w:r w:rsidR="00820457">
        <w:instrText xml:space="preserve"> SEQ Figure \* ARABIC </w:instrText>
      </w:r>
      <w:r w:rsidR="00820457">
        <w:fldChar w:fldCharType="separate"/>
      </w:r>
      <w:r w:rsidR="00225717">
        <w:rPr>
          <w:noProof/>
        </w:rPr>
        <w:t>6</w:t>
      </w:r>
      <w:r w:rsidR="00820457">
        <w:rPr>
          <w:noProof/>
        </w:rPr>
        <w:fldChar w:fldCharType="end"/>
      </w:r>
      <w:r>
        <w:t>s.</w:t>
      </w:r>
      <w:r w:rsidR="00915782">
        <w:t xml:space="preserve"> </w:t>
      </w:r>
      <w:r w:rsidR="00915782" w:rsidRPr="00915782">
        <w:t>(A) Regional NW-SE 560 km long seismic section 1 extending through the Kura and SCB. (B) Regional seismic NE-SW 150km long section 2 extending through the Lower Kura Basin. (C) Regional seismic NE-SW 190km long section 3 extending through the Middle Kura Basin. (D) Regional seismic NE-SW 32km long section 4 extending through the Upper Kura Basin.</w:t>
      </w:r>
    </w:p>
    <w:p w:rsidR="004D7787" w:rsidRDefault="00915782" w:rsidP="004D7787">
      <w:pPr>
        <w:keepNext/>
      </w:pPr>
      <w:r w:rsidRPr="00C3204E">
        <w:rPr>
          <w:rFonts w:ascii="Times New Roman" w:hAnsi="Times New Roman" w:cs="Times New Roman"/>
          <w:noProof/>
        </w:rPr>
        <w:lastRenderedPageBreak/>
        <w:drawing>
          <wp:inline distT="0" distB="0" distL="0" distR="0" wp14:anchorId="14752FDB" wp14:editId="6EB9A9F1">
            <wp:extent cx="4067594" cy="4352925"/>
            <wp:effectExtent l="0" t="0" r="9525" b="0"/>
            <wp:docPr id="7" name="Picture 7" descr="D:\Documents\Kolabtree\Nazim\2022\Figures\Figs supplemental\Figure 7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Documents\Kolabtree\Nazim\2022\Figures\Figs supplemental\Figure 7s.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68448" cy="4353839"/>
                    </a:xfrm>
                    <a:prstGeom prst="rect">
                      <a:avLst/>
                    </a:prstGeom>
                    <a:noFill/>
                    <a:ln>
                      <a:noFill/>
                    </a:ln>
                  </pic:spPr>
                </pic:pic>
              </a:graphicData>
            </a:graphic>
          </wp:inline>
        </w:drawing>
      </w:r>
    </w:p>
    <w:p w:rsidR="00915782" w:rsidRDefault="004D7787" w:rsidP="004D7787">
      <w:pPr>
        <w:pStyle w:val="Caption"/>
      </w:pPr>
      <w:r>
        <w:t xml:space="preserve">Figure </w:t>
      </w:r>
      <w:r w:rsidR="00820457">
        <w:fldChar w:fldCharType="begin"/>
      </w:r>
      <w:r w:rsidR="00820457">
        <w:instrText xml:space="preserve"> SEQ Figure \* ARABIC </w:instrText>
      </w:r>
      <w:r w:rsidR="00820457">
        <w:fldChar w:fldCharType="separate"/>
      </w:r>
      <w:r w:rsidR="00225717">
        <w:rPr>
          <w:noProof/>
        </w:rPr>
        <w:t>7</w:t>
      </w:r>
      <w:r w:rsidR="00820457">
        <w:rPr>
          <w:noProof/>
        </w:rPr>
        <w:fldChar w:fldCharType="end"/>
      </w:r>
      <w:r>
        <w:t xml:space="preserve">s. </w:t>
      </w:r>
      <w:r w:rsidRPr="004D7787">
        <w:t xml:space="preserve">Cross-plots of basement depth (A) and crustal thickness (B) versus geothermal gradient measured at wells. Grey circles represent </w:t>
      </w:r>
      <w:r>
        <w:t>modeled</w:t>
      </w:r>
      <w:r w:rsidRPr="004D7787">
        <w:t xml:space="preserve"> geothermal gradients derived from the conversion of depths to temperatures using maps, whereas actual measurements are shown by the </w:t>
      </w:r>
      <w:r>
        <w:t>colored</w:t>
      </w:r>
      <w:r w:rsidRPr="004D7787">
        <w:t xml:space="preserve"> circles.</w:t>
      </w:r>
    </w:p>
    <w:p w:rsidR="00225717" w:rsidRDefault="00225717" w:rsidP="00225717">
      <w:pPr>
        <w:keepNext/>
      </w:pPr>
      <w:r w:rsidRPr="00C3204E">
        <w:rPr>
          <w:rFonts w:ascii="Times New Roman" w:hAnsi="Times New Roman" w:cs="Times New Roman"/>
          <w:noProof/>
        </w:rPr>
        <w:drawing>
          <wp:inline distT="0" distB="0" distL="0" distR="0" wp14:anchorId="22659970" wp14:editId="2EBC2A6A">
            <wp:extent cx="5943600" cy="2756452"/>
            <wp:effectExtent l="0" t="0" r="0" b="6350"/>
            <wp:docPr id="8" name="Picture 8" descr="D:\Documents\Kolabtree\Nazim\2022\Figures\Figs supplemental\Figure 8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Documents\Kolabtree\Nazim\2022\Figures\Figs supplemental\Figure 8s.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3600" cy="2756452"/>
                    </a:xfrm>
                    <a:prstGeom prst="rect">
                      <a:avLst/>
                    </a:prstGeom>
                    <a:noFill/>
                    <a:ln>
                      <a:noFill/>
                    </a:ln>
                  </pic:spPr>
                </pic:pic>
              </a:graphicData>
            </a:graphic>
          </wp:inline>
        </w:drawing>
      </w:r>
    </w:p>
    <w:p w:rsidR="00225717" w:rsidRPr="00225717" w:rsidRDefault="00225717" w:rsidP="00225717">
      <w:pPr>
        <w:pStyle w:val="Caption"/>
      </w:pPr>
      <w:r>
        <w:t xml:space="preserve">Figure </w:t>
      </w:r>
      <w:r w:rsidR="00820457">
        <w:fldChar w:fldCharType="begin"/>
      </w:r>
      <w:r w:rsidR="00820457">
        <w:instrText xml:space="preserve"> SEQ Figure \* ARABIC </w:instrText>
      </w:r>
      <w:r w:rsidR="00820457">
        <w:fldChar w:fldCharType="separate"/>
      </w:r>
      <w:r>
        <w:rPr>
          <w:noProof/>
        </w:rPr>
        <w:t>8</w:t>
      </w:r>
      <w:r w:rsidR="00820457">
        <w:rPr>
          <w:noProof/>
        </w:rPr>
        <w:fldChar w:fldCharType="end"/>
      </w:r>
      <w:r>
        <w:t>s.</w:t>
      </w:r>
      <w:r w:rsidRPr="00225717">
        <w:t xml:space="preserve"> NW-SE oriented 700 km geogeoseismic cross-section extending from the Upper Kura basin to the offshore SCB with isothermal depth overlays (cross-section location in Fig. 1).</w:t>
      </w:r>
    </w:p>
    <w:p w:rsidR="00225717" w:rsidRDefault="00C3204E" w:rsidP="00225717">
      <w:pPr>
        <w:keepNext/>
      </w:pPr>
      <w:r w:rsidRPr="00C3204E">
        <w:rPr>
          <w:rFonts w:ascii="Times New Roman" w:hAnsi="Times New Roman" w:cs="Times New Roman"/>
          <w:noProof/>
        </w:rPr>
        <w:lastRenderedPageBreak/>
        <w:drawing>
          <wp:inline distT="0" distB="0" distL="0" distR="0" wp14:anchorId="6309688B" wp14:editId="7AFC7894">
            <wp:extent cx="4927672" cy="7096125"/>
            <wp:effectExtent l="0" t="0" r="6350" b="0"/>
            <wp:docPr id="9" name="Picture 9" descr="D:\Documents\Kolabtree\Nazim\2022\Figures\Figs supplemental\Figure 9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Documents\Kolabtree\Nazim\2022\Figures\Figs supplemental\Figure 9s.t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30599" cy="7100340"/>
                    </a:xfrm>
                    <a:prstGeom prst="rect">
                      <a:avLst/>
                    </a:prstGeom>
                    <a:noFill/>
                    <a:ln>
                      <a:noFill/>
                    </a:ln>
                  </pic:spPr>
                </pic:pic>
              </a:graphicData>
            </a:graphic>
          </wp:inline>
        </w:drawing>
      </w:r>
    </w:p>
    <w:p w:rsidR="00C3204E" w:rsidRDefault="00225717" w:rsidP="00225717">
      <w:pPr>
        <w:pStyle w:val="Caption"/>
        <w:rPr>
          <w:rFonts w:ascii="Times New Roman" w:hAnsi="Times New Roman" w:cs="Times New Roman"/>
        </w:rPr>
      </w:pPr>
      <w:r>
        <w:t xml:space="preserve">Figure </w:t>
      </w:r>
      <w:r w:rsidR="00820457">
        <w:fldChar w:fldCharType="begin"/>
      </w:r>
      <w:r w:rsidR="00820457">
        <w:instrText xml:space="preserve"> SEQ Figure \* ARABIC </w:instrText>
      </w:r>
      <w:r w:rsidR="00820457">
        <w:fldChar w:fldCharType="separate"/>
      </w:r>
      <w:r>
        <w:rPr>
          <w:noProof/>
        </w:rPr>
        <w:t>9</w:t>
      </w:r>
      <w:r w:rsidR="00820457">
        <w:rPr>
          <w:noProof/>
        </w:rPr>
        <w:fldChar w:fldCharType="end"/>
      </w:r>
      <w:r>
        <w:t xml:space="preserve">s. </w:t>
      </w:r>
      <w:r w:rsidRPr="00225717">
        <w:t xml:space="preserve">(A) Tectonic and basin framework overlaid on </w:t>
      </w:r>
      <w:r w:rsidR="00B33CDB">
        <w:t>isothermal depth for 150</w:t>
      </w:r>
      <w:r w:rsidR="00B33CDB">
        <w:rPr>
          <w:rFonts w:cstheme="minorHAnsi"/>
        </w:rPr>
        <w:t>°</w:t>
      </w:r>
      <w:r>
        <w:t>C. Geo</w:t>
      </w:r>
      <w:r w:rsidRPr="00225717">
        <w:t>seismic cross-section 1 from (B) Faults (brown rectangles) delineate the tectonic boundary of the SCB and Greater Caucasus. Orange diamonds represent axes of the Mesozoic basins. Purple triangles represent regional thrust faults delineating the Caspian modern-day compressional boundary. Black dashed faults represent possible transform boundaries.</w:t>
      </w:r>
    </w:p>
    <w:p w:rsidR="00662B9C" w:rsidRDefault="00662B9C" w:rsidP="00E914A1">
      <w:pPr>
        <w:rPr>
          <w:rFonts w:ascii="Times New Roman" w:hAnsi="Times New Roman" w:cs="Times New Roman"/>
        </w:rPr>
      </w:pPr>
    </w:p>
    <w:p w:rsidR="00C3204E" w:rsidRDefault="00C3204E" w:rsidP="00E914A1">
      <w:pPr>
        <w:rPr>
          <w:rFonts w:ascii="Times New Roman" w:hAnsi="Times New Roman" w:cs="Times New Roman"/>
        </w:rPr>
      </w:pPr>
    </w:p>
    <w:p w:rsidR="00662B9C" w:rsidRDefault="00662B9C" w:rsidP="00E914A1">
      <w:pPr>
        <w:rPr>
          <w:rFonts w:ascii="Times New Roman" w:hAnsi="Times New Roman" w:cs="Times New Roman"/>
        </w:rPr>
      </w:pPr>
    </w:p>
    <w:sectPr w:rsidR="00662B9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0457" w:rsidRDefault="00820457" w:rsidP="00EE4666">
      <w:pPr>
        <w:spacing w:after="0" w:line="240" w:lineRule="auto"/>
      </w:pPr>
      <w:r>
        <w:separator/>
      </w:r>
    </w:p>
  </w:endnote>
  <w:endnote w:type="continuationSeparator" w:id="0">
    <w:p w:rsidR="00820457" w:rsidRDefault="00820457" w:rsidP="00EE46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0457" w:rsidRDefault="00820457" w:rsidP="00EE4666">
      <w:pPr>
        <w:spacing w:after="0" w:line="240" w:lineRule="auto"/>
      </w:pPr>
      <w:r>
        <w:separator/>
      </w:r>
    </w:p>
  </w:footnote>
  <w:footnote w:type="continuationSeparator" w:id="0">
    <w:p w:rsidR="00820457" w:rsidRDefault="00820457" w:rsidP="00EE466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LQ0MbUwMjY3MTACcpR0lIJTi4sz8/NACgxrASvVT5ssAAAA"/>
  </w:docVars>
  <w:rsids>
    <w:rsidRoot w:val="00E914A1"/>
    <w:rsid w:val="00042BEE"/>
    <w:rsid w:val="000A4F0E"/>
    <w:rsid w:val="00112314"/>
    <w:rsid w:val="00225717"/>
    <w:rsid w:val="00232584"/>
    <w:rsid w:val="00273723"/>
    <w:rsid w:val="002B31F4"/>
    <w:rsid w:val="003D147D"/>
    <w:rsid w:val="003D2951"/>
    <w:rsid w:val="004D7787"/>
    <w:rsid w:val="00662B9C"/>
    <w:rsid w:val="006769A5"/>
    <w:rsid w:val="00820457"/>
    <w:rsid w:val="008425AF"/>
    <w:rsid w:val="008A5427"/>
    <w:rsid w:val="00915782"/>
    <w:rsid w:val="00B33CDB"/>
    <w:rsid w:val="00C3204E"/>
    <w:rsid w:val="00E778AC"/>
    <w:rsid w:val="00E914A1"/>
    <w:rsid w:val="00EE4666"/>
    <w:rsid w:val="00F70F7A"/>
    <w:rsid w:val="00F85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5EDB9"/>
  <w15:chartTrackingRefBased/>
  <w15:docId w15:val="{F5317991-688B-46D6-B4E2-5D5B778F9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E466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4666"/>
    <w:rPr>
      <w:sz w:val="20"/>
      <w:szCs w:val="20"/>
    </w:rPr>
  </w:style>
  <w:style w:type="character" w:styleId="FootnoteReference">
    <w:name w:val="footnote reference"/>
    <w:basedOn w:val="DefaultParagraphFont"/>
    <w:uiPriority w:val="99"/>
    <w:semiHidden/>
    <w:unhideWhenUsed/>
    <w:rsid w:val="00EE4666"/>
    <w:rPr>
      <w:vertAlign w:val="superscript"/>
    </w:rPr>
  </w:style>
  <w:style w:type="paragraph" w:styleId="NoSpacing">
    <w:name w:val="No Spacing"/>
    <w:uiPriority w:val="1"/>
    <w:qFormat/>
    <w:rsid w:val="00EE4666"/>
    <w:pPr>
      <w:spacing w:after="0" w:line="240" w:lineRule="auto"/>
    </w:pPr>
  </w:style>
  <w:style w:type="paragraph" w:styleId="Caption">
    <w:name w:val="caption"/>
    <w:basedOn w:val="Normal"/>
    <w:next w:val="Normal"/>
    <w:uiPriority w:val="35"/>
    <w:unhideWhenUsed/>
    <w:qFormat/>
    <w:rsid w:val="00232584"/>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8</Pages>
  <Words>1060</Words>
  <Characters>6048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14</cp:revision>
  <dcterms:created xsi:type="dcterms:W3CDTF">2022-07-10T16:57:00Z</dcterms:created>
  <dcterms:modified xsi:type="dcterms:W3CDTF">2022-09-17T17:02:00Z</dcterms:modified>
</cp:coreProperties>
</file>